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CB54" w14:textId="66C4C682" w:rsidR="00F12804" w:rsidRPr="006A18B5" w:rsidRDefault="003337C6" w:rsidP="003337C6">
      <w:pPr>
        <w:spacing w:after="0" w:line="300" w:lineRule="auto"/>
        <w:jc w:val="center"/>
        <w:rPr>
          <w:rFonts w:ascii="Georgia Pro Black" w:hAnsi="Georgia Pro Black"/>
          <w:color w:val="833C0B" w:themeColor="accent2" w:themeShade="80"/>
          <w:sz w:val="40"/>
          <w:szCs w:val="40"/>
        </w:rPr>
      </w:pPr>
      <w:r w:rsidRPr="006A18B5">
        <w:rPr>
          <w:rFonts w:ascii="Georgia Pro Black" w:hAnsi="Georgia Pro Black"/>
          <w:color w:val="833C0B" w:themeColor="accent2" w:themeShade="80"/>
          <w:sz w:val="40"/>
          <w:szCs w:val="40"/>
        </w:rPr>
        <w:t>Sips &amp; Flips</w:t>
      </w:r>
    </w:p>
    <w:p w14:paraId="260049D0" w14:textId="6DAAEC99" w:rsidR="003337C6" w:rsidRPr="006A18B5" w:rsidRDefault="006A18B5" w:rsidP="003337C6">
      <w:pPr>
        <w:spacing w:after="0" w:line="300" w:lineRule="auto"/>
        <w:jc w:val="center"/>
        <w:rPr>
          <w:i/>
          <w:iCs/>
          <w:sz w:val="32"/>
          <w:szCs w:val="32"/>
        </w:rPr>
      </w:pPr>
      <w:r w:rsidRPr="006A18B5">
        <w:rPr>
          <w:i/>
          <w:iCs/>
          <w:sz w:val="32"/>
          <w:szCs w:val="32"/>
        </w:rPr>
        <w:t>A Business Proposal and Geographic Analysis</w:t>
      </w:r>
    </w:p>
    <w:p w14:paraId="5143A417" w14:textId="2BC9799C" w:rsidR="006A18B5" w:rsidRDefault="006A18B5" w:rsidP="006A18B5">
      <w:pPr>
        <w:spacing w:after="0" w:line="300" w:lineRule="auto"/>
        <w:jc w:val="center"/>
        <w:rPr>
          <w:szCs w:val="24"/>
        </w:rPr>
      </w:pPr>
      <w:r>
        <w:rPr>
          <w:szCs w:val="24"/>
        </w:rPr>
        <w:t>Alec Biehl</w:t>
      </w:r>
      <w:r>
        <w:rPr>
          <w:szCs w:val="24"/>
        </w:rPr>
        <w:tab/>
      </w:r>
      <w:r>
        <w:rPr>
          <w:szCs w:val="24"/>
        </w:rPr>
        <w:tab/>
        <w:t>IBM Applied Data Science Capstone</w:t>
      </w:r>
      <w:r>
        <w:rPr>
          <w:szCs w:val="24"/>
        </w:rPr>
        <w:tab/>
      </w:r>
      <w:r>
        <w:rPr>
          <w:szCs w:val="24"/>
        </w:rPr>
        <w:tab/>
        <w:t>December 2020</w:t>
      </w:r>
    </w:p>
    <w:p w14:paraId="12F092E1" w14:textId="323F8254" w:rsidR="006A18B5" w:rsidRDefault="006A18B5" w:rsidP="003337C6">
      <w:pPr>
        <w:spacing w:after="0" w:line="300" w:lineRule="auto"/>
        <w:jc w:val="center"/>
        <w:rPr>
          <w:szCs w:val="24"/>
        </w:rPr>
      </w:pPr>
    </w:p>
    <w:p w14:paraId="49779A05" w14:textId="23CCE800" w:rsidR="006A18B5" w:rsidRDefault="006A18B5" w:rsidP="006A18B5">
      <w:pPr>
        <w:pStyle w:val="Heading1"/>
        <w:spacing w:before="0" w:line="300" w:lineRule="auto"/>
      </w:pPr>
      <w:r>
        <w:t>Section 1: Problem Statement</w:t>
      </w:r>
    </w:p>
    <w:p w14:paraId="53B2F2C8" w14:textId="794D6A33" w:rsidR="008925ED" w:rsidRDefault="008925ED" w:rsidP="008925ED">
      <w:pPr>
        <w:spacing w:after="0" w:line="300" w:lineRule="auto"/>
        <w:jc w:val="both"/>
      </w:pPr>
      <w:r>
        <w:t xml:space="preserve">Contemporary young urban professionals, colloquially referred to as </w:t>
      </w:r>
      <w:r>
        <w:rPr>
          <w:i/>
          <w:iCs/>
        </w:rPr>
        <w:t>yuppies</w:t>
      </w:r>
      <w:r>
        <w:t>, lie at the crux of two major societal shifts in the United States</w:t>
      </w:r>
      <w:r w:rsidR="008F25C7">
        <w:t>, both of which are partially rooted in the push towards more sustainable travel (i.e. less car dependency)</w:t>
      </w:r>
      <w:r>
        <w:t>:</w:t>
      </w:r>
    </w:p>
    <w:p w14:paraId="06ED07D8" w14:textId="6A0E9C5E" w:rsidR="006A18B5" w:rsidRDefault="008925ED" w:rsidP="008925ED">
      <w:pPr>
        <w:pStyle w:val="ListParagraph"/>
        <w:numPr>
          <w:ilvl w:val="0"/>
          <w:numId w:val="1"/>
        </w:numPr>
        <w:spacing w:after="0" w:line="300" w:lineRule="auto"/>
        <w:jc w:val="both"/>
      </w:pPr>
      <w:r>
        <w:t>Migration towards urban centers to experience the plethora of opportunities tied to economic</w:t>
      </w:r>
      <w:r w:rsidR="008F25C7">
        <w:t xml:space="preserve"> investment, </w:t>
      </w:r>
      <w:r>
        <w:t xml:space="preserve">as well as the allure of </w:t>
      </w:r>
      <w:r w:rsidR="008F25C7">
        <w:t>“social connectivity”</w:t>
      </w:r>
      <w:r>
        <w:t xml:space="preserve"> </w:t>
      </w:r>
      <w:r w:rsidR="008F25C7">
        <w:t>in</w:t>
      </w:r>
      <w:r>
        <w:t xml:space="preserve"> compar</w:t>
      </w:r>
      <w:r w:rsidR="008F25C7">
        <w:t>ison</w:t>
      </w:r>
      <w:r>
        <w:t xml:space="preserve"> to </w:t>
      </w:r>
      <w:r w:rsidR="008F25C7">
        <w:t xml:space="preserve">the relative isolation of low-density </w:t>
      </w:r>
      <w:r>
        <w:t>suburbia</w:t>
      </w:r>
      <w:r w:rsidR="008F25C7">
        <w:t>;</w:t>
      </w:r>
      <w:r>
        <w:t xml:space="preserve"> </w:t>
      </w:r>
      <w:r w:rsidR="008F25C7">
        <w:t xml:space="preserve">and </w:t>
      </w:r>
    </w:p>
    <w:p w14:paraId="56FE2015" w14:textId="3E458468" w:rsidR="008925ED" w:rsidRDefault="008F25C7" w:rsidP="008925ED">
      <w:pPr>
        <w:pStyle w:val="ListParagraph"/>
        <w:numPr>
          <w:ilvl w:val="0"/>
          <w:numId w:val="1"/>
        </w:numPr>
        <w:spacing w:after="0" w:line="300" w:lineRule="auto"/>
        <w:jc w:val="both"/>
      </w:pPr>
      <w:r>
        <w:t xml:space="preserve">Telecommuting, or the ability to work remotely away from a central office location, that is the result of a growing flexibility offered by employers to meet policy goals of traffic congestion mitigation, in addition to </w:t>
      </w:r>
      <w:r w:rsidR="00952B85">
        <w:t>the growing attraction and feasibility of sustained freelance work, independent consulting, and various other “lone wolf” professions that offer the freedom of daily mobility.</w:t>
      </w:r>
    </w:p>
    <w:p w14:paraId="0BF56E57" w14:textId="3F0F5A30" w:rsidR="00952B85" w:rsidRDefault="00952B85" w:rsidP="00952B85">
      <w:pPr>
        <w:spacing w:after="0" w:line="300" w:lineRule="auto"/>
        <w:jc w:val="both"/>
      </w:pPr>
      <w:r>
        <w:t>Concurrently, although “work from home” is certainly an option that has exploded due to the Covid-19 pandemic, there is sufficient evidence that a psychological distance between work and home life is good for mental health, especially for individuals who are apartment or condominium dwellers</w:t>
      </w:r>
      <w:r w:rsidR="000378DB">
        <w:t>.</w:t>
      </w:r>
    </w:p>
    <w:p w14:paraId="4A06B73B" w14:textId="7EB03E40" w:rsidR="000378DB" w:rsidRDefault="000378DB" w:rsidP="00952B85">
      <w:pPr>
        <w:spacing w:after="0" w:line="300" w:lineRule="auto"/>
        <w:jc w:val="both"/>
      </w:pPr>
    </w:p>
    <w:p w14:paraId="58F707FB" w14:textId="66060973" w:rsidR="00D555A7" w:rsidRDefault="000378DB" w:rsidP="00952B85">
      <w:pPr>
        <w:spacing w:after="0" w:line="300" w:lineRule="auto"/>
        <w:jc w:val="both"/>
      </w:pPr>
      <w:r>
        <w:t xml:space="preserve">This is where </w:t>
      </w:r>
      <w:r>
        <w:rPr>
          <w:i/>
          <w:iCs/>
        </w:rPr>
        <w:t>Sips &amp; Flips</w:t>
      </w:r>
      <w:r>
        <w:t xml:space="preserve"> enters the picture. As a hybrid between a café and bookstore, </w:t>
      </w:r>
      <w:r w:rsidR="00C67A70">
        <w:t xml:space="preserve">it would be </w:t>
      </w:r>
      <w:r>
        <w:t xml:space="preserve">nostalgic for the degree-holders who might </w:t>
      </w:r>
      <w:r w:rsidR="00C67A70">
        <w:t xml:space="preserve">recall those not-yet-distant college years and the many hours spent reading or writing in libraries, yet offer a more relaxing atmosphere than what is typically associated with such institutions. Furthermore, </w:t>
      </w:r>
      <w:r w:rsidR="00C67A70">
        <w:rPr>
          <w:i/>
          <w:iCs/>
        </w:rPr>
        <w:t>Sips &amp; Flips</w:t>
      </w:r>
      <w:r w:rsidR="00C67A70">
        <w:t xml:space="preserve"> would differ from the setup between Starbucks and Barnes &amp; Noble as follows. First, rather than a collection of tables </w:t>
      </w:r>
      <w:r w:rsidR="00D555A7">
        <w:t>adjacent to</w:t>
      </w:r>
      <w:r w:rsidR="00C67A70">
        <w:t xml:space="preserve"> one another, </w:t>
      </w:r>
      <w:r w:rsidR="00D555A7">
        <w:t xml:space="preserve">the business would offer Wi-Fi-equipped “work nooks” to nurture productivity with minimized distractions. Second, to foster a sense of community among recurring patrons, books will be made available for rental (as is the case with libraries) to encourage reading &amp; discussions during short “mental reset” breaks. Third, and perhaps the easiest outcome to achieve, the coffee will be better than that offered by the </w:t>
      </w:r>
      <w:r w:rsidR="009534CB">
        <w:t>insinuated</w:t>
      </w:r>
      <w:r w:rsidR="00D555A7">
        <w:t xml:space="preserve"> competition…</w:t>
      </w:r>
    </w:p>
    <w:p w14:paraId="6E46252D" w14:textId="77777777" w:rsidR="00D555A7" w:rsidRDefault="00D555A7" w:rsidP="00952B85">
      <w:pPr>
        <w:spacing w:after="0" w:line="300" w:lineRule="auto"/>
        <w:jc w:val="both"/>
      </w:pPr>
    </w:p>
    <w:p w14:paraId="4A512C10" w14:textId="416F4CA9" w:rsidR="000378DB" w:rsidRPr="00C67A70" w:rsidRDefault="009534CB" w:rsidP="00952B85">
      <w:pPr>
        <w:spacing w:after="0" w:line="300" w:lineRule="auto"/>
        <w:jc w:val="both"/>
      </w:pPr>
      <w:r>
        <w:t xml:space="preserve">Accordingly, </w:t>
      </w:r>
      <w:r w:rsidR="009B3748">
        <w:t xml:space="preserve">it is critical to identify an advantageous location for this entrepreneurial endeavor, which would ideally be within a city characterized by a high influx of young urban professionals and a sizable university graduate student population (since this latter </w:t>
      </w:r>
      <w:r w:rsidR="009B3748">
        <w:lastRenderedPageBreak/>
        <w:t>market segment is essentially the yuppie equivalent in academia). Based on recent web rankings</w:t>
      </w:r>
      <w:r w:rsidR="00A22643">
        <w:t xml:space="preserve"> by Niche</w:t>
      </w:r>
      <w:r w:rsidR="00A22643">
        <w:rPr>
          <w:rStyle w:val="FootnoteReference"/>
        </w:rPr>
        <w:footnoteReference w:id="1"/>
      </w:r>
      <w:r w:rsidR="00A22643">
        <w:t xml:space="preserve"> and </w:t>
      </w:r>
      <w:proofErr w:type="spellStart"/>
      <w:r w:rsidR="00A22643">
        <w:t>studyportals</w:t>
      </w:r>
      <w:proofErr w:type="spellEnd"/>
      <w:r w:rsidR="00A22643">
        <w:rPr>
          <w:rStyle w:val="FootnoteReference"/>
        </w:rPr>
        <w:footnoteReference w:id="2"/>
      </w:r>
      <w:r w:rsidR="009B3748">
        <w:t xml:space="preserve">, </w:t>
      </w:r>
      <w:r w:rsidR="00F45DEC">
        <w:t>the U.S. metro area that appears the highest on both lists is Boston, Massachusetts</w:t>
      </w:r>
      <w:r w:rsidR="00296864">
        <w:t xml:space="preserve"> (</w:t>
      </w:r>
      <w:r w:rsidR="00D5192D">
        <w:t>as well as its neighbor, Cambridge</w:t>
      </w:r>
      <w:r w:rsidR="00296864">
        <w:t>)</w:t>
      </w:r>
      <w:r w:rsidR="00AE7E76">
        <w:t>; therefore, it is selected for the case study analysis comprising this report.</w:t>
      </w:r>
    </w:p>
    <w:p w14:paraId="0B97932F" w14:textId="77777777" w:rsidR="006A18B5" w:rsidRDefault="006A18B5" w:rsidP="006A18B5">
      <w:pPr>
        <w:spacing w:after="0" w:line="300" w:lineRule="auto"/>
      </w:pPr>
    </w:p>
    <w:p w14:paraId="387412FC" w14:textId="38214903" w:rsidR="006A18B5" w:rsidRDefault="006A18B5" w:rsidP="006A18B5">
      <w:pPr>
        <w:pStyle w:val="Heading1"/>
        <w:spacing w:before="0" w:line="300" w:lineRule="auto"/>
      </w:pPr>
      <w:r>
        <w:t>Section 2: Data Description</w:t>
      </w:r>
    </w:p>
    <w:p w14:paraId="6FFACA6D" w14:textId="720861B5" w:rsidR="006A18B5" w:rsidRDefault="00AE7E76" w:rsidP="00AE7E76">
      <w:pPr>
        <w:spacing w:after="0" w:line="300" w:lineRule="auto"/>
        <w:jc w:val="both"/>
      </w:pPr>
      <w:r>
        <w:t xml:space="preserve">To determine where the first </w:t>
      </w:r>
      <w:r>
        <w:rPr>
          <w:i/>
          <w:iCs/>
        </w:rPr>
        <w:t>Sips &amp; Flips</w:t>
      </w:r>
      <w:r>
        <w:t xml:space="preserve"> should open within Boston, two sets of data are required at minimum: (a) the “neighborhood composition” </w:t>
      </w:r>
      <w:r w:rsidR="00296864">
        <w:t>of the city to be matched with geospatial attributes</w:t>
      </w:r>
      <w:r>
        <w:t xml:space="preserve"> and </w:t>
      </w:r>
      <w:r>
        <w:t>(</w:t>
      </w:r>
      <w:r>
        <w:t>b</w:t>
      </w:r>
      <w:r>
        <w:t>) the current set of cafés/coffee shops and bookstores</w:t>
      </w:r>
      <w:r>
        <w:t xml:space="preserve">. The former will be used as input into the Foursquare location-based API that will be used to extract the latter. </w:t>
      </w:r>
      <w:r w:rsidR="00296864">
        <w:t xml:space="preserve">In addition to the </w:t>
      </w:r>
      <w:r w:rsidR="00296864" w:rsidRPr="00296864">
        <w:rPr>
          <w:i/>
          <w:iCs/>
        </w:rPr>
        <w:t>absolut</w:t>
      </w:r>
      <w:r w:rsidR="00296864">
        <w:rPr>
          <w:i/>
          <w:iCs/>
        </w:rPr>
        <w:t>e count</w:t>
      </w:r>
      <w:r w:rsidR="00296864">
        <w:t xml:space="preserve"> of these institutions within each neighborhood, the</w:t>
      </w:r>
      <w:r w:rsidR="00296864" w:rsidRPr="00296864">
        <w:rPr>
          <w:i/>
          <w:iCs/>
        </w:rPr>
        <w:t xml:space="preserve"> relativ</w:t>
      </w:r>
      <w:r w:rsidR="00296864">
        <w:rPr>
          <w:i/>
          <w:iCs/>
        </w:rPr>
        <w:t>e count</w:t>
      </w:r>
      <w:r w:rsidR="00296864">
        <w:t xml:space="preserve"> in comparison to other institution types among the Top 100 reviewed locations will allow for the clustering of neighborhood based on general activity type</w:t>
      </w:r>
      <w:r w:rsidR="004611BF">
        <w:t>. In other words,</w:t>
      </w:r>
      <w:r w:rsidR="00296864">
        <w:t xml:space="preserve"> </w:t>
      </w:r>
      <w:r w:rsidR="004611BF">
        <w:t>we would want to</w:t>
      </w:r>
      <w:r w:rsidR="00296864">
        <w:t xml:space="preserve"> identify places that </w:t>
      </w:r>
      <w:r w:rsidR="004611BF">
        <w:t xml:space="preserve">should be avoided either </w:t>
      </w:r>
      <w:r w:rsidR="006213A5">
        <w:t>since</w:t>
      </w:r>
      <w:r w:rsidR="004611BF">
        <w:t xml:space="preserve"> the number of competitors to </w:t>
      </w:r>
      <w:r w:rsidR="00296864">
        <w:rPr>
          <w:i/>
          <w:iCs/>
        </w:rPr>
        <w:t>Sips &amp; Flips</w:t>
      </w:r>
      <w:r w:rsidR="004611BF">
        <w:t xml:space="preserve"> is too high or</w:t>
      </w:r>
      <w:r w:rsidR="006213A5">
        <w:t xml:space="preserve"> because</w:t>
      </w:r>
      <w:r w:rsidR="004611BF">
        <w:t xml:space="preserve"> </w:t>
      </w:r>
      <w:r w:rsidR="006213A5">
        <w:t xml:space="preserve">the presence of </w:t>
      </w:r>
      <w:r w:rsidR="004611BF">
        <w:t xml:space="preserve">similar institutions </w:t>
      </w:r>
      <w:r w:rsidR="006213A5">
        <w:t xml:space="preserve">is minimal, which </w:t>
      </w:r>
      <w:r w:rsidR="004611BF">
        <w:t>could indicate low demand</w:t>
      </w:r>
      <w:r w:rsidR="00296864">
        <w:t>.</w:t>
      </w:r>
    </w:p>
    <w:p w14:paraId="01402058" w14:textId="14257CA2" w:rsidR="00296864" w:rsidRDefault="00296864" w:rsidP="00AE7E76">
      <w:pPr>
        <w:spacing w:after="0" w:line="300" w:lineRule="auto"/>
        <w:jc w:val="both"/>
      </w:pPr>
    </w:p>
    <w:p w14:paraId="7D2B00D9" w14:textId="2A155575" w:rsidR="00296864" w:rsidRDefault="00D60042" w:rsidP="00AE7E76">
      <w:pPr>
        <w:spacing w:after="0" w:line="300" w:lineRule="auto"/>
        <w:jc w:val="both"/>
      </w:pPr>
      <w:r>
        <w:t>Wikipedia</w:t>
      </w:r>
      <w:r w:rsidR="00D5192D">
        <w:t xml:space="preserve"> </w:t>
      </w:r>
      <w:r>
        <w:t>can be</w:t>
      </w:r>
      <w:r w:rsidR="00D5192D">
        <w:t xml:space="preserve"> used to extract </w:t>
      </w:r>
      <w:r>
        <w:t>a list of neighborhoods for both cities</w:t>
      </w:r>
      <w:r w:rsidR="00D5192D">
        <w:t>:</w:t>
      </w:r>
    </w:p>
    <w:p w14:paraId="0E41F35B" w14:textId="27C85197" w:rsidR="00D5192D" w:rsidRPr="00D5192D" w:rsidRDefault="00D5192D" w:rsidP="00D5192D">
      <w:pPr>
        <w:pStyle w:val="ListParagraph"/>
        <w:numPr>
          <w:ilvl w:val="0"/>
          <w:numId w:val="2"/>
        </w:numPr>
        <w:spacing w:after="0" w:line="300" w:lineRule="auto"/>
        <w:jc w:val="both"/>
        <w:rPr>
          <w:sz w:val="22"/>
        </w:rPr>
      </w:pPr>
      <w:r w:rsidRPr="00D5192D">
        <w:rPr>
          <w:sz w:val="22"/>
        </w:rPr>
        <w:t xml:space="preserve">Boston: </w:t>
      </w:r>
      <w:hyperlink r:id="rId8" w:history="1">
        <w:r w:rsidRPr="00D5192D">
          <w:rPr>
            <w:rStyle w:val="Hyperlink"/>
            <w:sz w:val="22"/>
          </w:rPr>
          <w:t>https://en.wikipedia.org/wiki/Neighborhoods_in_Boston</w:t>
        </w:r>
      </w:hyperlink>
    </w:p>
    <w:p w14:paraId="50E9B4F5" w14:textId="47E1F81B" w:rsidR="00D5192D" w:rsidRPr="00D5192D" w:rsidRDefault="00D5192D" w:rsidP="00D5192D">
      <w:pPr>
        <w:pStyle w:val="ListParagraph"/>
        <w:numPr>
          <w:ilvl w:val="0"/>
          <w:numId w:val="2"/>
        </w:numPr>
        <w:spacing w:after="0" w:line="300" w:lineRule="auto"/>
        <w:jc w:val="both"/>
        <w:rPr>
          <w:sz w:val="22"/>
        </w:rPr>
      </w:pPr>
      <w:r w:rsidRPr="00D5192D">
        <w:rPr>
          <w:sz w:val="22"/>
        </w:rPr>
        <w:t xml:space="preserve">Cambridge: </w:t>
      </w:r>
      <w:hyperlink r:id="rId9" w:history="1">
        <w:r w:rsidRPr="00D5192D">
          <w:rPr>
            <w:rStyle w:val="Hyperlink"/>
            <w:sz w:val="22"/>
          </w:rPr>
          <w:t>https://en.wikipedia.org/wiki/Cambridge,_Massachusetts#Neighborhoods</w:t>
        </w:r>
      </w:hyperlink>
    </w:p>
    <w:p w14:paraId="2052781A" w14:textId="4BEDE633" w:rsidR="00D5192D" w:rsidRDefault="002F7990" w:rsidP="00D5192D">
      <w:pPr>
        <w:spacing w:after="0" w:line="300" w:lineRule="auto"/>
        <w:jc w:val="both"/>
        <w:rPr>
          <w:sz w:val="22"/>
          <w:szCs w:val="20"/>
        </w:rPr>
      </w:pPr>
      <w:r>
        <w:t xml:space="preserve">While these delineations typically reflect socio-political and cultural heritage, population data is often aggregated using official U.S. Census boundaries, thus making it difficult to </w:t>
      </w:r>
      <w:r w:rsidR="00D60042">
        <w:t>merge</w:t>
      </w:r>
      <w:r>
        <w:t xml:space="preserve"> </w:t>
      </w:r>
      <w:r w:rsidR="00D60042">
        <w:t xml:space="preserve">these geographies </w:t>
      </w:r>
      <w:r>
        <w:t xml:space="preserve">with </w:t>
      </w:r>
      <w:r w:rsidR="00D60042">
        <w:t xml:space="preserve">socio-demographic </w:t>
      </w:r>
      <w:r>
        <w:t>attributes</w:t>
      </w:r>
      <w:r w:rsidR="00D60042">
        <w:t xml:space="preserve"> such as composition by race/ethnicity, education level, and household income</w:t>
      </w:r>
      <w:r>
        <w:t xml:space="preserve">. As an alternative approach so that the </w:t>
      </w:r>
      <w:r w:rsidR="00B03718" w:rsidRPr="0034622C">
        <w:rPr>
          <w:b/>
          <w:bCs/>
        </w:rPr>
        <w:t>2019</w:t>
      </w:r>
      <w:r w:rsidRPr="0034622C">
        <w:rPr>
          <w:b/>
          <w:bCs/>
        </w:rPr>
        <w:t xml:space="preserve"> American Community Survey estimates</w:t>
      </w:r>
      <w:r>
        <w:t xml:space="preserve"> could </w:t>
      </w:r>
      <w:r w:rsidR="00B03718">
        <w:t>be integrated into</w:t>
      </w:r>
      <w:r>
        <w:t xml:space="preserve"> the clustering analysis, one could use the </w:t>
      </w:r>
      <w:r w:rsidR="00D60042">
        <w:t xml:space="preserve">following website to extract </w:t>
      </w:r>
      <w:r w:rsidR="006213A5">
        <w:t>all</w:t>
      </w:r>
      <w:r w:rsidR="00D60042">
        <w:t xml:space="preserve"> </w:t>
      </w:r>
      <w:r>
        <w:t xml:space="preserve">zip codes covering Boston and Cambridge: </w:t>
      </w:r>
      <w:hyperlink r:id="rId10" w:history="1">
        <w:r w:rsidR="00D60042" w:rsidRPr="009E517C">
          <w:rPr>
            <w:rStyle w:val="Hyperlink"/>
            <w:sz w:val="22"/>
            <w:szCs w:val="20"/>
          </w:rPr>
          <w:t>https://www.unitedstateszipcodes.org/</w:t>
        </w:r>
      </w:hyperlink>
      <w:r w:rsidR="00D60042">
        <w:rPr>
          <w:sz w:val="22"/>
          <w:szCs w:val="20"/>
        </w:rPr>
        <w:t>.</w:t>
      </w:r>
    </w:p>
    <w:p w14:paraId="055780D2" w14:textId="52A9622B" w:rsidR="00D60042" w:rsidRPr="00D60042" w:rsidRDefault="00D60042" w:rsidP="00D5192D">
      <w:pPr>
        <w:spacing w:after="0" w:line="300" w:lineRule="auto"/>
        <w:jc w:val="both"/>
        <w:rPr>
          <w:szCs w:val="24"/>
        </w:rPr>
      </w:pPr>
    </w:p>
    <w:p w14:paraId="1FF80115" w14:textId="55F52E09" w:rsidR="00D5192D" w:rsidRPr="00D60042" w:rsidRDefault="0034622C">
      <w:pPr>
        <w:spacing w:after="0" w:line="300" w:lineRule="auto"/>
        <w:jc w:val="both"/>
        <w:rPr>
          <w:szCs w:val="24"/>
        </w:rPr>
      </w:pPr>
      <w:r>
        <w:rPr>
          <w:szCs w:val="24"/>
        </w:rPr>
        <w:t>On a final note, a two-step clustering approach will be implemented to identify relatively homogeneous groups of neighborhoods. To expound, this method first employs (a) Ward hierarchical clustering to identify the optimal number of clusters</w:t>
      </w:r>
      <w:r w:rsidR="00E76BF8">
        <w:rPr>
          <w:szCs w:val="24"/>
        </w:rPr>
        <w:t>;</w:t>
      </w:r>
      <w:r>
        <w:rPr>
          <w:szCs w:val="24"/>
        </w:rPr>
        <w:t xml:space="preserve"> </w:t>
      </w:r>
      <w:r w:rsidR="00E76BF8">
        <w:rPr>
          <w:szCs w:val="24"/>
        </w:rPr>
        <w:t>next,</w:t>
      </w:r>
      <w:r>
        <w:rPr>
          <w:szCs w:val="24"/>
        </w:rPr>
        <w:t xml:space="preserve"> </w:t>
      </w:r>
      <w:r w:rsidR="00E76BF8">
        <w:rPr>
          <w:szCs w:val="24"/>
        </w:rPr>
        <w:t>the</w:t>
      </w:r>
      <w:r>
        <w:rPr>
          <w:szCs w:val="24"/>
        </w:rPr>
        <w:t xml:space="preserve"> </w:t>
      </w:r>
      <w:r w:rsidR="00E76BF8">
        <w:rPr>
          <w:szCs w:val="24"/>
        </w:rPr>
        <w:t xml:space="preserve">ascertained </w:t>
      </w:r>
      <w:r>
        <w:rPr>
          <w:szCs w:val="24"/>
        </w:rPr>
        <w:t xml:space="preserve">cluster centers </w:t>
      </w:r>
      <w:r w:rsidR="00E76BF8">
        <w:rPr>
          <w:szCs w:val="24"/>
        </w:rPr>
        <w:t>are input as parameters for</w:t>
      </w:r>
      <w:r>
        <w:rPr>
          <w:szCs w:val="24"/>
        </w:rPr>
        <w:t xml:space="preserve"> (b) K-means partitioning</w:t>
      </w:r>
      <w:r w:rsidR="00E76BF8">
        <w:rPr>
          <w:szCs w:val="24"/>
        </w:rPr>
        <w:t xml:space="preserve"> to refine the solution</w:t>
      </w:r>
      <w:r>
        <w:rPr>
          <w:szCs w:val="24"/>
        </w:rPr>
        <w:t>. According to</w:t>
      </w:r>
      <w:r w:rsidR="00E76BF8">
        <w:rPr>
          <w:szCs w:val="24"/>
        </w:rPr>
        <w:t xml:space="preserve"> </w:t>
      </w:r>
      <w:hyperlink r:id="rId11" w:history="1">
        <w:r w:rsidR="00E76BF8" w:rsidRPr="00E76BF8">
          <w:rPr>
            <w:rStyle w:val="Hyperlink"/>
            <w:szCs w:val="24"/>
          </w:rPr>
          <w:t>this paper</w:t>
        </w:r>
      </w:hyperlink>
      <w:r w:rsidR="00E76BF8">
        <w:rPr>
          <w:szCs w:val="24"/>
        </w:rPr>
        <w:t xml:space="preserve"> by Bernard Chen et al (2005), this hybrid approach circumvents the shortcomings that using each one in isolation entails.</w:t>
      </w:r>
    </w:p>
    <w:sectPr w:rsidR="00D5192D" w:rsidRPr="00D6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4EC9F" w14:textId="77777777" w:rsidR="00B513C9" w:rsidRDefault="00B513C9" w:rsidP="00A22643">
      <w:pPr>
        <w:spacing w:after="0" w:line="240" w:lineRule="auto"/>
      </w:pPr>
      <w:r>
        <w:separator/>
      </w:r>
    </w:p>
  </w:endnote>
  <w:endnote w:type="continuationSeparator" w:id="0">
    <w:p w14:paraId="12BEF2E6" w14:textId="77777777" w:rsidR="00B513C9" w:rsidRDefault="00B513C9" w:rsidP="00A2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Black">
    <w:altName w:val="Georgia Pro Black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3C6DE" w14:textId="77777777" w:rsidR="00B513C9" w:rsidRDefault="00B513C9" w:rsidP="00A22643">
      <w:pPr>
        <w:spacing w:after="0" w:line="240" w:lineRule="auto"/>
      </w:pPr>
      <w:r>
        <w:separator/>
      </w:r>
    </w:p>
  </w:footnote>
  <w:footnote w:type="continuationSeparator" w:id="0">
    <w:p w14:paraId="39048DED" w14:textId="77777777" w:rsidR="00B513C9" w:rsidRDefault="00B513C9" w:rsidP="00A22643">
      <w:pPr>
        <w:spacing w:after="0" w:line="240" w:lineRule="auto"/>
      </w:pPr>
      <w:r>
        <w:continuationSeparator/>
      </w:r>
    </w:p>
  </w:footnote>
  <w:footnote w:id="1">
    <w:p w14:paraId="7287F8C3" w14:textId="45442B85" w:rsidR="004B1597" w:rsidRDefault="00A226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4B1597" w:rsidRPr="009E517C">
          <w:rPr>
            <w:rStyle w:val="Hyperlink"/>
          </w:rPr>
          <w:t>https://www.niche.com/places-to-live/search/best-cities-for-young-professionals/</w:t>
        </w:r>
      </w:hyperlink>
    </w:p>
  </w:footnote>
  <w:footnote w:id="2">
    <w:p w14:paraId="68044529" w14:textId="397B7CE5" w:rsidR="004B1597" w:rsidRDefault="00A226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4B1597" w:rsidRPr="009E517C">
          <w:rPr>
            <w:rStyle w:val="Hyperlink"/>
          </w:rPr>
          <w:t>https://www.mastersportal.com/articles/1839/top-10-student-cities-in-the-us-and-canada-perfect-for-a-graduate-degree.html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0E29"/>
    <w:multiLevelType w:val="hybridMultilevel"/>
    <w:tmpl w:val="C0B4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2550D"/>
    <w:multiLevelType w:val="hybridMultilevel"/>
    <w:tmpl w:val="4C164656"/>
    <w:lvl w:ilvl="0" w:tplc="41CED2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68"/>
    <w:rsid w:val="000378DB"/>
    <w:rsid w:val="00115CD1"/>
    <w:rsid w:val="00296864"/>
    <w:rsid w:val="002F7990"/>
    <w:rsid w:val="003337C6"/>
    <w:rsid w:val="0034622C"/>
    <w:rsid w:val="004611BF"/>
    <w:rsid w:val="004B1597"/>
    <w:rsid w:val="006213A5"/>
    <w:rsid w:val="006A18B5"/>
    <w:rsid w:val="008925ED"/>
    <w:rsid w:val="008D3268"/>
    <w:rsid w:val="008F25C7"/>
    <w:rsid w:val="00952B85"/>
    <w:rsid w:val="009534CB"/>
    <w:rsid w:val="009B3748"/>
    <w:rsid w:val="00A22643"/>
    <w:rsid w:val="00AE7E76"/>
    <w:rsid w:val="00B03718"/>
    <w:rsid w:val="00B513C9"/>
    <w:rsid w:val="00C67A70"/>
    <w:rsid w:val="00D5192D"/>
    <w:rsid w:val="00D555A7"/>
    <w:rsid w:val="00D60042"/>
    <w:rsid w:val="00E76BF8"/>
    <w:rsid w:val="00F12804"/>
    <w:rsid w:val="00F4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8DE1"/>
  <w15:chartTrackingRefBased/>
  <w15:docId w15:val="{914490B9-8FB0-46E0-9A35-3270FFB2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B5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8B5"/>
    <w:pPr>
      <w:keepNext/>
      <w:keepLines/>
      <w:spacing w:before="240" w:after="0"/>
      <w:outlineLvl w:val="0"/>
    </w:pPr>
    <w:rPr>
      <w:rFonts w:ascii="Georgia Pro Black" w:eastAsiaTheme="majorEastAsia" w:hAnsi="Georgia Pro Black" w:cstheme="majorBidi"/>
      <w:color w:val="833C0B" w:themeColor="accen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18B5"/>
    <w:rPr>
      <w:rFonts w:ascii="Georgia Pro Black" w:eastAsiaTheme="majorEastAsia" w:hAnsi="Georgia Pro Black" w:cstheme="majorBidi"/>
      <w:color w:val="833C0B" w:themeColor="accent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5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643"/>
    <w:rPr>
      <w:rFonts w:ascii="Georgia" w:hAnsi="Georg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64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1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ighborhoods_in_Bost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stamp/stamp.jsp?arnumber=1540560&amp;casa_token=d38L5YvsjD0AAAAA:ZapffVCAhny2Bi3EARJTvNWkwh-SZmQRHm584zuXroyhZvuvCylHTcUCBJG-OTBDiVbvNKJ7pO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nitedstateszipcode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mbridge,_Massachusetts#Neighborhoods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astersportal.com/articles/1839/top-10-student-cities-in-the-us-and-canada-perfect-for-a-graduate-degree.html" TargetMode="External"/><Relationship Id="rId1" Type="http://schemas.openxmlformats.org/officeDocument/2006/relationships/hyperlink" Target="https://www.niche.com/places-to-live/search/best-cities-for-young-professio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C69D8-9158-458A-9BFB-3A982FB2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Biehl, Alec</dc:creator>
  <cp:keywords/>
  <dc:description/>
  <cp:lastModifiedBy>Biehl, Alec</cp:lastModifiedBy>
  <cp:revision>9</cp:revision>
  <dcterms:created xsi:type="dcterms:W3CDTF">2020-12-15T17:24:00Z</dcterms:created>
  <dcterms:modified xsi:type="dcterms:W3CDTF">2020-12-16T02:20:00Z</dcterms:modified>
</cp:coreProperties>
</file>