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2"/>
          <w:szCs w:val="32"/>
        </w:rPr>
      </w:pPr>
      <w:r>
        <w:rPr>
          <w:sz w:val="32"/>
          <w:szCs w:val="32"/>
          <w:lang w:val="es-ES"/>
        </w:rPr>
        <w:t>Introducción</w:t>
      </w:r>
    </w:p>
    <w:p>
      <w:pPr>
        <w:pStyle w:val="Normal"/>
        <w:rPr>
          <w:lang w:val="es-ES"/>
        </w:rPr>
      </w:pPr>
      <w:r>
        <w:rPr>
          <w:lang w:val="es-ES"/>
        </w:rPr>
        <w:t>En el estudio de los determinantes de las migraciones interprovinciales se pueden encontrar distintos niveles de factores según la generalidad del impacto que tengan en las personas que habitan un determinado espacio geográfico, por un lado se encuentran factores que son comunes a toda la población de una determinada comunidad, que son conocidos como macrofactores, est</w:t>
      </w:r>
      <w:r>
        <w:rPr>
          <w:lang w:val="es-ES"/>
        </w:rPr>
        <w:t>os pueden ser</w:t>
      </w:r>
      <w:r>
        <w:rPr>
          <w:lang w:val="es-ES"/>
        </w:rPr>
        <w:t xml:space="preserve"> políticos, sociales, económicos y demográficos, por el otro, se puden encontrar los microfactores, estos son características individuales que actúan como “mediadores” en la decisión migratoria e impactan de manera distinta dependiendo de los macrofactores que configuran los potenciales destinos u orígenes de migración.</w:t>
      </w:r>
    </w:p>
    <w:p>
      <w:pPr>
        <w:pStyle w:val="Normal"/>
        <w:rPr>
          <w:lang w:val="es-ES"/>
        </w:rPr>
      </w:pPr>
      <w:r>
        <w:rPr>
          <w:lang w:val="es-ES"/>
        </w:rPr>
        <w:t xml:space="preserve"> </w:t>
      </w:r>
      <w:r>
        <w:rPr>
          <w:lang w:val="es-ES"/>
        </w:rPr>
        <w:t xml:space="preserve">Este proceso de decisión migratoria consta de una interrelación constante entre los macrofactores y microfactores, que deben ser considerados a la hora de </w:t>
      </w:r>
      <w:r>
        <w:rPr>
          <w:lang w:val="es-ES"/>
        </w:rPr>
        <w:t>definir los determinantes</w:t>
      </w:r>
      <w:r>
        <w:rPr>
          <w:lang w:val="es-ES"/>
        </w:rPr>
        <w:t xml:space="preserve"> que llevan a la decisión de</w:t>
      </w:r>
      <w:r>
        <w:rPr>
          <w:lang w:val="es-ES"/>
        </w:rPr>
        <w:t>l éxodo</w:t>
      </w:r>
      <w:r>
        <w:rPr>
          <w:lang w:val="es-ES"/>
        </w:rPr>
        <w:t xml:space="preserve"> Interprovincial.</w:t>
      </w:r>
    </w:p>
    <w:p>
      <w:pPr>
        <w:pStyle w:val="Normal"/>
        <w:rPr>
          <w:rFonts w:ascii="Helvetica-Light" w:hAnsi="Helvetica-Light" w:cs="Helvetica-Light"/>
          <w:sz w:val="18"/>
          <w:szCs w:val="18"/>
        </w:rPr>
      </w:pPr>
      <w:r>
        <w:rPr>
          <w:lang w:val="es-ES"/>
        </w:rPr>
        <w:t xml:space="preserve">En el análisis pormenorizado de las migraciones interprovinciales </w:t>
      </w:r>
      <w:r>
        <w:rPr>
          <w:lang w:val="es-ES"/>
        </w:rPr>
        <w:t xml:space="preserve">en la Argentina existen ciertas </w:t>
      </w:r>
      <w:r>
        <w:rPr>
          <w:lang w:val="es-ES"/>
        </w:rPr>
        <w:t xml:space="preserve"> limitaciones, debido a la elevada cantidad de provincias de origen y destino que surgen de la combinación de los movimientos migratorios, </w:t>
      </w:r>
      <w:r>
        <w:rPr>
          <w:lang w:val="es-ES"/>
        </w:rPr>
        <w:t xml:space="preserve">se torna dificultoso encontrar determinantes aislados para cada una de las provincias, esto no solo por la complicación en términos de disponibilidad </w:t>
      </w:r>
      <w:r>
        <w:rPr>
          <w:lang w:val="es-ES"/>
        </w:rPr>
        <w:t>y volumen</w:t>
      </w:r>
      <w:r>
        <w:rPr>
          <w:lang w:val="es-ES"/>
        </w:rPr>
        <w:t xml:space="preserve"> de </w:t>
      </w:r>
      <w:r>
        <w:rPr>
          <w:lang w:val="es-ES"/>
        </w:rPr>
        <w:t>los d</w:t>
      </w:r>
      <w:r>
        <w:rPr>
          <w:lang w:val="es-ES"/>
        </w:rPr>
        <w:t xml:space="preserve">atos, los cuales se ven ampliamente reducidos a causa de la subdivisión, sino también por el hecho de que se volvería tedioso </w:t>
      </w:r>
      <w:r>
        <w:rPr>
          <w:lang w:val="es-ES"/>
        </w:rPr>
        <w:t>y desordenado</w:t>
      </w:r>
      <w:r>
        <w:rPr>
          <w:lang w:val="es-ES"/>
        </w:rPr>
        <w:t xml:space="preserve"> el análisis pormenorizado de ciertas combinaciones migratorias. </w:t>
      </w:r>
    </w:p>
    <w:p>
      <w:pPr>
        <w:pStyle w:val="Normal"/>
        <w:rPr>
          <w:rFonts w:ascii="Helvetica-Light" w:hAnsi="Helvetica-Light" w:cs="Helvetica-Light"/>
          <w:sz w:val="18"/>
          <w:szCs w:val="18"/>
        </w:rPr>
      </w:pPr>
      <w:r>
        <w:rPr>
          <w:lang w:val="es-ES"/>
        </w:rPr>
        <w:t>Este problema trae ligado el cuestionante sobre cuales son los  determinantes óptimos que son compartidos por las  provincias y  que permiten configurar un macro-entorno en donde se pueda  observar dinámicas migratorias similares, una primera respuesta podría ser la típica definición regional del país, pero esta misma peca de ponderar con mayor peso a cuestiones puramente geográficas, y dejan de lado consideraciones desde la visión socio-económica de las regiones.</w:t>
      </w:r>
    </w:p>
    <w:p>
      <w:pPr>
        <w:pStyle w:val="Normal"/>
        <w:rPr>
          <w:rFonts w:ascii="Helvetica-Light" w:hAnsi="Helvetica-Light" w:cs="Helvetica-Light"/>
          <w:sz w:val="18"/>
          <w:szCs w:val="18"/>
        </w:rPr>
      </w:pPr>
      <w:r>
        <w:rPr>
          <w:i w:val="false"/>
          <w:iCs w:val="false"/>
          <w:lang w:val="es-ES"/>
        </w:rPr>
        <w:t xml:space="preserve">Teniendo </w:t>
      </w:r>
      <w:r>
        <w:rPr>
          <w:lang w:val="es-ES"/>
        </w:rPr>
        <w:t xml:space="preserve">en cuenta </w:t>
      </w:r>
      <w:r>
        <w:rPr>
          <w:lang w:val="es-ES"/>
        </w:rPr>
        <w:t>esta problemática y</w:t>
      </w:r>
      <w:r>
        <w:rPr>
          <w:lang w:val="es-ES"/>
        </w:rPr>
        <w:t xml:space="preserve"> las teorías de aglomeración espacial de la nueva geografía económica </w:t>
      </w:r>
      <w:r>
        <w:rPr>
          <w:lang w:val="es-ES"/>
        </w:rPr>
        <w:t>(Krugman 1994)</w:t>
      </w:r>
      <w:r>
        <w:rPr>
          <w:rFonts w:cs="Helvetica-Light" w:ascii="Helvetica-Light" w:hAnsi="Helvetica-Light"/>
          <w:sz w:val="18"/>
          <w:szCs w:val="18"/>
        </w:rPr>
        <w:t xml:space="preserve">, </w:t>
      </w:r>
      <w:r>
        <w:rPr>
          <w:rFonts w:cs="Helvetica-Light" w:ascii="Helvetica-Light" w:hAnsi="Helvetica-Light"/>
          <w:sz w:val="18"/>
          <w:szCs w:val="18"/>
        </w:rPr>
        <w:t xml:space="preserve">en donde </w:t>
      </w:r>
      <w:r>
        <w:rPr>
          <w:rFonts w:cs="Helvetica-Light" w:ascii="Helvetica-Light" w:hAnsi="Helvetica-Light"/>
          <w:sz w:val="18"/>
          <w:szCs w:val="18"/>
        </w:rPr>
        <w:t>queda demostrado que, bajo supuestos de mercados de competencia monopolist</w:t>
      </w:r>
      <w:r>
        <w:rPr>
          <w:rFonts w:cs="Helvetica-Light" w:ascii="Helvetica-Light" w:hAnsi="Helvetica-Light"/>
          <w:sz w:val="18"/>
          <w:szCs w:val="18"/>
        </w:rPr>
        <w:t>ica</w:t>
      </w:r>
      <w:r>
        <w:rPr>
          <w:rFonts w:cs="Helvetica-Light" w:ascii="Helvetica-Light" w:hAnsi="Helvetica-Light"/>
          <w:sz w:val="18"/>
          <w:szCs w:val="18"/>
        </w:rPr>
        <w:t xml:space="preserve">, </w:t>
      </w:r>
      <w:r>
        <w:rPr>
          <w:rFonts w:cs="Helvetica-Light" w:ascii="Helvetica-Light" w:hAnsi="Helvetica-Light"/>
          <w:sz w:val="18"/>
          <w:szCs w:val="18"/>
        </w:rPr>
        <w:t xml:space="preserve">costos de transporte, </w:t>
      </w:r>
      <w:r>
        <w:rPr>
          <w:rFonts w:cs="Helvetica-Light" w:ascii="Helvetica-Light" w:hAnsi="Helvetica-Light"/>
          <w:sz w:val="18"/>
          <w:szCs w:val="18"/>
        </w:rPr>
        <w:t xml:space="preserve">movilidad factorial </w:t>
      </w:r>
      <w:r>
        <w:rPr>
          <w:rFonts w:cs="Helvetica-Light" w:ascii="Helvetica-Light" w:hAnsi="Helvetica-Light"/>
          <w:sz w:val="18"/>
          <w:szCs w:val="18"/>
        </w:rPr>
        <w:t xml:space="preserve">y sectores de actividad de económica bien diferenciados, la movilidad de las personas (factor trabajo) converge a la aglomeración de la producción y el consumo en unas pocas regiones con dinámicas productivas similares, </w:t>
      </w:r>
      <w:r>
        <w:rPr>
          <w:rFonts w:cs="Helvetica-Light" w:ascii="Helvetica-Light" w:hAnsi="Helvetica-Light"/>
          <w:sz w:val="18"/>
          <w:szCs w:val="18"/>
        </w:rPr>
        <w:t xml:space="preserve">ergo, </w:t>
      </w:r>
      <w:r>
        <w:rPr>
          <w:rFonts w:cs="Helvetica-Light" w:ascii="Helvetica-Light" w:hAnsi="Helvetica-Light"/>
          <w:sz w:val="18"/>
          <w:szCs w:val="18"/>
        </w:rPr>
        <w:t xml:space="preserve">la problemática del análisis pormenorizado de la migraciones interprovinciales puede ser morigerado </w:t>
      </w:r>
      <w:r>
        <w:rPr>
          <w:rFonts w:cs="Helvetica-Light" w:ascii="Helvetica-Light" w:hAnsi="Helvetica-Light"/>
          <w:sz w:val="18"/>
          <w:szCs w:val="18"/>
          <w:lang w:val="es-ES"/>
        </w:rPr>
        <w:t xml:space="preserve">a través de una </w:t>
      </w:r>
      <w:r>
        <w:rPr>
          <w:rFonts w:cs="Helvetica-Light" w:ascii="Helvetica-Light" w:hAnsi="Helvetica-Light"/>
          <w:sz w:val="18"/>
          <w:szCs w:val="18"/>
          <w:lang w:val="es-ES"/>
        </w:rPr>
        <w:t>aglomeración</w:t>
      </w:r>
      <w:r>
        <w:rPr>
          <w:rFonts w:cs="Helvetica-Light" w:ascii="Helvetica-Light" w:hAnsi="Helvetica-Light"/>
          <w:sz w:val="18"/>
          <w:szCs w:val="18"/>
          <w:lang w:val="es-ES"/>
        </w:rPr>
        <w:t xml:space="preserve"> de las provincias en </w:t>
      </w:r>
      <w:r>
        <w:rPr>
          <w:rFonts w:cs="Helvetica-Light" w:ascii="Helvetica-Light" w:hAnsi="Helvetica-Light"/>
          <w:i/>
          <w:iCs/>
          <w:sz w:val="18"/>
          <w:szCs w:val="18"/>
          <w:lang w:val="es-ES"/>
        </w:rPr>
        <w:t xml:space="preserve">clusters </w:t>
      </w:r>
      <w:r>
        <w:rPr>
          <w:rFonts w:cs="Helvetica-Light" w:ascii="Helvetica-Light" w:hAnsi="Helvetica-Light"/>
          <w:i w:val="false"/>
          <w:iCs w:val="false"/>
          <w:sz w:val="18"/>
          <w:szCs w:val="18"/>
          <w:lang w:val="es-ES"/>
        </w:rPr>
        <w:t>considerando determinados macrofactores que serán definidos posteriormente en este trabajo</w:t>
      </w:r>
      <w:r>
        <w:rPr>
          <w:rFonts w:cs="Helvetica-Light" w:ascii="Helvetica-Light" w:hAnsi="Helvetica-Light"/>
          <w:i/>
          <w:iCs/>
          <w:sz w:val="18"/>
          <w:szCs w:val="18"/>
          <w:lang w:val="es-ES"/>
        </w:rPr>
        <w:t xml:space="preserve">. </w:t>
      </w:r>
    </w:p>
    <w:p>
      <w:pPr>
        <w:pStyle w:val="Normal"/>
        <w:rPr>
          <w:rFonts w:ascii="Helvetica-Light" w:hAnsi="Helvetica-Light" w:cs="Helvetica-Light"/>
          <w:sz w:val="18"/>
          <w:szCs w:val="18"/>
        </w:rPr>
      </w:pPr>
      <w:r>
        <w:rPr>
          <w:rFonts w:cs="Helvetica-Light" w:ascii="Helvetica-Light" w:hAnsi="Helvetica-Light"/>
          <w:i w:val="false"/>
          <w:iCs w:val="false"/>
          <w:sz w:val="18"/>
          <w:szCs w:val="18"/>
        </w:rPr>
        <w:t>Dicha simplificación tiene su base en la consideración de</w:t>
      </w:r>
      <w:r>
        <w:rPr>
          <w:rFonts w:cs="Helvetica-Light" w:ascii="Helvetica-Light" w:hAnsi="Helvetica-Light"/>
          <w:sz w:val="18"/>
          <w:szCs w:val="18"/>
        </w:rPr>
        <w:t xml:space="preserve"> que  zonas </w:t>
      </w:r>
      <w:r>
        <w:rPr>
          <w:rFonts w:cs="Helvetica-Light" w:ascii="Helvetica-Light" w:hAnsi="Helvetica-Light"/>
          <w:sz w:val="18"/>
          <w:szCs w:val="18"/>
        </w:rPr>
        <w:t xml:space="preserve">altamente pobladas generan una mayor “atracción” debido a la mayor diversidad de bienes y </w:t>
      </w:r>
      <w:r>
        <w:rPr>
          <w:rFonts w:cs="Helvetica-Light" w:ascii="Helvetica-Light" w:hAnsi="Helvetica-Light"/>
          <w:sz w:val="18"/>
          <w:szCs w:val="18"/>
        </w:rPr>
        <w:t>de</w:t>
      </w:r>
      <w:r>
        <w:rPr>
          <w:rFonts w:cs="Helvetica-Light" w:ascii="Helvetica-Light" w:hAnsi="Helvetica-Light"/>
          <w:sz w:val="18"/>
          <w:szCs w:val="18"/>
        </w:rPr>
        <w:t xml:space="preserve"> salarios reales mas </w:t>
      </w:r>
      <w:r>
        <w:rPr>
          <w:rFonts w:cs="Helvetica-Light" w:ascii="Helvetica-Light" w:hAnsi="Helvetica-Light"/>
          <w:sz w:val="18"/>
          <w:szCs w:val="18"/>
        </w:rPr>
        <w:t>elevados</w:t>
      </w:r>
      <w:r>
        <w:rPr>
          <w:rFonts w:cs="Helvetica-Light" w:ascii="Helvetica-Light" w:hAnsi="Helvetica-Light"/>
          <w:sz w:val="18"/>
          <w:szCs w:val="18"/>
        </w:rPr>
        <w:t xml:space="preserve">, </w:t>
      </w:r>
      <w:r>
        <w:rPr>
          <w:rFonts w:cs="Helvetica-Light" w:ascii="Helvetica-Light" w:hAnsi="Helvetica-Light"/>
          <w:sz w:val="18"/>
          <w:szCs w:val="18"/>
        </w:rPr>
        <w:t xml:space="preserve">mientras que </w:t>
      </w:r>
      <w:r>
        <w:rPr>
          <w:rFonts w:cs="Helvetica-Light" w:ascii="Helvetica-Light" w:hAnsi="Helvetica-Light"/>
          <w:sz w:val="18"/>
          <w:szCs w:val="18"/>
        </w:rPr>
        <w:t xml:space="preserve">las empresas se ven altamente beneficiadas </w:t>
      </w:r>
      <w:r>
        <w:rPr>
          <w:rFonts w:cs="Helvetica-Light" w:ascii="Helvetica-Light" w:hAnsi="Helvetica-Light"/>
          <w:sz w:val="18"/>
          <w:szCs w:val="18"/>
        </w:rPr>
        <w:t xml:space="preserve">a causa del amplio mercado local que se genera lo que permite que </w:t>
      </w:r>
      <w:r>
        <w:rPr>
          <w:rFonts w:cs="Helvetica-Light" w:ascii="Helvetica-Light" w:hAnsi="Helvetica-Light"/>
          <w:sz w:val="18"/>
          <w:szCs w:val="18"/>
        </w:rPr>
        <w:t>incurr</w:t>
      </w:r>
      <w:r>
        <w:rPr>
          <w:rFonts w:cs="Helvetica-Light" w:ascii="Helvetica-Light" w:hAnsi="Helvetica-Light"/>
          <w:sz w:val="18"/>
          <w:szCs w:val="18"/>
        </w:rPr>
        <w:t>a</w:t>
      </w:r>
      <w:r>
        <w:rPr>
          <w:rFonts w:cs="Helvetica-Light" w:ascii="Helvetica-Light" w:hAnsi="Helvetica-Light"/>
          <w:sz w:val="18"/>
          <w:szCs w:val="18"/>
        </w:rPr>
        <w:t xml:space="preserve">n en menores costos de transporte, </w:t>
      </w:r>
      <w:r>
        <w:rPr>
          <w:rFonts w:cs="Helvetica-Light" w:ascii="Helvetica-Light" w:hAnsi="Helvetica-Light"/>
          <w:sz w:val="18"/>
          <w:szCs w:val="18"/>
        </w:rPr>
        <w:t>al mismo tiempo que</w:t>
      </w:r>
      <w:r>
        <w:rPr>
          <w:rFonts w:cs="Helvetica-Light" w:ascii="Helvetica-Light" w:hAnsi="Helvetica-Light"/>
          <w:sz w:val="18"/>
          <w:szCs w:val="18"/>
        </w:rPr>
        <w:t xml:space="preserve"> se benefician de las economías de escala y de los encadenamientos hacia adelante y hacia atrás que producen la concentración industrial, </w:t>
      </w:r>
      <w:r>
        <w:rPr>
          <w:rFonts w:cs="Helvetica-Light" w:ascii="Helvetica-Light" w:hAnsi="Helvetica-Light"/>
          <w:sz w:val="18"/>
          <w:szCs w:val="18"/>
        </w:rPr>
        <w:t xml:space="preserve">esto conlleva a que </w:t>
      </w:r>
      <w:r>
        <w:rPr>
          <w:rFonts w:cs="Helvetica-Light" w:ascii="Helvetica-Light" w:hAnsi="Helvetica-Light"/>
          <w:sz w:val="18"/>
          <w:szCs w:val="18"/>
        </w:rPr>
        <w:t xml:space="preserve">se </w:t>
      </w:r>
      <w:r>
        <w:rPr>
          <w:rFonts w:cs="Helvetica-Light" w:ascii="Helvetica-Light" w:hAnsi="Helvetica-Light"/>
          <w:sz w:val="18"/>
          <w:szCs w:val="18"/>
        </w:rPr>
        <w:t>generen</w:t>
      </w:r>
      <w:r>
        <w:rPr>
          <w:rFonts w:cs="Helvetica-Light" w:ascii="Helvetica-Light" w:hAnsi="Helvetica-Light"/>
          <w:sz w:val="18"/>
          <w:szCs w:val="18"/>
        </w:rPr>
        <w:t xml:space="preserve"> </w:t>
      </w:r>
      <w:r>
        <w:rPr>
          <w:rFonts w:cs="Helvetica-Light" w:ascii="Helvetica-Light" w:hAnsi="Helvetica-Light"/>
          <w:sz w:val="18"/>
          <w:szCs w:val="18"/>
        </w:rPr>
        <w:t>procesos</w:t>
      </w:r>
      <w:r>
        <w:rPr>
          <w:rFonts w:cs="Helvetica-Light" w:ascii="Helvetica-Light" w:hAnsi="Helvetica-Light"/>
          <w:sz w:val="18"/>
          <w:szCs w:val="18"/>
        </w:rPr>
        <w:t xml:space="preserve"> </w:t>
      </w:r>
      <w:r>
        <w:rPr>
          <w:rFonts w:cs="Helvetica-Light" w:ascii="Helvetica-Light" w:hAnsi="Helvetica-Light"/>
          <w:sz w:val="18"/>
          <w:szCs w:val="18"/>
        </w:rPr>
        <w:t xml:space="preserve">migratorios hacia áreas determinadas que comparten características en términos de estructuras productivas, funcionamiento del mercado laboral, distribución del factor trabajo </w:t>
      </w:r>
      <w:r>
        <w:rPr>
          <w:rFonts w:cs="Helvetica-Light" w:ascii="Helvetica-Light" w:hAnsi="Helvetica-Light"/>
          <w:sz w:val="18"/>
          <w:szCs w:val="18"/>
        </w:rPr>
        <w:t>entre sectores de actividad económica</w:t>
      </w:r>
      <w:r>
        <w:rPr>
          <w:rFonts w:cs="Helvetica-Light" w:ascii="Helvetica-Light" w:hAnsi="Helvetica-Light"/>
          <w:sz w:val="18"/>
          <w:szCs w:val="18"/>
        </w:rPr>
        <w:t xml:space="preserve">, costos de transporte, salario real, y por ende, otros determinantes sociales y culturales que son consecuencia de </w:t>
      </w:r>
      <w:r>
        <w:rPr>
          <w:rFonts w:cs="Helvetica-Light" w:ascii="Helvetica-Light" w:hAnsi="Helvetica-Light"/>
          <w:sz w:val="18"/>
          <w:szCs w:val="18"/>
        </w:rPr>
        <w:t>los</w:t>
      </w:r>
      <w:r>
        <w:rPr>
          <w:rFonts w:cs="Helvetica-Light" w:ascii="Helvetica-Light" w:hAnsi="Helvetica-Light"/>
          <w:sz w:val="18"/>
          <w:szCs w:val="18"/>
        </w:rPr>
        <w:t xml:space="preserve"> efecto</w:t>
      </w:r>
      <w:r>
        <w:rPr>
          <w:rFonts w:cs="Helvetica-Light" w:ascii="Helvetica-Light" w:hAnsi="Helvetica-Light"/>
          <w:sz w:val="18"/>
          <w:szCs w:val="18"/>
        </w:rPr>
        <w:t>s</w:t>
      </w:r>
      <w:r>
        <w:rPr>
          <w:rFonts w:cs="Helvetica-Light" w:ascii="Helvetica-Light" w:hAnsi="Helvetica-Light"/>
          <w:sz w:val="18"/>
          <w:szCs w:val="18"/>
        </w:rPr>
        <w:t xml:space="preserve"> </w:t>
      </w:r>
      <w:r>
        <w:rPr>
          <w:rFonts w:cs="Helvetica-Light" w:ascii="Helvetica-Light" w:hAnsi="Helvetica-Light"/>
          <w:sz w:val="18"/>
          <w:szCs w:val="18"/>
        </w:rPr>
        <w:t>de la aglomeración espacial.</w:t>
      </w:r>
    </w:p>
    <w:p>
      <w:pPr>
        <w:pStyle w:val="Normal"/>
        <w:rPr>
          <w:rFonts w:ascii="Helvetica-Light" w:hAnsi="Helvetica-Light" w:cs="Helvetica-Light"/>
          <w:sz w:val="18"/>
          <w:szCs w:val="18"/>
        </w:rPr>
      </w:pPr>
      <w:r>
        <w:rPr/>
      </w:r>
    </w:p>
    <w:p>
      <w:pPr>
        <w:pStyle w:val="Normal"/>
        <w:rPr>
          <w:rFonts w:ascii="Helvetica-Light" w:hAnsi="Helvetica-Light" w:cs="Helvetica-Light"/>
          <w:sz w:val="18"/>
          <w:szCs w:val="18"/>
        </w:rPr>
      </w:pPr>
      <w:r>
        <w:rPr/>
      </w:r>
    </w:p>
    <w:p>
      <w:pPr>
        <w:pStyle w:val="Normal"/>
        <w:rPr>
          <w:rFonts w:ascii="Helvetica-Light" w:hAnsi="Helvetica-Light" w:cs="Helvetica-Light"/>
          <w:sz w:val="18"/>
          <w:szCs w:val="18"/>
        </w:rPr>
      </w:pPr>
      <w:r>
        <w:rPr>
          <w:rFonts w:cs="Helvetica-Light" w:ascii="Helvetica-Light" w:hAnsi="Helvetica-Light"/>
          <w:sz w:val="18"/>
          <w:szCs w:val="18"/>
        </w:rPr>
        <w:t>D</w:t>
      </w:r>
      <w:r>
        <w:rPr>
          <w:rFonts w:cs="Helvetica-Light" w:ascii="Helvetica-Light" w:hAnsi="Helvetica-Light"/>
          <w:sz w:val="18"/>
          <w:szCs w:val="18"/>
        </w:rPr>
        <w:t>efinición de los clusters</w:t>
      </w:r>
    </w:p>
    <w:p>
      <w:pPr>
        <w:pStyle w:val="Normal"/>
        <w:rPr>
          <w:rFonts w:ascii="Helvetica-Light" w:hAnsi="Helvetica-Light" w:cs="Helvetica-Light"/>
          <w:sz w:val="18"/>
          <w:szCs w:val="18"/>
        </w:rPr>
      </w:pPr>
      <w:r>
        <w:rPr>
          <w:rFonts w:cs="Helvetica-Light" w:ascii="Helvetica-Light" w:hAnsi="Helvetica-Light"/>
          <w:sz w:val="18"/>
          <w:szCs w:val="18"/>
        </w:rPr>
        <w:t xml:space="preserve"> </w:t>
      </w:r>
      <w:r>
        <w:rPr>
          <w:rFonts w:cs="Helvetica-Light" w:ascii="Helvetica-Light" w:hAnsi="Helvetica-Light"/>
          <w:sz w:val="18"/>
          <w:szCs w:val="18"/>
        </w:rPr>
        <w:t xml:space="preserve">Para la elección de los macro factores (Jana Kuhnt, 2019) de aglomeración de las provincias de Argentina </w:t>
      </w:r>
      <w:r>
        <w:rPr>
          <w:rFonts w:cs="Helvetica-Light" w:ascii="Helvetica-Light" w:hAnsi="Helvetica-Light"/>
          <w:sz w:val="18"/>
          <w:szCs w:val="18"/>
        </w:rPr>
        <w:t xml:space="preserve">se optó por dividirlos en factores sociodemográficos y económicos, </w:t>
      </w:r>
      <w:r>
        <w:rPr>
          <w:rFonts w:cs="Helvetica-Light" w:ascii="Helvetica-Light" w:hAnsi="Helvetica-Light"/>
          <w:sz w:val="18"/>
          <w:szCs w:val="18"/>
        </w:rPr>
        <w:t>tomando como parámetros base el trabajo de Martín Cicowiez (2003) y aportando algunos nuevos en pos de reflejar las variables compartidas según las teorías de aglomeración productiva de la nueva geografía económica</w:t>
      </w:r>
      <w:r>
        <w:rPr>
          <w:rFonts w:cs="Helvetica-Light" w:ascii="Helvetica-Light" w:hAnsi="Helvetica-Light"/>
          <w:sz w:val="18"/>
          <w:szCs w:val="18"/>
        </w:rPr>
        <w:t>.</w:t>
      </w:r>
    </w:p>
    <w:p>
      <w:pPr>
        <w:pStyle w:val="Normal"/>
        <w:rPr>
          <w:rFonts w:ascii="Helvetica-Light" w:hAnsi="Helvetica-Light" w:cs="Helvetica-Light"/>
          <w:sz w:val="18"/>
          <w:szCs w:val="18"/>
        </w:rPr>
      </w:pPr>
      <w:r>
        <w:rPr>
          <w:rFonts w:cs="Helvetica-Light" w:ascii="Helvetica-Light" w:hAnsi="Helvetica-Light"/>
          <w:sz w:val="18"/>
          <w:szCs w:val="18"/>
        </w:rPr>
        <w:t>Dentro de los factores sociodemográficos de macrolocalización se pueden encontrar:</w:t>
      </w:r>
    </w:p>
    <w:p>
      <w:pPr>
        <w:pStyle w:val="Normal"/>
        <w:rPr>
          <w:rFonts w:ascii="Helvetica-Light" w:hAnsi="Helvetica-Light" w:cs="Helvetica-Light"/>
          <w:sz w:val="18"/>
          <w:szCs w:val="18"/>
        </w:rPr>
      </w:pPr>
      <w:r>
        <w:rPr>
          <w:rFonts w:cs="Helvetica-Light" w:ascii="Helvetica-Light" w:hAnsi="Helvetica-Light"/>
          <w:sz w:val="18"/>
          <w:szCs w:val="18"/>
        </w:rPr>
        <w:t>* Densidad Poblacional: Esta variable indica la cantidad de habitantes por $Km^2$ de cada provincia, tiene como fuente el Censo Nacional de Población y Vivienda del INDEC realizado en el año 2010.</w:t>
      </w:r>
    </w:p>
    <w:p>
      <w:pPr>
        <w:pStyle w:val="Normal"/>
        <w:rPr>
          <w:rFonts w:ascii="Helvetica-Light" w:hAnsi="Helvetica-Light" w:cs="Helvetica-Light"/>
          <w:sz w:val="18"/>
          <w:szCs w:val="18"/>
        </w:rPr>
      </w:pPr>
      <w:r>
        <w:rPr>
          <w:rFonts w:cs="Helvetica-Light" w:ascii="Helvetica-Light" w:hAnsi="Helvetica-Light"/>
          <w:sz w:val="18"/>
          <w:szCs w:val="18"/>
        </w:rPr>
        <w:t xml:space="preserve">* Tasa de promoción efectiva secundaria: En esta variable se busca encontrar una aproximación a la calidad y efectividad del aparato educativo </w:t>
      </w:r>
      <w:r>
        <w:rPr>
          <w:rFonts w:cs="Helvetica-Light" w:ascii="Helvetica-Light" w:hAnsi="Helvetica-Light"/>
          <w:sz w:val="18"/>
          <w:szCs w:val="18"/>
        </w:rPr>
        <w:t>en cada provincia</w:t>
      </w:r>
      <w:r>
        <w:rPr>
          <w:rFonts w:cs="Helvetica-Light" w:ascii="Helvetica-Light" w:hAnsi="Helvetica-Light"/>
          <w:sz w:val="18"/>
          <w:szCs w:val="18"/>
        </w:rPr>
        <w:t>, siendo que no solo es importante el acceso a la educación media en términos de tasa de escolarización neta secundaria, sino también la</w:t>
      </w:r>
      <w:r>
        <w:rPr>
          <w:rFonts w:cs="Helvetica-Light" w:ascii="Helvetica-Light" w:hAnsi="Helvetica-Light"/>
          <w:sz w:val="18"/>
          <w:szCs w:val="18"/>
        </w:rPr>
        <w:t xml:space="preserve"> posibilidad de sortear los obstáculos para lograr completar el nivel secundario.</w:t>
      </w:r>
    </w:p>
    <w:p>
      <w:pPr>
        <w:pStyle w:val="Normal"/>
        <w:rPr>
          <w:rFonts w:ascii="Helvetica-Light" w:hAnsi="Helvetica-Light" w:cs="Helvetica-Light"/>
          <w:sz w:val="18"/>
          <w:szCs w:val="18"/>
        </w:rPr>
      </w:pPr>
      <w:r>
        <w:rPr>
          <w:rFonts w:cs="Helvetica-Light" w:ascii="Helvetica-Light" w:hAnsi="Helvetica-Light"/>
          <w:sz w:val="18"/>
          <w:szCs w:val="18"/>
        </w:rPr>
        <w:t>* Mortalidad infantil: Se calcula como la mortalidad infantil por cada 1000 nacidos vivos según la provincia de residencia  de la madre, estos datos tienen como fuente la secretaría de acceso a la salud del ministerio de salud de la Nación Argentina, e intenta mostrar las diferencias y similitudes en el acceso a la salud y a las posibilidades de un desarrollo de un proyecto familiar.</w:t>
      </w:r>
    </w:p>
    <w:p>
      <w:pPr>
        <w:pStyle w:val="Normal"/>
        <w:rPr>
          <w:rFonts w:ascii="Helvetica-Light" w:hAnsi="Helvetica-Light" w:cs="Helvetica-Light"/>
          <w:sz w:val="18"/>
          <w:szCs w:val="18"/>
        </w:rPr>
      </w:pPr>
      <w:r>
        <w:rPr>
          <w:rFonts w:cs="Helvetica-Light" w:ascii="Helvetica-Light" w:hAnsi="Helvetica-Light"/>
          <w:sz w:val="18"/>
          <w:szCs w:val="18"/>
        </w:rPr>
        <w:t xml:space="preserve">* </w:t>
      </w:r>
    </w:p>
    <w:p>
      <w:pPr>
        <w:pStyle w:val="Normal"/>
        <w:rPr>
          <w:rFonts w:ascii="Helvetica-Light" w:hAnsi="Helvetica-Light" w:cs="Helvetica-Light"/>
          <w:sz w:val="18"/>
          <w:szCs w:val="18"/>
        </w:rPr>
      </w:pPr>
      <w:r>
        <w:rPr>
          <w:rFonts w:cs="Helvetica-Light" w:ascii="Arial" w:hAnsi="Arial"/>
          <w:b w:val="false"/>
          <w:i w:val="false"/>
          <w:strike w:val="false"/>
          <w:dstrike w:val="false"/>
          <w:outline w:val="false"/>
          <w:shadow w:val="false"/>
          <w:color w:val="auto"/>
          <w:sz w:val="20"/>
          <w:szCs w:val="18"/>
          <w:u w:val="none"/>
          <w:em w:val="none"/>
        </w:rPr>
        <w:t>fuente:</w:t>
      </w:r>
      <w:r>
        <w:rPr>
          <w:rFonts w:ascii="Arial" w:hAnsi="Arial"/>
          <w:b w:val="false"/>
          <w:i w:val="false"/>
          <w:strike w:val="false"/>
          <w:dstrike w:val="false"/>
          <w:outline w:val="false"/>
          <w:shadow w:val="false"/>
          <w:sz w:val="20"/>
          <w:u w:val="none"/>
          <w:em w:val="none"/>
        </w:rPr>
        <w:t>0</w:t>
      </w:r>
      <w:r>
        <w:rPr>
          <w:rFonts w:ascii="Arial" w:hAnsi="Arial"/>
          <w:b/>
          <w:i w:val="false"/>
          <w:strike w:val="false"/>
          <w:dstrike w:val="false"/>
          <w:outline w:val="false"/>
          <w:shadow w:val="false"/>
          <w:color w:val="auto"/>
          <w:sz w:val="16"/>
          <w:u w:val="none"/>
          <w:em w:val="none"/>
        </w:rPr>
        <w:t xml:space="preserve">Fuente: </w:t>
      </w:r>
      <w:r>
        <w:rPr>
          <w:rFonts w:ascii="Arial" w:hAnsi="Arial"/>
          <w:b w:val="false"/>
          <w:i w:val="false"/>
          <w:strike w:val="false"/>
          <w:dstrike w:val="false"/>
          <w:outline w:val="false"/>
          <w:shadow w:val="false"/>
          <w:sz w:val="20"/>
          <w:u w:val="none"/>
          <w:em w:val="none"/>
        </w:rPr>
        <w:t>0</w:t>
      </w:r>
      <w:r>
        <w:rPr>
          <w:rFonts w:ascii="Arial" w:hAnsi="Arial"/>
          <w:b w:val="false"/>
          <w:i w:val="false"/>
          <w:strike w:val="false"/>
          <w:dstrike w:val="false"/>
          <w:outline w:val="false"/>
          <w:shadow w:val="false"/>
          <w:color w:val="auto"/>
          <w:sz w:val="16"/>
          <w:u w:val="none"/>
          <w:em w:val="none"/>
        </w:rPr>
        <w:t xml:space="preserve">Ministerio de Salud. Secretaria de Acceso a la Salud. Dirección de Estadísticas e Información en </w:t>
      </w:r>
      <w:r>
        <w:rPr>
          <w:rFonts w:ascii="Arial" w:hAnsi="Arial"/>
          <w:b w:val="false"/>
          <w:i w:val="false"/>
          <w:strike w:val="false"/>
          <w:dstrike w:val="false"/>
          <w:outline w:val="false"/>
          <w:shadow w:val="false"/>
          <w:sz w:val="20"/>
          <w:u w:val="none"/>
          <w:em w:val="none"/>
        </w:rPr>
        <w:t>0</w:t>
      </w:r>
      <w:r>
        <w:rPr>
          <w:rFonts w:ascii="Arial" w:hAnsi="Arial"/>
          <w:b w:val="false"/>
          <w:i w:val="false"/>
          <w:strike w:val="false"/>
          <w:dstrike w:val="false"/>
          <w:outline w:val="false"/>
          <w:shadow w:val="false"/>
          <w:color w:val="auto"/>
          <w:sz w:val="16"/>
          <w:u w:val="none"/>
          <w:em w:val="none"/>
        </w:rPr>
        <w:t>Salud (DEIS).</w:t>
      </w:r>
    </w:p>
    <w:p>
      <w:pPr>
        <w:pStyle w:val="Normal"/>
        <w:rPr>
          <w:rFonts w:ascii="Helvetica-Light" w:hAnsi="Helvetica-Light" w:cs="Helvetica-Light"/>
          <w:sz w:val="18"/>
          <w:szCs w:val="18"/>
        </w:rPr>
      </w:pPr>
      <w:r>
        <w:rPr/>
      </w:r>
    </w:p>
    <w:p>
      <w:pPr>
        <w:pStyle w:val="Normal"/>
        <w:rPr>
          <w:rFonts w:ascii="Helvetica-Light" w:hAnsi="Helvetica-Light" w:cs="Helvetica-Light"/>
          <w:sz w:val="18"/>
          <w:szCs w:val="18"/>
        </w:rPr>
      </w:pPr>
      <w:r>
        <w:rPr/>
      </w:r>
    </w:p>
    <w:p>
      <w:pPr>
        <w:pStyle w:val="Normal"/>
        <w:spacing w:before="0" w:after="160"/>
        <w:rPr>
          <w:rFonts w:ascii="Helvetica-Light" w:hAnsi="Helvetica-Light" w:cs="Helvetica-Light"/>
          <w:sz w:val="18"/>
          <w:szCs w:val="18"/>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Helvetica-Light">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Application>LibreOffice/6.4.7.2$Linux_X86_64 LibreOffice_project/40$Build-2</Application>
  <Pages>2</Pages>
  <Words>781</Words>
  <Characters>4486</Characters>
  <CharactersWithSpaces>5264</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2021-05-12T14:06:00Z</dcterms:created>
  <dc:creator>Alejandro Chaín</dc:creator>
  <dc:description/>
  <dc:language>en-US</dc:language>
  <cp:lastModifiedBy/>
  <dcterms:modified xsi:type="dcterms:W3CDTF">2021-05-15T13:07:15Z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