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851B2" w14:textId="77777777" w:rsidR="004A5D89" w:rsidRDefault="004A5D89">
      <w:pPr>
        <w:rPr>
          <w:b/>
          <w:bCs/>
        </w:rPr>
      </w:pPr>
    </w:p>
    <w:p w14:paraId="505D6FCC" w14:textId="547A1E94" w:rsidR="00D32F03" w:rsidRPr="00B27ABD" w:rsidRDefault="00B27ABD" w:rsidP="00941B6C">
      <w:pPr>
        <w:spacing w:line="276" w:lineRule="auto"/>
        <w:rPr>
          <w:b/>
          <w:bCs/>
          <w:u w:val="single"/>
        </w:rPr>
      </w:pPr>
      <w:r w:rsidRPr="00B27ABD">
        <w:rPr>
          <w:b/>
          <w:bCs/>
          <w:u w:val="single"/>
        </w:rPr>
        <w:t>Abstract</w:t>
      </w:r>
    </w:p>
    <w:p w14:paraId="08C2FC11" w14:textId="5DC4E967" w:rsidR="003717A1" w:rsidRDefault="003717A1" w:rsidP="00941B6C">
      <w:pPr>
        <w:spacing w:line="276" w:lineRule="auto"/>
      </w:pPr>
      <w:r w:rsidRPr="00014BE5">
        <w:rPr>
          <w:b/>
          <w:bCs/>
        </w:rPr>
        <w:t>Background</w:t>
      </w:r>
      <w:r>
        <w:t xml:space="preserve">: The COVID-19 pandemic and subsequent lockdown measures have led to increasing mental health </w:t>
      </w:r>
      <w:r w:rsidR="00C46E0E">
        <w:t>concerns</w:t>
      </w:r>
      <w:r>
        <w:t xml:space="preserve"> in the general population.</w:t>
      </w:r>
    </w:p>
    <w:p w14:paraId="1FBECEB0" w14:textId="79DA911A" w:rsidR="003717A1" w:rsidRDefault="003717A1" w:rsidP="00941B6C">
      <w:pPr>
        <w:spacing w:line="276" w:lineRule="auto"/>
      </w:pPr>
      <w:r w:rsidRPr="00014BE5">
        <w:rPr>
          <w:b/>
          <w:bCs/>
        </w:rPr>
        <w:t>Objective</w:t>
      </w:r>
      <w:r>
        <w:t xml:space="preserve">: We aimed to </w:t>
      </w:r>
      <w:r w:rsidR="000E4C41">
        <w:t>assess the short-term impact of</w:t>
      </w:r>
      <w:r>
        <w:t xml:space="preserve"> the pandemic lockdown </w:t>
      </w:r>
      <w:r w:rsidR="000E4C41">
        <w:t xml:space="preserve">on mental health and </w:t>
      </w:r>
      <w:r w:rsidR="00C46E0E">
        <w:t>emergency</w:t>
      </w:r>
      <w:r w:rsidR="000E4C41">
        <w:t xml:space="preserve"> service</w:t>
      </w:r>
      <w:r w:rsidR="00C46E0E">
        <w:t xml:space="preserve"> use</w:t>
      </w:r>
      <w:r w:rsidR="000E4C41">
        <w:t xml:space="preserve"> </w:t>
      </w:r>
      <w:r>
        <w:t xml:space="preserve">in the Kitchener-Waterloo region of Ontario. </w:t>
      </w:r>
    </w:p>
    <w:p w14:paraId="7AA35C69" w14:textId="240F7762" w:rsidR="00D32F03" w:rsidRDefault="00D32F03" w:rsidP="00941B6C">
      <w:pPr>
        <w:spacing w:line="276" w:lineRule="auto"/>
      </w:pPr>
      <w:r w:rsidRPr="00014BE5">
        <w:rPr>
          <w:b/>
          <w:bCs/>
        </w:rPr>
        <w:t>Methods</w:t>
      </w:r>
      <w:r>
        <w:t xml:space="preserve">: We conducted an observational study </w:t>
      </w:r>
      <w:r w:rsidR="0036037E">
        <w:t xml:space="preserve">using </w:t>
      </w:r>
      <w:r w:rsidR="0055164A">
        <w:t xml:space="preserve">National Ambulatory Care Reporting System </w:t>
      </w:r>
      <w:r w:rsidR="0036037E">
        <w:t>metadata from</w:t>
      </w:r>
      <w:r>
        <w:t xml:space="preserve"> </w:t>
      </w:r>
      <w:r w:rsidR="000E4C41">
        <w:t>psychiatric assessments at</w:t>
      </w:r>
      <w:r>
        <w:t xml:space="preserve"> three</w:t>
      </w:r>
      <w:r w:rsidR="000E4C41">
        <w:t xml:space="preserve"> regional</w:t>
      </w:r>
      <w:r>
        <w:t xml:space="preserve"> hospitals, </w:t>
      </w:r>
      <w:r w:rsidR="000E4C41">
        <w:t xml:space="preserve">mental health </w:t>
      </w:r>
      <w:r w:rsidR="0036037E">
        <w:t xml:space="preserve">and substance </w:t>
      </w:r>
      <w:r w:rsidR="000E4C41">
        <w:t xml:space="preserve">related </w:t>
      </w:r>
      <w:r w:rsidR="0036037E">
        <w:t>calls to Waterloo Regional Police</w:t>
      </w:r>
      <w:r w:rsidR="00CA2CDF">
        <w:t xml:space="preserve">, </w:t>
      </w:r>
      <w:r>
        <w:t>and calls</w:t>
      </w:r>
      <w:r w:rsidR="0036037E">
        <w:t xml:space="preserve"> to a central mental health crisis telephone line</w:t>
      </w:r>
      <w:r>
        <w:t xml:space="preserve"> during pandemic lockdown</w:t>
      </w:r>
      <w:r w:rsidR="000E4C41">
        <w:t xml:space="preserve">, comparing these volumes </w:t>
      </w:r>
      <w:r w:rsidR="00C46E0E">
        <w:t>with</w:t>
      </w:r>
      <w:r w:rsidR="000E4C41">
        <w:t xml:space="preserve"> the same period in 2019</w:t>
      </w:r>
      <w:r>
        <w:t xml:space="preserve">. </w:t>
      </w:r>
    </w:p>
    <w:p w14:paraId="5C2F29BE" w14:textId="37D913E4" w:rsidR="00D32F03" w:rsidRDefault="00D32F03" w:rsidP="00941B6C">
      <w:pPr>
        <w:spacing w:line="276" w:lineRule="auto"/>
      </w:pPr>
      <w:r w:rsidRPr="00014BE5">
        <w:rPr>
          <w:b/>
          <w:bCs/>
        </w:rPr>
        <w:t>Results</w:t>
      </w:r>
      <w:r>
        <w:t xml:space="preserve">: Between March 5 and September 5, 2020, there was a marked reduction in </w:t>
      </w:r>
      <w:r w:rsidR="00941B6C">
        <w:t>all categories of</w:t>
      </w:r>
      <w:r>
        <w:t xml:space="preserve"> psychiatric emergency visits, </w:t>
      </w:r>
      <w:r w:rsidR="006F71B0">
        <w:t>when</w:t>
      </w:r>
      <w:r>
        <w:t xml:space="preserve"> compared to the same period </w:t>
      </w:r>
      <w:r w:rsidR="005327AF">
        <w:t>in</w:t>
      </w:r>
      <w:r>
        <w:t xml:space="preserve"> 2019. </w:t>
      </w:r>
    </w:p>
    <w:p w14:paraId="7EC10383" w14:textId="6634F703" w:rsidR="00D32F03" w:rsidRDefault="00D32F03" w:rsidP="00941B6C">
      <w:pPr>
        <w:spacing w:line="276" w:lineRule="auto"/>
      </w:pPr>
      <w:r w:rsidRPr="00014BE5">
        <w:rPr>
          <w:b/>
          <w:bCs/>
        </w:rPr>
        <w:t>Conclusions</w:t>
      </w:r>
      <w:r>
        <w:t>:</w:t>
      </w:r>
      <w:r w:rsidR="00280601">
        <w:t xml:space="preserve"> </w:t>
      </w:r>
    </w:p>
    <w:p w14:paraId="49D27A3A" w14:textId="2C08619D" w:rsidR="00D32F03" w:rsidRPr="00D32F03" w:rsidRDefault="00D32F03" w:rsidP="00941B6C">
      <w:pPr>
        <w:spacing w:line="276" w:lineRule="auto"/>
      </w:pPr>
      <w:r>
        <w:t>Keywords: COVID-19, lockdown, pandemic, psychiatric emergency</w:t>
      </w:r>
    </w:p>
    <w:p w14:paraId="51871DAE" w14:textId="77777777" w:rsidR="00D32F03" w:rsidRDefault="00D32F03" w:rsidP="00941B6C">
      <w:pPr>
        <w:spacing w:line="276" w:lineRule="auto"/>
        <w:rPr>
          <w:b/>
          <w:bCs/>
        </w:rPr>
      </w:pPr>
    </w:p>
    <w:p w14:paraId="48A84C2E" w14:textId="75F514E1" w:rsidR="004D308A" w:rsidRPr="00B27ABD" w:rsidRDefault="00B27ABD" w:rsidP="00941B6C">
      <w:pPr>
        <w:spacing w:line="276" w:lineRule="auto"/>
        <w:rPr>
          <w:b/>
          <w:bCs/>
          <w:u w:val="single"/>
        </w:rPr>
      </w:pPr>
      <w:r w:rsidRPr="00B27ABD">
        <w:rPr>
          <w:b/>
          <w:bCs/>
          <w:u w:val="single"/>
        </w:rPr>
        <w:t>Introduction</w:t>
      </w:r>
    </w:p>
    <w:p w14:paraId="3A952064" w14:textId="73964552" w:rsidR="000914B2" w:rsidRPr="006120A9" w:rsidRDefault="00772B66" w:rsidP="00941B6C">
      <w:pPr>
        <w:spacing w:line="276" w:lineRule="auto"/>
        <w:rPr>
          <w:color w:val="00B0F0"/>
        </w:rPr>
      </w:pPr>
      <w:r>
        <w:rPr>
          <w:rFonts w:cstheme="minorHAnsi"/>
          <w:color w:val="333333"/>
          <w:shd w:val="clear" w:color="auto" w:fill="FFFFFF"/>
        </w:rPr>
        <w:t xml:space="preserve">During the COVID-19 pandemic, the scope of community containment measures </w:t>
      </w:r>
      <w:proofErr w:type="gramStart"/>
      <w:r>
        <w:rPr>
          <w:rFonts w:cstheme="minorHAnsi"/>
          <w:color w:val="333333"/>
          <w:shd w:val="clear" w:color="auto" w:fill="FFFFFF"/>
        </w:rPr>
        <w:t>have</w:t>
      </w:r>
      <w:proofErr w:type="gramEnd"/>
      <w:r>
        <w:rPr>
          <w:rFonts w:cstheme="minorHAnsi"/>
          <w:color w:val="333333"/>
          <w:shd w:val="clear" w:color="auto" w:fill="FFFFFF"/>
        </w:rPr>
        <w:t xml:space="preserve"> been unprecedented in modern history and </w:t>
      </w:r>
      <w:r w:rsidR="00473B12">
        <w:rPr>
          <w:rFonts w:cstheme="minorHAnsi"/>
          <w:color w:val="333333"/>
          <w:shd w:val="clear" w:color="auto" w:fill="FFFFFF"/>
        </w:rPr>
        <w:t>are</w:t>
      </w:r>
      <w:r>
        <w:rPr>
          <w:rFonts w:cstheme="minorHAnsi"/>
          <w:color w:val="333333"/>
          <w:shd w:val="clear" w:color="auto" w:fill="FFFFFF"/>
        </w:rPr>
        <w:t xml:space="preserve"> colloquially referred to as </w:t>
      </w:r>
      <w:r w:rsidR="00F15446">
        <w:rPr>
          <w:rFonts w:cstheme="minorHAnsi"/>
          <w:color w:val="333333"/>
          <w:shd w:val="clear" w:color="auto" w:fill="FFFFFF"/>
        </w:rPr>
        <w:t>“</w:t>
      </w:r>
      <w:r>
        <w:rPr>
          <w:rFonts w:cstheme="minorHAnsi"/>
          <w:color w:val="333333"/>
          <w:shd w:val="clear" w:color="auto" w:fill="FFFFFF"/>
        </w:rPr>
        <w:t>lockdowns</w:t>
      </w:r>
      <w:r w:rsidR="00F15446">
        <w:rPr>
          <w:rFonts w:cstheme="minorHAnsi"/>
          <w:color w:val="333333"/>
          <w:shd w:val="clear" w:color="auto" w:fill="FFFFFF"/>
        </w:rPr>
        <w:t>”</w:t>
      </w:r>
      <w:r>
        <w:rPr>
          <w:rFonts w:cstheme="minorHAnsi"/>
          <w:color w:val="333333"/>
          <w:shd w:val="clear" w:color="auto" w:fill="FFFFFF"/>
        </w:rPr>
        <w:t xml:space="preserve"> </w:t>
      </w:r>
      <w:r>
        <w:t>(</w:t>
      </w:r>
      <w:r w:rsidRPr="00A12601">
        <w:rPr>
          <w:color w:val="4472C4" w:themeColor="accent1"/>
        </w:rPr>
        <w:t>Wilder-Smith 2020</w:t>
      </w:r>
      <w:r>
        <w:t>)</w:t>
      </w:r>
      <w:r>
        <w:rPr>
          <w:rFonts w:cstheme="minorHAnsi"/>
          <w:color w:val="333333"/>
          <w:shd w:val="clear" w:color="auto" w:fill="FFFFFF"/>
        </w:rPr>
        <w:t xml:space="preserve">. </w:t>
      </w:r>
      <w:r>
        <w:t xml:space="preserve">Such measures </w:t>
      </w:r>
      <w:r w:rsidR="00714E0B">
        <w:t>are variably defined, but generally expand</w:t>
      </w:r>
      <w:r>
        <w:t xml:space="preserve"> </w:t>
      </w:r>
      <w:r w:rsidR="00473B12">
        <w:t xml:space="preserve">voluntary </w:t>
      </w:r>
      <w:r>
        <w:t>social distancing</w:t>
      </w:r>
      <w:r w:rsidR="00280601">
        <w:t xml:space="preserve"> measures</w:t>
      </w:r>
      <w:r>
        <w:t xml:space="preserve"> through business, school, and workplace closures, restrictions on movement and social gatherings, </w:t>
      </w:r>
      <w:r w:rsidR="00473B12">
        <w:t xml:space="preserve">and </w:t>
      </w:r>
      <w:r>
        <w:t>impos</w:t>
      </w:r>
      <w:r w:rsidR="00280601">
        <w:t>ition of</w:t>
      </w:r>
      <w:r>
        <w:t xml:space="preserve"> legal penalties for violations</w:t>
      </w:r>
      <w:r w:rsidR="00280601">
        <w:t>. Lockdowns</w:t>
      </w:r>
      <w:r>
        <w:t xml:space="preserve"> must </w:t>
      </w:r>
      <w:r w:rsidR="005327AF">
        <w:t>often</w:t>
      </w:r>
      <w:r>
        <w:t xml:space="preserve"> remain in place for </w:t>
      </w:r>
      <w:r w:rsidR="005327AF">
        <w:t xml:space="preserve">a </w:t>
      </w:r>
      <w:r>
        <w:t xml:space="preserve">period of months to avoid a rebound in </w:t>
      </w:r>
      <w:r w:rsidR="005327AF">
        <w:t xml:space="preserve">disease </w:t>
      </w:r>
      <w:r>
        <w:t>transmission among susceptible individuals when controls are lifted (</w:t>
      </w:r>
      <w:r w:rsidRPr="00A12601">
        <w:rPr>
          <w:color w:val="4472C4" w:themeColor="accent1"/>
        </w:rPr>
        <w:t>Ferguson 2020</w:t>
      </w:r>
      <w:r w:rsidR="005327AF">
        <w:rPr>
          <w:color w:val="4472C4" w:themeColor="accent1"/>
        </w:rPr>
        <w:t>).</w:t>
      </w:r>
      <w:r w:rsidR="006120A9">
        <w:rPr>
          <w:color w:val="00B0F0"/>
        </w:rPr>
        <w:t xml:space="preserve"> </w:t>
      </w:r>
      <w:r w:rsidR="00930B49">
        <w:rPr>
          <w:rFonts w:cstheme="minorHAnsi"/>
          <w:color w:val="333333"/>
          <w:shd w:val="clear" w:color="auto" w:fill="FFFFFF"/>
        </w:rPr>
        <w:t>Quantitative e</w:t>
      </w:r>
      <w:r w:rsidR="00473B12">
        <w:rPr>
          <w:rFonts w:cstheme="minorHAnsi"/>
          <w:color w:val="333333"/>
          <w:shd w:val="clear" w:color="auto" w:fill="FFFFFF"/>
        </w:rPr>
        <w:t>valuations of</w:t>
      </w:r>
      <w:r w:rsidR="009D67F0">
        <w:rPr>
          <w:rFonts w:cstheme="minorHAnsi"/>
          <w:color w:val="333333"/>
          <w:shd w:val="clear" w:color="auto" w:fill="FFFFFF"/>
        </w:rPr>
        <w:t xml:space="preserve"> the effectiveness of such measures</w:t>
      </w:r>
      <w:r w:rsidR="00370C80">
        <w:rPr>
          <w:rFonts w:cstheme="minorHAnsi"/>
          <w:color w:val="333333"/>
          <w:shd w:val="clear" w:color="auto" w:fill="FFFFFF"/>
        </w:rPr>
        <w:t xml:space="preserve"> in </w:t>
      </w:r>
      <w:r w:rsidR="006120A9">
        <w:rPr>
          <w:rFonts w:cstheme="minorHAnsi"/>
          <w:color w:val="333333"/>
          <w:shd w:val="clear" w:color="auto" w:fill="FFFFFF"/>
        </w:rPr>
        <w:t>attenuating pandemic peaks</w:t>
      </w:r>
      <w:r w:rsidR="009D67F0">
        <w:rPr>
          <w:rFonts w:cstheme="minorHAnsi"/>
          <w:color w:val="333333"/>
          <w:shd w:val="clear" w:color="auto" w:fill="FFFFFF"/>
        </w:rPr>
        <w:t xml:space="preserve"> </w:t>
      </w:r>
      <w:r w:rsidR="00473B12">
        <w:rPr>
          <w:rFonts w:cstheme="minorHAnsi"/>
          <w:color w:val="333333"/>
          <w:shd w:val="clear" w:color="auto" w:fill="FFFFFF"/>
        </w:rPr>
        <w:t>are</w:t>
      </w:r>
      <w:r w:rsidR="009D67F0">
        <w:rPr>
          <w:rFonts w:cstheme="minorHAnsi"/>
          <w:color w:val="333333"/>
          <w:shd w:val="clear" w:color="auto" w:fill="FFFFFF"/>
        </w:rPr>
        <w:t xml:space="preserve"> </w:t>
      </w:r>
      <w:r w:rsidR="000F684F">
        <w:rPr>
          <w:rFonts w:cstheme="minorHAnsi"/>
          <w:color w:val="333333"/>
          <w:shd w:val="clear" w:color="auto" w:fill="FFFFFF"/>
        </w:rPr>
        <w:t xml:space="preserve">rapidly </w:t>
      </w:r>
      <w:r w:rsidR="009D67F0">
        <w:rPr>
          <w:rFonts w:cstheme="minorHAnsi"/>
          <w:color w:val="333333"/>
          <w:shd w:val="clear" w:color="auto" w:fill="FFFFFF"/>
        </w:rPr>
        <w:t>emerging (</w:t>
      </w:r>
      <w:r w:rsidR="00622DBF" w:rsidRPr="00622DBF">
        <w:rPr>
          <w:rFonts w:cstheme="minorHAnsi"/>
          <w:color w:val="4472C4" w:themeColor="accent1"/>
          <w:shd w:val="clear" w:color="auto" w:fill="FFFFFF"/>
        </w:rPr>
        <w:t>Flaxman, 2020, Islam, 2020</w:t>
      </w:r>
      <w:r w:rsidR="006120A9">
        <w:rPr>
          <w:rFonts w:cstheme="minorHAnsi"/>
          <w:color w:val="333333"/>
          <w:shd w:val="clear" w:color="auto" w:fill="FFFFFF"/>
        </w:rPr>
        <w:t xml:space="preserve">; </w:t>
      </w:r>
      <w:r w:rsidRPr="004B003F">
        <w:rPr>
          <w:color w:val="4472C4" w:themeColor="accent1"/>
        </w:rPr>
        <w:t>Fong 2020</w:t>
      </w:r>
      <w:r w:rsidR="006120A9">
        <w:t xml:space="preserve">; </w:t>
      </w:r>
      <w:r w:rsidR="006120A9" w:rsidRPr="00B007C6">
        <w:rPr>
          <w:color w:val="4472C4" w:themeColor="accent1"/>
        </w:rPr>
        <w:t>Petherick 2020</w:t>
      </w:r>
      <w:r>
        <w:t xml:space="preserve">). </w:t>
      </w:r>
    </w:p>
    <w:p w14:paraId="7983DFB8" w14:textId="18F9B53C" w:rsidR="004D3A65" w:rsidRPr="00C7226A" w:rsidRDefault="005327AF" w:rsidP="00941B6C">
      <w:pPr>
        <w:spacing w:line="276" w:lineRule="auto"/>
      </w:pPr>
      <w:r>
        <w:rPr>
          <w:rFonts w:cstheme="minorHAnsi"/>
          <w:color w:val="333333"/>
          <w:shd w:val="clear" w:color="auto" w:fill="FFFFFF"/>
        </w:rPr>
        <w:t>P</w:t>
      </w:r>
      <w:r w:rsidR="00772B66">
        <w:rPr>
          <w:rFonts w:cstheme="minorHAnsi"/>
          <w:color w:val="333333"/>
          <w:shd w:val="clear" w:color="auto" w:fill="FFFFFF"/>
        </w:rPr>
        <w:t>olicy considerations</w:t>
      </w:r>
      <w:r>
        <w:rPr>
          <w:rFonts w:cstheme="minorHAnsi"/>
          <w:color w:val="333333"/>
          <w:shd w:val="clear" w:color="auto" w:fill="FFFFFF"/>
        </w:rPr>
        <w:t>, however,</w:t>
      </w:r>
      <w:r w:rsidR="00772B66">
        <w:rPr>
          <w:rFonts w:cstheme="minorHAnsi"/>
          <w:color w:val="333333"/>
          <w:shd w:val="clear" w:color="auto" w:fill="FFFFFF"/>
        </w:rPr>
        <w:t xml:space="preserve"> must balance the</w:t>
      </w:r>
      <w:r>
        <w:rPr>
          <w:rFonts w:cstheme="minorHAnsi"/>
          <w:color w:val="333333"/>
          <w:shd w:val="clear" w:color="auto" w:fill="FFFFFF"/>
        </w:rPr>
        <w:t>se</w:t>
      </w:r>
      <w:r w:rsidR="00772B66">
        <w:rPr>
          <w:rFonts w:cstheme="minorHAnsi"/>
          <w:color w:val="333333"/>
          <w:shd w:val="clear" w:color="auto" w:fill="FFFFFF"/>
        </w:rPr>
        <w:t xml:space="preserve"> </w:t>
      </w:r>
      <w:r w:rsidR="00930B49">
        <w:rPr>
          <w:rFonts w:cstheme="minorHAnsi"/>
          <w:color w:val="333333"/>
          <w:shd w:val="clear" w:color="auto" w:fill="FFFFFF"/>
        </w:rPr>
        <w:t xml:space="preserve">potential </w:t>
      </w:r>
      <w:r w:rsidR="00772B66">
        <w:rPr>
          <w:rFonts w:cstheme="minorHAnsi"/>
          <w:color w:val="333333"/>
          <w:shd w:val="clear" w:color="auto" w:fill="FFFFFF"/>
        </w:rPr>
        <w:t xml:space="preserve">benefits against </w:t>
      </w:r>
      <w:r w:rsidR="0036037E">
        <w:rPr>
          <w:rFonts w:cstheme="minorHAnsi"/>
          <w:color w:val="333333"/>
          <w:shd w:val="clear" w:color="auto" w:fill="FFFFFF"/>
        </w:rPr>
        <w:t>direct and indirect</w:t>
      </w:r>
      <w:r w:rsidR="00772B66">
        <w:rPr>
          <w:rFonts w:cstheme="minorHAnsi"/>
          <w:color w:val="333333"/>
          <w:shd w:val="clear" w:color="auto" w:fill="FFFFFF"/>
        </w:rPr>
        <w:t xml:space="preserve"> harms.</w:t>
      </w:r>
      <w:r w:rsidR="00772B66">
        <w:t xml:space="preserve"> </w:t>
      </w:r>
      <w:r w:rsidR="000A087C">
        <w:t xml:space="preserve">In particular, </w:t>
      </w:r>
      <w:r w:rsidR="009D67F0">
        <w:t>lockdowns</w:t>
      </w:r>
      <w:r w:rsidR="00107A1E">
        <w:t xml:space="preserve"> raise</w:t>
      </w:r>
      <w:r>
        <w:t xml:space="preserve"> </w:t>
      </w:r>
      <w:r w:rsidR="00107A1E">
        <w:t xml:space="preserve">ethical </w:t>
      </w:r>
      <w:r w:rsidR="00930B49">
        <w:t>questions</w:t>
      </w:r>
      <w:r w:rsidR="00107A1E">
        <w:t xml:space="preserve"> when movement is restricted</w:t>
      </w:r>
      <w:r w:rsidR="00810074">
        <w:t xml:space="preserve"> in liberal democratic societ</w:t>
      </w:r>
      <w:r w:rsidR="00B53951">
        <w:t>ies</w:t>
      </w:r>
      <w:r w:rsidR="00107A1E">
        <w:t xml:space="preserve"> (</w:t>
      </w:r>
      <w:r w:rsidR="00107A1E" w:rsidRPr="00A12601">
        <w:rPr>
          <w:color w:val="4472C4" w:themeColor="accent1"/>
        </w:rPr>
        <w:t>Fong</w:t>
      </w:r>
      <w:r w:rsidR="00A12601" w:rsidRPr="00A12601">
        <w:rPr>
          <w:color w:val="4472C4" w:themeColor="accent1"/>
        </w:rPr>
        <w:t xml:space="preserve"> 2020;</w:t>
      </w:r>
      <w:r w:rsidR="00810074" w:rsidRPr="00A12601">
        <w:rPr>
          <w:color w:val="4472C4" w:themeColor="accent1"/>
        </w:rPr>
        <w:t xml:space="preserve"> Bensimon</w:t>
      </w:r>
      <w:r w:rsidR="00A12601" w:rsidRPr="00A12601">
        <w:rPr>
          <w:color w:val="4472C4" w:themeColor="accent1"/>
        </w:rPr>
        <w:t xml:space="preserve"> 2007;</w:t>
      </w:r>
      <w:r w:rsidR="00DE11A1" w:rsidRPr="00A12601">
        <w:rPr>
          <w:color w:val="4472C4" w:themeColor="accent1"/>
        </w:rPr>
        <w:t xml:space="preserve"> Kass</w:t>
      </w:r>
      <w:r w:rsidR="00A12601" w:rsidRPr="00A12601">
        <w:rPr>
          <w:color w:val="4472C4" w:themeColor="accent1"/>
        </w:rPr>
        <w:t xml:space="preserve"> 2001</w:t>
      </w:r>
      <w:r w:rsidR="00107A1E">
        <w:t>).</w:t>
      </w:r>
      <w:r w:rsidR="00DE11A1">
        <w:t xml:space="preserve"> </w:t>
      </w:r>
      <w:r w:rsidR="007F7343">
        <w:rPr>
          <w:rFonts w:cstheme="minorHAnsi"/>
          <w:color w:val="333333"/>
          <w:shd w:val="clear" w:color="auto" w:fill="FFFFFF"/>
        </w:rPr>
        <w:t>Community</w:t>
      </w:r>
      <w:r w:rsidR="00734F45">
        <w:rPr>
          <w:rFonts w:cstheme="minorHAnsi"/>
          <w:color w:val="333333"/>
          <w:shd w:val="clear" w:color="auto" w:fill="FFFFFF"/>
        </w:rPr>
        <w:t xml:space="preserve"> lockdowns</w:t>
      </w:r>
      <w:r w:rsidR="007F7343">
        <w:rPr>
          <w:rFonts w:cstheme="minorHAnsi"/>
          <w:color w:val="333333"/>
          <w:shd w:val="clear" w:color="auto" w:fill="FFFFFF"/>
        </w:rPr>
        <w:t xml:space="preserve"> conflict with</w:t>
      </w:r>
      <w:r w:rsidR="00734F45">
        <w:rPr>
          <w:rFonts w:cstheme="minorHAnsi"/>
          <w:color w:val="333333"/>
          <w:shd w:val="clear" w:color="auto" w:fill="FFFFFF"/>
        </w:rPr>
        <w:t xml:space="preserve"> individual rights</w:t>
      </w:r>
      <w:r w:rsidR="008B5BE2">
        <w:rPr>
          <w:rFonts w:cstheme="minorHAnsi"/>
          <w:color w:val="333333"/>
          <w:shd w:val="clear" w:color="auto" w:fill="FFFFFF"/>
        </w:rPr>
        <w:t xml:space="preserve"> to movement and assembly</w:t>
      </w:r>
      <w:r w:rsidR="00734F45">
        <w:rPr>
          <w:rFonts w:cstheme="minorHAnsi"/>
          <w:color w:val="333333"/>
          <w:shd w:val="clear" w:color="auto" w:fill="FFFFFF"/>
        </w:rPr>
        <w:t>, and</w:t>
      </w:r>
      <w:r w:rsidR="00F15A20" w:rsidRPr="00F15A20">
        <w:rPr>
          <w:rFonts w:cstheme="minorHAnsi"/>
          <w:color w:val="333333"/>
          <w:shd w:val="clear" w:color="auto" w:fill="FFFFFF"/>
        </w:rPr>
        <w:t xml:space="preserve"> </w:t>
      </w:r>
      <w:r w:rsidR="009227D6">
        <w:rPr>
          <w:rFonts w:cstheme="minorHAnsi"/>
          <w:color w:val="333333"/>
          <w:shd w:val="clear" w:color="auto" w:fill="FFFFFF"/>
        </w:rPr>
        <w:t xml:space="preserve">may </w:t>
      </w:r>
      <w:r w:rsidR="00F15A20" w:rsidRPr="00F15A20">
        <w:rPr>
          <w:rFonts w:cstheme="minorHAnsi"/>
          <w:color w:val="333333"/>
          <w:shd w:val="clear" w:color="auto" w:fill="FFFFFF"/>
        </w:rPr>
        <w:t>further isolate the marginalized</w:t>
      </w:r>
      <w:r>
        <w:rPr>
          <w:rFonts w:cstheme="minorHAnsi"/>
          <w:color w:val="333333"/>
          <w:shd w:val="clear" w:color="auto" w:fill="FFFFFF"/>
        </w:rPr>
        <w:t>,</w:t>
      </w:r>
      <w:r w:rsidR="00F15A20" w:rsidRPr="00F15A20">
        <w:rPr>
          <w:rFonts w:cstheme="minorHAnsi"/>
          <w:color w:val="333333"/>
          <w:shd w:val="clear" w:color="auto" w:fill="FFFFFF"/>
        </w:rPr>
        <w:t xml:space="preserve"> elderly, </w:t>
      </w:r>
      <w:r>
        <w:rPr>
          <w:rFonts w:cstheme="minorHAnsi"/>
          <w:color w:val="333333"/>
          <w:shd w:val="clear" w:color="auto" w:fill="FFFFFF"/>
        </w:rPr>
        <w:t>and</w:t>
      </w:r>
      <w:r w:rsidR="00F15A20" w:rsidRPr="00F15A20">
        <w:rPr>
          <w:rFonts w:cstheme="minorHAnsi"/>
          <w:color w:val="333333"/>
          <w:shd w:val="clear" w:color="auto" w:fill="FFFFFF"/>
        </w:rPr>
        <w:t xml:space="preserve"> those </w:t>
      </w:r>
      <w:r>
        <w:rPr>
          <w:rFonts w:cstheme="minorHAnsi"/>
          <w:color w:val="333333"/>
          <w:shd w:val="clear" w:color="auto" w:fill="FFFFFF"/>
        </w:rPr>
        <w:t>living</w:t>
      </w:r>
      <w:r w:rsidR="00F15A20" w:rsidRPr="00F15A20">
        <w:rPr>
          <w:rFonts w:cstheme="minorHAnsi"/>
          <w:color w:val="333333"/>
          <w:shd w:val="clear" w:color="auto" w:fill="FFFFFF"/>
        </w:rPr>
        <w:t xml:space="preserve"> alone</w:t>
      </w:r>
      <w:r w:rsidR="00390D74">
        <w:rPr>
          <w:rFonts w:cstheme="minorHAnsi"/>
          <w:color w:val="333333"/>
          <w:shd w:val="clear" w:color="auto" w:fill="FFFFFF"/>
        </w:rPr>
        <w:t>.</w:t>
      </w:r>
      <w:r w:rsidR="00FB14D8">
        <w:rPr>
          <w:rFonts w:cstheme="minorHAnsi"/>
          <w:color w:val="333333"/>
          <w:shd w:val="clear" w:color="auto" w:fill="FFFFFF"/>
        </w:rPr>
        <w:t xml:space="preserve"> </w:t>
      </w:r>
      <w:r w:rsidR="00390D74">
        <w:rPr>
          <w:rFonts w:cstheme="minorHAnsi"/>
          <w:color w:val="333333"/>
          <w:shd w:val="clear" w:color="auto" w:fill="FFFFFF"/>
        </w:rPr>
        <w:t xml:space="preserve">This </w:t>
      </w:r>
      <w:r>
        <w:rPr>
          <w:rFonts w:cstheme="minorHAnsi"/>
          <w:color w:val="333333"/>
          <w:shd w:val="clear" w:color="auto" w:fill="FFFFFF"/>
        </w:rPr>
        <w:t>may</w:t>
      </w:r>
      <w:r w:rsidR="00390D74">
        <w:rPr>
          <w:rFonts w:cstheme="minorHAnsi"/>
          <w:color w:val="333333"/>
          <w:shd w:val="clear" w:color="auto" w:fill="FFFFFF"/>
        </w:rPr>
        <w:t xml:space="preserve"> exacerbate</w:t>
      </w:r>
      <w:r w:rsidR="00F15A20" w:rsidRPr="00F15A20">
        <w:rPr>
          <w:rFonts w:cstheme="minorHAnsi"/>
          <w:color w:val="333333"/>
          <w:shd w:val="clear" w:color="auto" w:fill="FFFFFF"/>
        </w:rPr>
        <w:t xml:space="preserve"> loneliness and depression</w:t>
      </w:r>
      <w:r w:rsidR="00390D74">
        <w:rPr>
          <w:rFonts w:cstheme="minorHAnsi"/>
          <w:color w:val="333333"/>
          <w:shd w:val="clear" w:color="auto" w:fill="FFFFFF"/>
        </w:rPr>
        <w:t xml:space="preserve"> </w:t>
      </w:r>
      <w:r w:rsidR="00C908A3">
        <w:rPr>
          <w:rFonts w:cstheme="minorHAnsi"/>
          <w:color w:val="333333"/>
          <w:shd w:val="clear" w:color="auto" w:fill="FFFFFF"/>
        </w:rPr>
        <w:t>and contribute to</w:t>
      </w:r>
      <w:r w:rsidR="00390D74">
        <w:rPr>
          <w:rFonts w:cstheme="minorHAnsi"/>
          <w:color w:val="333333"/>
          <w:shd w:val="clear" w:color="auto" w:fill="FFFFFF"/>
        </w:rPr>
        <w:t xml:space="preserve"> </w:t>
      </w:r>
      <w:r w:rsidR="00C908A3">
        <w:rPr>
          <w:rFonts w:cstheme="minorHAnsi"/>
          <w:color w:val="333333"/>
          <w:shd w:val="clear" w:color="auto" w:fill="FFFFFF"/>
        </w:rPr>
        <w:t>mental health-related</w:t>
      </w:r>
      <w:r w:rsidR="00390D74">
        <w:rPr>
          <w:rFonts w:cstheme="minorHAnsi"/>
          <w:color w:val="333333"/>
          <w:shd w:val="clear" w:color="auto" w:fill="FFFFFF"/>
        </w:rPr>
        <w:t xml:space="preserve"> </w:t>
      </w:r>
      <w:r w:rsidR="006B0930">
        <w:rPr>
          <w:rFonts w:cstheme="minorHAnsi"/>
          <w:color w:val="333333"/>
          <w:shd w:val="clear" w:color="auto" w:fill="FFFFFF"/>
        </w:rPr>
        <w:t xml:space="preserve">morbidity and </w:t>
      </w:r>
      <w:r w:rsidR="00390D74">
        <w:rPr>
          <w:rFonts w:cstheme="minorHAnsi"/>
          <w:color w:val="333333"/>
          <w:shd w:val="clear" w:color="auto" w:fill="FFFFFF"/>
        </w:rPr>
        <w:t>mortality</w:t>
      </w:r>
      <w:r w:rsidR="00F15A20">
        <w:rPr>
          <w:rFonts w:cstheme="minorHAnsi"/>
          <w:color w:val="333333"/>
          <w:shd w:val="clear" w:color="auto" w:fill="FFFFFF"/>
        </w:rPr>
        <w:t xml:space="preserve"> (</w:t>
      </w:r>
      <w:r w:rsidR="000648FE" w:rsidRPr="00B007C6">
        <w:rPr>
          <w:rFonts w:cstheme="minorHAnsi"/>
          <w:color w:val="4472C4" w:themeColor="accent1"/>
          <w:shd w:val="clear" w:color="auto" w:fill="FFFFFF"/>
        </w:rPr>
        <w:t>Holt-Lunstad</w:t>
      </w:r>
      <w:r w:rsidR="00B007C6" w:rsidRPr="00B007C6">
        <w:rPr>
          <w:rFonts w:cstheme="minorHAnsi"/>
          <w:color w:val="4472C4" w:themeColor="accent1"/>
          <w:shd w:val="clear" w:color="auto" w:fill="FFFFFF"/>
        </w:rPr>
        <w:t xml:space="preserve"> 2010</w:t>
      </w:r>
      <w:r w:rsidR="00326C50">
        <w:rPr>
          <w:rFonts w:cstheme="minorHAnsi"/>
          <w:color w:val="4472C4" w:themeColor="accent1"/>
          <w:shd w:val="clear" w:color="auto" w:fill="FFFFFF"/>
        </w:rPr>
        <w:t xml:space="preserve">; Brooks </w:t>
      </w:r>
      <w:commentRangeStart w:id="0"/>
      <w:commentRangeStart w:id="1"/>
      <w:r w:rsidR="00326C50">
        <w:rPr>
          <w:rFonts w:cstheme="minorHAnsi"/>
          <w:color w:val="4472C4" w:themeColor="accent1"/>
          <w:shd w:val="clear" w:color="auto" w:fill="FFFFFF"/>
        </w:rPr>
        <w:t>2020</w:t>
      </w:r>
      <w:commentRangeEnd w:id="0"/>
      <w:r w:rsidR="00366AF3">
        <w:rPr>
          <w:rStyle w:val="CommentReference"/>
        </w:rPr>
        <w:commentReference w:id="0"/>
      </w:r>
      <w:commentRangeEnd w:id="1"/>
      <w:r w:rsidR="00F15446">
        <w:rPr>
          <w:rStyle w:val="CommentReference"/>
        </w:rPr>
        <w:commentReference w:id="1"/>
      </w:r>
      <w:r w:rsidR="00F15A20">
        <w:rPr>
          <w:rFonts w:cstheme="minorHAnsi"/>
          <w:color w:val="333333"/>
          <w:shd w:val="clear" w:color="auto" w:fill="FFFFFF"/>
        </w:rPr>
        <w:t>)</w:t>
      </w:r>
      <w:r w:rsidR="00F15A20" w:rsidRPr="00F15A20">
        <w:rPr>
          <w:rFonts w:cstheme="minorHAnsi"/>
          <w:color w:val="333333"/>
          <w:shd w:val="clear" w:color="auto" w:fill="FFFFFF"/>
        </w:rPr>
        <w:t xml:space="preserve">. </w:t>
      </w:r>
      <w:r w:rsidR="00FB14D8">
        <w:rPr>
          <w:rFonts w:cstheme="minorHAnsi"/>
          <w:color w:val="333333"/>
          <w:shd w:val="clear" w:color="auto" w:fill="FFFFFF"/>
        </w:rPr>
        <w:t xml:space="preserve">Mental health represents an urgent health concern, and suicide mortality represents the </w:t>
      </w:r>
      <w:r w:rsidR="00D24BC5">
        <w:rPr>
          <w:rFonts w:cstheme="minorHAnsi"/>
          <w:color w:val="333333"/>
          <w:shd w:val="clear" w:color="auto" w:fill="FFFFFF"/>
        </w:rPr>
        <w:t>sixteenth</w:t>
      </w:r>
      <w:r w:rsidR="00FB14D8">
        <w:rPr>
          <w:rFonts w:cstheme="minorHAnsi"/>
          <w:color w:val="333333"/>
          <w:shd w:val="clear" w:color="auto" w:fill="FFFFFF"/>
        </w:rPr>
        <w:t xml:space="preserve"> most common cause of death in the Waterloo Region </w:t>
      </w:r>
      <w:r w:rsidR="00930B49">
        <w:rPr>
          <w:rFonts w:cstheme="minorHAnsi"/>
          <w:color w:val="333333"/>
          <w:shd w:val="clear" w:color="auto" w:fill="FFFFFF"/>
        </w:rPr>
        <w:t xml:space="preserve">of Ontario, Canada </w:t>
      </w:r>
      <w:r w:rsidR="00FB14D8">
        <w:rPr>
          <w:rFonts w:cstheme="minorHAnsi"/>
          <w:color w:val="333333"/>
          <w:shd w:val="clear" w:color="auto" w:fill="FFFFFF"/>
        </w:rPr>
        <w:t>(</w:t>
      </w:r>
      <w:r w:rsidR="00FB14D8" w:rsidRPr="00C978B0">
        <w:rPr>
          <w:rFonts w:cstheme="minorHAnsi"/>
          <w:color w:val="4472C4" w:themeColor="accent1"/>
          <w:shd w:val="clear" w:color="auto" w:fill="FFFFFF"/>
        </w:rPr>
        <w:t>Deming</w:t>
      </w:r>
      <w:r w:rsidR="00C978B0" w:rsidRPr="00C978B0">
        <w:rPr>
          <w:rFonts w:cstheme="minorHAnsi"/>
          <w:color w:val="4472C4" w:themeColor="accent1"/>
          <w:shd w:val="clear" w:color="auto" w:fill="FFFFFF"/>
        </w:rPr>
        <w:t xml:space="preserve"> 2019</w:t>
      </w:r>
      <w:r w:rsidR="00FB14D8">
        <w:rPr>
          <w:rFonts w:cstheme="minorHAnsi"/>
          <w:color w:val="333333"/>
          <w:shd w:val="clear" w:color="auto" w:fill="FFFFFF"/>
        </w:rPr>
        <w:t>).</w:t>
      </w:r>
      <w:r w:rsidR="00FB14D8">
        <w:rPr>
          <w:rFonts w:ascii="Lato" w:hAnsi="Lato"/>
          <w:color w:val="333333"/>
          <w:shd w:val="clear" w:color="auto" w:fill="FFFFFF"/>
        </w:rPr>
        <w:t> </w:t>
      </w:r>
      <w:r w:rsidR="00B53951">
        <w:rPr>
          <w:rFonts w:cstheme="minorHAnsi"/>
          <w:color w:val="333333"/>
          <w:shd w:val="clear" w:color="auto" w:fill="FFFFFF"/>
        </w:rPr>
        <w:t>The direct effects of lockdown can be expected to be exacerbated by the economic stresses of business closures, increasing unemployment, and recession (</w:t>
      </w:r>
      <w:r w:rsidR="00B53951" w:rsidRPr="000F684F">
        <w:rPr>
          <w:rFonts w:cstheme="minorHAnsi"/>
          <w:color w:val="4472C4" w:themeColor="accent1"/>
          <w:shd w:val="clear" w:color="auto" w:fill="FFFFFF"/>
        </w:rPr>
        <w:t>Reger, 2020</w:t>
      </w:r>
      <w:r w:rsidR="00B53951">
        <w:rPr>
          <w:rFonts w:cstheme="minorHAnsi"/>
          <w:color w:val="333333"/>
          <w:shd w:val="clear" w:color="auto" w:fill="FFFFFF"/>
        </w:rPr>
        <w:t>).</w:t>
      </w:r>
      <w:r w:rsidR="00B53951">
        <w:t xml:space="preserve"> As a </w:t>
      </w:r>
      <w:r w:rsidR="00B53951">
        <w:lastRenderedPageBreak/>
        <w:t xml:space="preserve">result, </w:t>
      </w:r>
      <w:r w:rsidR="00B53951">
        <w:rPr>
          <w:rFonts w:cstheme="minorHAnsi"/>
          <w:color w:val="333333"/>
          <w:shd w:val="clear" w:color="auto" w:fill="FFFFFF"/>
        </w:rPr>
        <w:t>l</w:t>
      </w:r>
      <w:r w:rsidR="000A087C">
        <w:rPr>
          <w:rFonts w:cstheme="minorHAnsi"/>
          <w:color w:val="333333"/>
          <w:shd w:val="clear" w:color="auto" w:fill="FFFFFF"/>
        </w:rPr>
        <w:t>ockdowns</w:t>
      </w:r>
      <w:r w:rsidR="00390D74">
        <w:rPr>
          <w:rFonts w:cstheme="minorHAnsi"/>
          <w:color w:val="333333"/>
          <w:shd w:val="clear" w:color="auto" w:fill="FFFFFF"/>
        </w:rPr>
        <w:t xml:space="preserve"> </w:t>
      </w:r>
      <w:r w:rsidR="0041351A">
        <w:rPr>
          <w:rFonts w:cstheme="minorHAnsi"/>
          <w:color w:val="333333"/>
          <w:shd w:val="clear" w:color="auto" w:fill="FFFFFF"/>
        </w:rPr>
        <w:t>make</w:t>
      </w:r>
      <w:r w:rsidR="007F7343">
        <w:rPr>
          <w:rFonts w:cstheme="minorHAnsi"/>
          <w:color w:val="333333"/>
          <w:shd w:val="clear" w:color="auto" w:fill="FFFFFF"/>
        </w:rPr>
        <w:t xml:space="preserve"> additional </w:t>
      </w:r>
      <w:r w:rsidR="00A2705B">
        <w:rPr>
          <w:rFonts w:cstheme="minorHAnsi"/>
          <w:color w:val="333333"/>
          <w:shd w:val="clear" w:color="auto" w:fill="FFFFFF"/>
        </w:rPr>
        <w:t xml:space="preserve">community </w:t>
      </w:r>
      <w:r w:rsidR="007F7343">
        <w:rPr>
          <w:rFonts w:cstheme="minorHAnsi"/>
          <w:color w:val="333333"/>
          <w:shd w:val="clear" w:color="auto" w:fill="FFFFFF"/>
        </w:rPr>
        <w:t>support for</w:t>
      </w:r>
      <w:r w:rsidR="00F15A20" w:rsidRPr="00F15A20">
        <w:rPr>
          <w:rFonts w:cstheme="minorHAnsi"/>
          <w:color w:val="333333"/>
          <w:shd w:val="clear" w:color="auto" w:fill="FFFFFF"/>
        </w:rPr>
        <w:t xml:space="preserve"> anxiety, mental illness, suicidality, alcoholism, substance abuse</w:t>
      </w:r>
      <w:r w:rsidR="00FB14D8">
        <w:rPr>
          <w:rFonts w:cstheme="minorHAnsi"/>
          <w:color w:val="333333"/>
          <w:shd w:val="clear" w:color="auto" w:fill="FFFFFF"/>
        </w:rPr>
        <w:t>, and domestic violence</w:t>
      </w:r>
      <w:r w:rsidR="0041351A">
        <w:rPr>
          <w:rFonts w:cstheme="minorHAnsi"/>
          <w:color w:val="333333"/>
          <w:shd w:val="clear" w:color="auto" w:fill="FFFFFF"/>
        </w:rPr>
        <w:t xml:space="preserve"> an ethical imperative</w:t>
      </w:r>
      <w:r w:rsidR="00C978B0">
        <w:rPr>
          <w:rFonts w:cstheme="minorHAnsi"/>
          <w:color w:val="333333"/>
          <w:shd w:val="clear" w:color="auto" w:fill="FFFFFF"/>
        </w:rPr>
        <w:t xml:space="preserve"> (</w:t>
      </w:r>
      <w:r w:rsidR="00C978B0" w:rsidRPr="00C978B0">
        <w:rPr>
          <w:rFonts w:cstheme="minorHAnsi"/>
          <w:color w:val="4472C4" w:themeColor="accent1"/>
          <w:shd w:val="clear" w:color="auto" w:fill="FFFFFF"/>
        </w:rPr>
        <w:t>CDC 2004</w:t>
      </w:r>
      <w:r w:rsidR="00326C50">
        <w:rPr>
          <w:rFonts w:cstheme="minorHAnsi"/>
          <w:color w:val="4472C4" w:themeColor="accent1"/>
          <w:shd w:val="clear" w:color="auto" w:fill="FFFFFF"/>
        </w:rPr>
        <w:t>; Brooks 2020</w:t>
      </w:r>
      <w:r w:rsidR="00C978B0">
        <w:rPr>
          <w:rFonts w:cstheme="minorHAnsi"/>
          <w:color w:val="333333"/>
          <w:shd w:val="clear" w:color="auto" w:fill="FFFFFF"/>
        </w:rPr>
        <w:t>)</w:t>
      </w:r>
      <w:r w:rsidR="00F15A20" w:rsidRPr="00F15A20">
        <w:rPr>
          <w:rFonts w:cstheme="minorHAnsi"/>
          <w:color w:val="333333"/>
          <w:shd w:val="clear" w:color="auto" w:fill="FFFFFF"/>
        </w:rPr>
        <w:t>.</w:t>
      </w:r>
      <w:r w:rsidR="00C94FEB">
        <w:rPr>
          <w:rFonts w:cstheme="minorHAnsi"/>
          <w:color w:val="333333"/>
          <w:shd w:val="clear" w:color="auto" w:fill="FFFFFF"/>
        </w:rPr>
        <w:t xml:space="preserve"> </w:t>
      </w:r>
    </w:p>
    <w:p w14:paraId="07BED963" w14:textId="6791B5F1" w:rsidR="00014BE5" w:rsidRDefault="004D3A65" w:rsidP="00941B6C">
      <w:pPr>
        <w:spacing w:line="276" w:lineRule="auto"/>
        <w:rPr>
          <w:rFonts w:cstheme="minorHAnsi"/>
          <w:color w:val="333333"/>
          <w:shd w:val="clear" w:color="auto" w:fill="FFFFFF"/>
        </w:rPr>
      </w:pPr>
      <w:r w:rsidRPr="2E8D2DF1">
        <w:rPr>
          <w:color w:val="333333"/>
          <w:shd w:val="clear" w:color="auto" w:fill="FFFFFF"/>
        </w:rPr>
        <w:t xml:space="preserve">We </w:t>
      </w:r>
      <w:r w:rsidR="009E64DF" w:rsidRPr="2E8D2DF1">
        <w:rPr>
          <w:color w:val="333333"/>
          <w:shd w:val="clear" w:color="auto" w:fill="FFFFFF"/>
        </w:rPr>
        <w:t xml:space="preserve">might </w:t>
      </w:r>
      <w:r w:rsidR="005327AF" w:rsidRPr="2E8D2DF1">
        <w:rPr>
          <w:color w:val="333333"/>
          <w:shd w:val="clear" w:color="auto" w:fill="FFFFFF"/>
        </w:rPr>
        <w:t>i</w:t>
      </w:r>
      <w:r w:rsidR="00D06B35" w:rsidRPr="2E8D2DF1">
        <w:rPr>
          <w:color w:val="333333"/>
          <w:shd w:val="clear" w:color="auto" w:fill="FFFFFF"/>
        </w:rPr>
        <w:t xml:space="preserve">ntuitively </w:t>
      </w:r>
      <w:r w:rsidRPr="2E8D2DF1">
        <w:rPr>
          <w:color w:val="333333"/>
          <w:shd w:val="clear" w:color="auto" w:fill="FFFFFF"/>
        </w:rPr>
        <w:t>expect the</w:t>
      </w:r>
      <w:r w:rsidR="005327AF" w:rsidRPr="2E8D2DF1">
        <w:rPr>
          <w:color w:val="333333"/>
          <w:shd w:val="clear" w:color="auto" w:fill="FFFFFF"/>
        </w:rPr>
        <w:t>se</w:t>
      </w:r>
      <w:r w:rsidRPr="2E8D2DF1">
        <w:rPr>
          <w:color w:val="333333"/>
          <w:shd w:val="clear" w:color="auto" w:fill="FFFFFF"/>
        </w:rPr>
        <w:t xml:space="preserve"> consequences to be reflected in </w:t>
      </w:r>
      <w:r w:rsidR="00930B49" w:rsidRPr="2E8D2DF1">
        <w:rPr>
          <w:color w:val="333333"/>
          <w:shd w:val="clear" w:color="auto" w:fill="FFFFFF"/>
        </w:rPr>
        <w:t xml:space="preserve">increased </w:t>
      </w:r>
      <w:r w:rsidRPr="2E8D2DF1">
        <w:rPr>
          <w:color w:val="333333"/>
          <w:shd w:val="clear" w:color="auto" w:fill="FFFFFF"/>
        </w:rPr>
        <w:t>demand for and use of social and mental health services</w:t>
      </w:r>
      <w:r w:rsidR="009227D6" w:rsidRPr="2E8D2DF1">
        <w:rPr>
          <w:color w:val="333333"/>
          <w:shd w:val="clear" w:color="auto" w:fill="FFFFFF"/>
        </w:rPr>
        <w:t xml:space="preserve">, </w:t>
      </w:r>
      <w:r w:rsidR="00D06B35" w:rsidRPr="2E8D2DF1">
        <w:rPr>
          <w:color w:val="333333"/>
          <w:shd w:val="clear" w:color="auto" w:fill="FFFFFF"/>
        </w:rPr>
        <w:t>but</w:t>
      </w:r>
      <w:r w:rsidR="009227D6" w:rsidRPr="2E8D2DF1">
        <w:rPr>
          <w:color w:val="333333"/>
          <w:shd w:val="clear" w:color="auto" w:fill="FFFFFF"/>
        </w:rPr>
        <w:t xml:space="preserve"> </w:t>
      </w:r>
      <w:r w:rsidR="00D279F0" w:rsidRPr="2E8D2DF1">
        <w:rPr>
          <w:color w:val="333333"/>
          <w:shd w:val="clear" w:color="auto" w:fill="FFFFFF"/>
        </w:rPr>
        <w:t>there has been limited formal research (</w:t>
      </w:r>
      <w:r w:rsidR="00D279F0" w:rsidRPr="2E8D2DF1">
        <w:rPr>
          <w:color w:val="4472C4" w:themeColor="accent1"/>
          <w:shd w:val="clear" w:color="auto" w:fill="FFFFFF"/>
        </w:rPr>
        <w:t>Brooks 2020</w:t>
      </w:r>
      <w:r w:rsidR="00D279F0" w:rsidRPr="2E8D2DF1">
        <w:rPr>
          <w:color w:val="333333"/>
          <w:shd w:val="clear" w:color="auto" w:fill="FFFFFF"/>
        </w:rPr>
        <w:t xml:space="preserve">) and </w:t>
      </w:r>
      <w:r w:rsidR="009227D6" w:rsidRPr="2E8D2DF1">
        <w:rPr>
          <w:color w:val="333333"/>
          <w:shd w:val="clear" w:color="auto" w:fill="FFFFFF"/>
        </w:rPr>
        <w:t xml:space="preserve">early reports have been conflicting. </w:t>
      </w:r>
      <w:r w:rsidR="00D279F0" w:rsidRPr="2E8D2DF1">
        <w:rPr>
          <w:color w:val="333333"/>
          <w:shd w:val="clear" w:color="auto" w:fill="FFFFFF"/>
        </w:rPr>
        <w:t>Counterintuitively, the pandemic has seen a generalized decrease in Emergency Department visits in the United States during pandemic peaks (</w:t>
      </w:r>
      <w:r w:rsidR="00D279F0" w:rsidRPr="2E8D2DF1">
        <w:rPr>
          <w:color w:val="4472C4" w:themeColor="accent1"/>
          <w:shd w:val="clear" w:color="auto" w:fill="FFFFFF"/>
        </w:rPr>
        <w:t>Hartnett, 2020</w:t>
      </w:r>
      <w:r w:rsidR="00D279F0" w:rsidRPr="2E8D2DF1">
        <w:rPr>
          <w:color w:val="333333"/>
          <w:shd w:val="clear" w:color="auto" w:fill="FFFFFF"/>
        </w:rPr>
        <w:t>), and three international studies suggest substantially decreased mental health consultations (</w:t>
      </w:r>
      <w:r w:rsidR="00D279F0" w:rsidRPr="2E8D2DF1">
        <w:rPr>
          <w:color w:val="4472C4" w:themeColor="accent1"/>
          <w:shd w:val="clear" w:color="auto" w:fill="FFFFFF"/>
        </w:rPr>
        <w:t>Pignon, 2020; Clerici, 2020</w:t>
      </w:r>
      <w:r w:rsidR="00D279F0" w:rsidRPr="2E8D2DF1">
        <w:rPr>
          <w:color w:val="333333"/>
          <w:shd w:val="clear" w:color="auto" w:fill="FFFFFF"/>
        </w:rPr>
        <w:t xml:space="preserve">; </w:t>
      </w:r>
      <w:r w:rsidR="00D279F0" w:rsidRPr="2E8D2DF1">
        <w:rPr>
          <w:color w:val="4472C4" w:themeColor="accent1"/>
          <w:shd w:val="clear" w:color="auto" w:fill="FFFFFF"/>
        </w:rPr>
        <w:t>Capuzzi, 2020</w:t>
      </w:r>
      <w:r w:rsidR="00D279F0" w:rsidRPr="2E8D2DF1">
        <w:rPr>
          <w:color w:val="333333"/>
          <w:shd w:val="clear" w:color="auto" w:fill="FFFFFF"/>
        </w:rPr>
        <w:t xml:space="preserve">). On the other hand, </w:t>
      </w:r>
      <w:r w:rsidR="00C351F3" w:rsidRPr="2E8D2DF1">
        <w:rPr>
          <w:color w:val="333333"/>
          <w:shd w:val="clear" w:color="auto" w:fill="FFFFFF"/>
        </w:rPr>
        <w:t>European member states</w:t>
      </w:r>
      <w:r w:rsidR="00484329" w:rsidRPr="2E8D2DF1">
        <w:rPr>
          <w:color w:val="333333"/>
          <w:shd w:val="clear" w:color="auto" w:fill="FFFFFF"/>
        </w:rPr>
        <w:t xml:space="preserve"> saw a </w:t>
      </w:r>
      <w:r w:rsidR="00C351F3" w:rsidRPr="2E8D2DF1">
        <w:rPr>
          <w:color w:val="333333"/>
          <w:shd w:val="clear" w:color="auto" w:fill="FFFFFF"/>
        </w:rPr>
        <w:t>60</w:t>
      </w:r>
      <w:r w:rsidR="00484329" w:rsidRPr="2E8D2DF1">
        <w:rPr>
          <w:color w:val="333333"/>
          <w:shd w:val="clear" w:color="auto" w:fill="FFFFFF"/>
        </w:rPr>
        <w:t xml:space="preserve">% increase in </w:t>
      </w:r>
      <w:r w:rsidR="00C351F3" w:rsidRPr="2E8D2DF1">
        <w:rPr>
          <w:color w:val="333333"/>
          <w:shd w:val="clear" w:color="auto" w:fill="FFFFFF"/>
        </w:rPr>
        <w:t>emergency calls from women</w:t>
      </w:r>
      <w:r w:rsidR="00484329" w:rsidRPr="2E8D2DF1">
        <w:rPr>
          <w:color w:val="333333"/>
          <w:shd w:val="clear" w:color="auto" w:fill="FFFFFF"/>
        </w:rPr>
        <w:t xml:space="preserve"> regarding intimate partner violence</w:t>
      </w:r>
      <w:r w:rsidRPr="2E8D2DF1">
        <w:rPr>
          <w:color w:val="333333"/>
          <w:shd w:val="clear" w:color="auto" w:fill="FFFFFF"/>
        </w:rPr>
        <w:t xml:space="preserve"> (</w:t>
      </w:r>
      <w:r w:rsidR="00C351F3" w:rsidRPr="2E8D2DF1">
        <w:rPr>
          <w:color w:val="4472C4" w:themeColor="accent1"/>
          <w:shd w:val="clear" w:color="auto" w:fill="FFFFFF"/>
        </w:rPr>
        <w:t>Mahase, 2020</w:t>
      </w:r>
      <w:r w:rsidRPr="2E8D2DF1">
        <w:rPr>
          <w:color w:val="333333"/>
          <w:shd w:val="clear" w:color="auto" w:fill="FFFFFF"/>
        </w:rPr>
        <w:t>)</w:t>
      </w:r>
      <w:r w:rsidR="00484329" w:rsidRPr="2E8D2DF1">
        <w:rPr>
          <w:color w:val="333333"/>
          <w:shd w:val="clear" w:color="auto" w:fill="FFFFFF"/>
        </w:rPr>
        <w:t xml:space="preserve">. </w:t>
      </w:r>
      <w:r w:rsidR="00D279F0" w:rsidRPr="2E8D2DF1">
        <w:rPr>
          <w:color w:val="333333"/>
          <w:shd w:val="clear" w:color="auto" w:fill="FFFFFF"/>
        </w:rPr>
        <w:t>While Ontario and Durham region have seen an apparent 22% increase in domestic incidents and sexual assaults (</w:t>
      </w:r>
      <w:r w:rsidR="00D279F0" w:rsidRPr="2E8D2DF1">
        <w:rPr>
          <w:color w:val="4472C4" w:themeColor="accent1"/>
          <w:shd w:val="clear" w:color="auto" w:fill="FFFFFF"/>
        </w:rPr>
        <w:t>Bradley, 2020</w:t>
      </w:r>
      <w:r w:rsidR="00D279F0" w:rsidRPr="2E8D2DF1">
        <w:rPr>
          <w:color w:val="333333"/>
          <w:shd w:val="clear" w:color="auto" w:fill="FFFFFF"/>
        </w:rPr>
        <w:t>)</w:t>
      </w:r>
      <w:r w:rsidR="00CB10C9" w:rsidRPr="2E8D2DF1">
        <w:rPr>
          <w:color w:val="333333"/>
          <w:shd w:val="clear" w:color="auto" w:fill="FFFFFF"/>
        </w:rPr>
        <w:t xml:space="preserve">, </w:t>
      </w:r>
      <w:r w:rsidR="00930B49" w:rsidRPr="2E8D2DF1">
        <w:rPr>
          <w:color w:val="333333"/>
          <w:shd w:val="clear" w:color="auto" w:fill="FFFFFF"/>
        </w:rPr>
        <w:t xml:space="preserve">women’s </w:t>
      </w:r>
      <w:r w:rsidR="00CB10C9" w:rsidRPr="2E8D2DF1">
        <w:rPr>
          <w:color w:val="333333"/>
          <w:shd w:val="clear" w:color="auto" w:fill="FFFFFF"/>
        </w:rPr>
        <w:t>shelters often remain quiet (</w:t>
      </w:r>
      <w:r w:rsidR="00CB10C9" w:rsidRPr="2E8D2DF1">
        <w:rPr>
          <w:color w:val="4472C4" w:themeColor="accent1"/>
          <w:shd w:val="clear" w:color="auto" w:fill="FFFFFF"/>
        </w:rPr>
        <w:t>Patel, 2020</w:t>
      </w:r>
      <w:r w:rsidR="00CB10C9" w:rsidRPr="2E8D2DF1">
        <w:rPr>
          <w:color w:val="333333"/>
          <w:shd w:val="clear" w:color="auto" w:fill="FFFFFF"/>
        </w:rPr>
        <w:t>)</w:t>
      </w:r>
      <w:r w:rsidR="00484329" w:rsidRPr="2E8D2DF1">
        <w:rPr>
          <w:color w:val="333333"/>
          <w:shd w:val="clear" w:color="auto" w:fill="FFFFFF"/>
        </w:rPr>
        <w:t xml:space="preserve">. </w:t>
      </w:r>
    </w:p>
    <w:p w14:paraId="31E35035" w14:textId="4DA57AFB" w:rsidR="00291A03" w:rsidRPr="0018161B" w:rsidRDefault="49604A47" w:rsidP="2E8D2DF1">
      <w:pPr>
        <w:spacing w:line="276" w:lineRule="auto"/>
      </w:pPr>
      <w:r w:rsidRPr="0012602F">
        <w:t xml:space="preserve">To better </w:t>
      </w:r>
      <w:r w:rsidR="0D6C5ABA">
        <w:t>understand</w:t>
      </w:r>
      <w:r w:rsidRPr="0012602F">
        <w:t xml:space="preserve"> the short-term mental health and social impacts of public health mandated </w:t>
      </w:r>
      <w:proofErr w:type="gramStart"/>
      <w:r w:rsidRPr="0012602F">
        <w:t xml:space="preserve">lockdowns, </w:t>
      </w:r>
      <w:r w:rsidR="00C17AF8" w:rsidRPr="00FD75C4">
        <w:t xml:space="preserve"> </w:t>
      </w:r>
      <w:r w:rsidR="00C17AF8" w:rsidRPr="2E8D2DF1">
        <w:rPr>
          <w:b/>
          <w:bCs/>
        </w:rPr>
        <w:t>primary</w:t>
      </w:r>
      <w:proofErr w:type="gramEnd"/>
      <w:r w:rsidR="00C17AF8" w:rsidRPr="2E8D2DF1">
        <w:rPr>
          <w:b/>
          <w:bCs/>
        </w:rPr>
        <w:t xml:space="preserve"> </w:t>
      </w:r>
      <w:r w:rsidR="00FD75C4" w:rsidRPr="2E8D2DF1">
        <w:rPr>
          <w:b/>
          <w:bCs/>
        </w:rPr>
        <w:t>objective</w:t>
      </w:r>
      <w:r w:rsidR="00C17AF8" w:rsidRPr="00FD75C4">
        <w:t xml:space="preserve"> of this  study </w:t>
      </w:r>
      <w:r w:rsidR="006540F1">
        <w:t>was to</w:t>
      </w:r>
      <w:r w:rsidR="009A60EE">
        <w:t xml:space="preserve"> </w:t>
      </w:r>
      <w:r w:rsidR="32C283AD" w:rsidRPr="00FD75C4">
        <w:t xml:space="preserve">determine </w:t>
      </w:r>
      <w:r w:rsidR="002A19B7" w:rsidRPr="00FD75C4">
        <w:t xml:space="preserve">the </w:t>
      </w:r>
      <w:r w:rsidR="00D24BC5">
        <w:t xml:space="preserve">short-term </w:t>
      </w:r>
      <w:r w:rsidR="002A19B7" w:rsidRPr="00FD75C4">
        <w:t>effect</w:t>
      </w:r>
      <w:r w:rsidR="006533E3">
        <w:t>s</w:t>
      </w:r>
      <w:r w:rsidR="002A19B7" w:rsidRPr="00FD75C4">
        <w:t xml:space="preserve"> of </w:t>
      </w:r>
      <w:r w:rsidR="00D24BC5">
        <w:t>lockdown</w:t>
      </w:r>
      <w:r w:rsidR="007A75DE">
        <w:t xml:space="preserve"> </w:t>
      </w:r>
      <w:r w:rsidR="144E2A1F" w:rsidRPr="0012602F">
        <w:t>on emergency mental</w:t>
      </w:r>
      <w:r w:rsidR="5A1D7562" w:rsidRPr="0012602F">
        <w:t xml:space="preserve"> </w:t>
      </w:r>
      <w:r w:rsidR="144E2A1F">
        <w:t>health service</w:t>
      </w:r>
      <w:r w:rsidR="5B10702E">
        <w:t xml:space="preserve"> use</w:t>
      </w:r>
      <w:r w:rsidR="144E2A1F">
        <w:t xml:space="preserve"> </w:t>
      </w:r>
      <w:r w:rsidR="057B2C33" w:rsidRPr="0012602F">
        <w:t xml:space="preserve">including: </w:t>
      </w:r>
      <w:r w:rsidR="3E0A4A6D" w:rsidRPr="00FD75C4">
        <w:t xml:space="preserve">mental health related </w:t>
      </w:r>
      <w:r w:rsidR="00B064A1" w:rsidRPr="00FD75C4">
        <w:t xml:space="preserve">emergency department </w:t>
      </w:r>
      <w:r w:rsidR="11470E7C" w:rsidRPr="0012602F">
        <w:t xml:space="preserve">(ED) </w:t>
      </w:r>
      <w:r w:rsidR="2237448E" w:rsidRPr="00FD75C4">
        <w:t>visits</w:t>
      </w:r>
      <w:r w:rsidR="00C17AF8" w:rsidRPr="00FD75C4">
        <w:t xml:space="preserve">, </w:t>
      </w:r>
      <w:r w:rsidR="6CB1A08E" w:rsidRPr="0012602F">
        <w:t>mental-health related calls to police ser</w:t>
      </w:r>
      <w:r w:rsidR="6CB1A08E" w:rsidRPr="00FD75C4">
        <w:t>vices</w:t>
      </w:r>
      <w:r w:rsidR="00C17AF8" w:rsidRPr="00FD75C4">
        <w:t>,</w:t>
      </w:r>
      <w:r w:rsidR="00292E83">
        <w:t xml:space="preserve"> </w:t>
      </w:r>
      <w:r w:rsidR="00D215F5">
        <w:t>and</w:t>
      </w:r>
      <w:r w:rsidR="00BB70B4" w:rsidRPr="00FD75C4">
        <w:t xml:space="preserve"> </w:t>
      </w:r>
      <w:r w:rsidR="00C17AF8" w:rsidRPr="00FD75C4">
        <w:t xml:space="preserve">calls to </w:t>
      </w:r>
      <w:r w:rsidR="007F03FD">
        <w:t xml:space="preserve">a central </w:t>
      </w:r>
      <w:r w:rsidR="00C17AF8" w:rsidRPr="00FD75C4">
        <w:t>crisis help line.</w:t>
      </w:r>
      <w:bookmarkStart w:id="2" w:name="_Hlk38815895"/>
      <w:r w:rsidR="006540F1">
        <w:t xml:space="preserve"> </w:t>
      </w:r>
      <w:r w:rsidR="00291A03">
        <w:t xml:space="preserve">We </w:t>
      </w:r>
      <w:r w:rsidR="006540F1">
        <w:t>hypothesized</w:t>
      </w:r>
      <w:r w:rsidR="00291A03">
        <w:t xml:space="preserve"> that during lockdown, there w</w:t>
      </w:r>
      <w:r w:rsidR="006540F1">
        <w:t>ould</w:t>
      </w:r>
      <w:r w:rsidR="00291A03">
        <w:t xml:space="preserve"> be a</w:t>
      </w:r>
      <w:r w:rsidR="006540F1">
        <w:t xml:space="preserve"> year-over-year</w:t>
      </w:r>
      <w:r w:rsidR="00291A03">
        <w:t xml:space="preserve"> increase in </w:t>
      </w:r>
      <w:r w:rsidR="690ED47E">
        <w:t xml:space="preserve">use of </w:t>
      </w:r>
      <w:r w:rsidR="006540F1">
        <w:t>all</w:t>
      </w:r>
      <w:r w:rsidR="00291A03">
        <w:t xml:space="preserve"> selected mental health </w:t>
      </w:r>
      <w:r w:rsidR="5DA5EE7E">
        <w:t>services</w:t>
      </w:r>
      <w:r w:rsidR="00291A03">
        <w:t>.</w:t>
      </w:r>
    </w:p>
    <w:bookmarkEnd w:id="2"/>
    <w:p w14:paraId="19DF6656" w14:textId="0110227B" w:rsidR="00077AEB" w:rsidRDefault="00077AEB" w:rsidP="00941B6C">
      <w:pPr>
        <w:spacing w:line="276" w:lineRule="auto"/>
      </w:pPr>
    </w:p>
    <w:p w14:paraId="63078287" w14:textId="4FCE01A6" w:rsidR="00077AEB" w:rsidRPr="00B27ABD" w:rsidRDefault="00B27ABD" w:rsidP="00941B6C">
      <w:pPr>
        <w:spacing w:line="276" w:lineRule="auto"/>
        <w:rPr>
          <w:b/>
          <w:bCs/>
          <w:u w:val="single"/>
        </w:rPr>
      </w:pPr>
      <w:r w:rsidRPr="00B27ABD">
        <w:rPr>
          <w:b/>
          <w:bCs/>
          <w:u w:val="single"/>
        </w:rPr>
        <w:t>Methods</w:t>
      </w:r>
    </w:p>
    <w:p w14:paraId="3FEC8A7C" w14:textId="77777777" w:rsidR="00C068EB" w:rsidRDefault="1E747CFA" w:rsidP="2E8D2DF1">
      <w:pPr>
        <w:shd w:val="clear" w:color="auto" w:fill="FFFFFF" w:themeFill="background1"/>
        <w:spacing w:line="276" w:lineRule="auto"/>
        <w:rPr>
          <w:b/>
          <w:bCs/>
        </w:rPr>
      </w:pPr>
      <w:r w:rsidRPr="2E8D2DF1">
        <w:rPr>
          <w:b/>
          <w:bCs/>
        </w:rPr>
        <w:t xml:space="preserve">Study Design </w:t>
      </w:r>
    </w:p>
    <w:p w14:paraId="4FC68AE5" w14:textId="2A93B714" w:rsidR="003D4878" w:rsidRPr="0017660F" w:rsidRDefault="008C0914" w:rsidP="2E8D2DF1">
      <w:pPr>
        <w:shd w:val="clear" w:color="auto" w:fill="FFFFFF" w:themeFill="background1"/>
        <w:spacing w:line="276" w:lineRule="auto"/>
        <w:rPr>
          <w:color w:val="222222"/>
        </w:rPr>
      </w:pPr>
      <w:r>
        <w:t xml:space="preserve">We used </w:t>
      </w:r>
      <w:r w:rsidR="186CFD79">
        <w:t xml:space="preserve">secondary analysis of </w:t>
      </w:r>
      <w:r w:rsidR="62B955FB">
        <w:t xml:space="preserve">population-level </w:t>
      </w:r>
      <w:r w:rsidR="186CFD79">
        <w:t>data to assess the volume of use of</w:t>
      </w:r>
      <w:r w:rsidR="0018161B">
        <w:t xml:space="preserve"> </w:t>
      </w:r>
      <w:r>
        <w:t xml:space="preserve">multiple mental health and social services </w:t>
      </w:r>
      <w:r w:rsidR="50AB4C46">
        <w:t xml:space="preserve">during </w:t>
      </w:r>
      <w:r w:rsidR="00B27ABD">
        <w:t>lockdown</w:t>
      </w:r>
      <w:r>
        <w:t xml:space="preserve"> interventions </w:t>
      </w:r>
      <w:r w:rsidR="594B1683">
        <w:t xml:space="preserve">in a </w:t>
      </w:r>
      <w:r w:rsidR="3F041F80">
        <w:t xml:space="preserve">single </w:t>
      </w:r>
      <w:r w:rsidR="594B1683">
        <w:t>region in Ontario, Canada</w:t>
      </w:r>
      <w:r w:rsidR="2F9EA7FC">
        <w:t xml:space="preserve">. The observation period </w:t>
      </w:r>
      <w:r w:rsidR="76E3576A">
        <w:t xml:space="preserve">was </w:t>
      </w:r>
      <w:r w:rsidR="072F9B02">
        <w:t xml:space="preserve">over </w:t>
      </w:r>
      <w:r w:rsidR="76E3576A">
        <w:t>a six</w:t>
      </w:r>
      <w:r w:rsidR="5B2AFFB1">
        <w:t>-</w:t>
      </w:r>
      <w:r w:rsidR="76E3576A">
        <w:t xml:space="preserve">month period </w:t>
      </w:r>
      <w:r w:rsidR="131E7D20">
        <w:t>from</w:t>
      </w:r>
      <w:r w:rsidR="3484B8B8">
        <w:t xml:space="preserve"> the </w:t>
      </w:r>
      <w:r>
        <w:t xml:space="preserve">first confirmed case of COVID-19 </w:t>
      </w:r>
      <w:r w:rsidR="5AEEAEF8">
        <w:t xml:space="preserve">on </w:t>
      </w:r>
      <w:r>
        <w:t>March 5, 2020 to September 5, 2020</w:t>
      </w:r>
      <w:r w:rsidR="2CE8725F">
        <w:t xml:space="preserve">. The number of total </w:t>
      </w:r>
      <w:r w:rsidR="008A5092">
        <w:t>v</w:t>
      </w:r>
      <w:r w:rsidR="2CE8725F">
        <w:t>isits w</w:t>
      </w:r>
      <w:r w:rsidR="008A5092">
        <w:t>ere</w:t>
      </w:r>
      <w:r>
        <w:t xml:space="preserve"> compared </w:t>
      </w:r>
      <w:r w:rsidR="26D668CA">
        <w:t xml:space="preserve">to the same period a year earlier in 2019. </w:t>
      </w:r>
    </w:p>
    <w:p w14:paraId="3412A857" w14:textId="249DD73C" w:rsidR="003D4878" w:rsidRPr="008A5092" w:rsidRDefault="333A58A1" w:rsidP="2E8D2DF1">
      <w:pPr>
        <w:shd w:val="clear" w:color="auto" w:fill="FFFFFF" w:themeFill="background1"/>
        <w:spacing w:line="276" w:lineRule="auto"/>
        <w:rPr>
          <w:b/>
          <w:bCs/>
        </w:rPr>
      </w:pPr>
      <w:r w:rsidRPr="008A5092">
        <w:rPr>
          <w:b/>
          <w:bCs/>
        </w:rPr>
        <w:t>Population &amp; Context</w:t>
      </w:r>
    </w:p>
    <w:p w14:paraId="7A57EE99" w14:textId="11FF487C" w:rsidR="003D4878" w:rsidRPr="0017660F" w:rsidRDefault="2F75563D" w:rsidP="2E8D2DF1">
      <w:pPr>
        <w:shd w:val="clear" w:color="auto" w:fill="FFFFFF" w:themeFill="background1"/>
        <w:spacing w:line="276" w:lineRule="auto"/>
        <w:rPr>
          <w:color w:val="222222"/>
        </w:rPr>
      </w:pPr>
      <w:r>
        <w:t>Data were captured for the</w:t>
      </w:r>
      <w:r w:rsidR="1DD25FF7">
        <w:t xml:space="preserve"> </w:t>
      </w:r>
      <w:r w:rsidR="00264B98">
        <w:t>Waterloo-Wellington LHIN</w:t>
      </w:r>
      <w:r w:rsidR="3563215D">
        <w:t xml:space="preserve">, which </w:t>
      </w:r>
      <w:r w:rsidR="00264B98">
        <w:t>is a region</w:t>
      </w:r>
      <w:r w:rsidR="00862B33">
        <w:t xml:space="preserve"> in Southern Ontario consisting</w:t>
      </w:r>
      <w:r w:rsidR="00833652">
        <w:t xml:space="preserve"> of Kitchener, Waterloo, and Cambridge</w:t>
      </w:r>
      <w:r w:rsidR="00862B33">
        <w:t xml:space="preserve">, with a total </w:t>
      </w:r>
      <w:r w:rsidR="00235028">
        <w:t xml:space="preserve">census </w:t>
      </w:r>
      <w:r w:rsidR="00862B33">
        <w:t xml:space="preserve">population of </w:t>
      </w:r>
      <w:r w:rsidR="00BC229C">
        <w:t>523 894</w:t>
      </w:r>
      <w:r w:rsidR="00862B33">
        <w:t xml:space="preserve"> (</w:t>
      </w:r>
      <w:r w:rsidR="0017660F">
        <w:t xml:space="preserve">as of November 26, 2020, per </w:t>
      </w:r>
      <w:r w:rsidR="00BC229C">
        <w:t>Statistics Canada</w:t>
      </w:r>
      <w:r w:rsidR="0017660F">
        <w:t xml:space="preserve">, available at </w:t>
      </w:r>
      <w:hyperlink r:id="rId12">
        <w:r w:rsidR="0017660F" w:rsidRPr="2E8D2DF1">
          <w:rPr>
            <w:rStyle w:val="Hyperlink"/>
          </w:rPr>
          <w:t>https://www12.statcan.gc.ca/census-recensement/2016/as-sa/fogs-spg/Facts-cma-eng.cfm?LANG=Eng&amp;GK=CMA&amp;GC=541&amp;TOPIC=1</w:t>
        </w:r>
      </w:hyperlink>
      <w:r w:rsidR="00862B33">
        <w:t>).</w:t>
      </w:r>
      <w:r w:rsidR="00BE5B62">
        <w:t xml:space="preserve"> </w:t>
      </w:r>
      <w:r w:rsidR="00862B33">
        <w:t xml:space="preserve">The region </w:t>
      </w:r>
      <w:r w:rsidR="00BE5B62">
        <w:t xml:space="preserve">is served by </w:t>
      </w:r>
      <w:r w:rsidR="00840F61">
        <w:t>three</w:t>
      </w:r>
      <w:r w:rsidR="00BE5B62">
        <w:t xml:space="preserve"> hospitals:</w:t>
      </w:r>
      <w:r w:rsidR="0014151B">
        <w:t xml:space="preserve"> Grand River Hospital</w:t>
      </w:r>
      <w:r w:rsidR="00C236BE">
        <w:t xml:space="preserve"> (GRH)</w:t>
      </w:r>
      <w:r w:rsidR="00DF0C05">
        <w:t>,</w:t>
      </w:r>
      <w:r w:rsidR="0014151B">
        <w:t xml:space="preserve"> St. Mary’s Hospital</w:t>
      </w:r>
      <w:r w:rsidR="00C236BE">
        <w:t xml:space="preserve"> (SMH)</w:t>
      </w:r>
      <w:r w:rsidR="0025110E">
        <w:t>,</w:t>
      </w:r>
      <w:r w:rsidR="00DF0C05">
        <w:t xml:space="preserve"> </w:t>
      </w:r>
      <w:r w:rsidR="00833652">
        <w:t xml:space="preserve">and </w:t>
      </w:r>
      <w:r w:rsidR="00DF0C05">
        <w:t>Cambridge</w:t>
      </w:r>
      <w:r w:rsidR="004B7D06">
        <w:t xml:space="preserve"> </w:t>
      </w:r>
      <w:r w:rsidR="00833652">
        <w:t xml:space="preserve">Memorial </w:t>
      </w:r>
      <w:r w:rsidR="004B7D06">
        <w:t>Hospital</w:t>
      </w:r>
      <w:r w:rsidR="00C236BE">
        <w:t xml:space="preserve"> (CMH)</w:t>
      </w:r>
      <w:r w:rsidR="00566832">
        <w:t>.</w:t>
      </w:r>
      <w:r w:rsidR="00056D05">
        <w:t xml:space="preserve"> </w:t>
      </w:r>
      <w:r w:rsidR="6585D80F" w:rsidRPr="2E8D2DF1">
        <w:rPr>
          <w:color w:val="222222"/>
        </w:rPr>
        <w:t xml:space="preserve">All residents of this region </w:t>
      </w:r>
      <w:r w:rsidR="51A57770" w:rsidRPr="2E8D2DF1">
        <w:rPr>
          <w:color w:val="222222"/>
        </w:rPr>
        <w:t xml:space="preserve">with a phone </w:t>
      </w:r>
      <w:r w:rsidR="757F337C" w:rsidRPr="2E8D2DF1">
        <w:rPr>
          <w:color w:val="222222"/>
        </w:rPr>
        <w:t>would have</w:t>
      </w:r>
      <w:r w:rsidR="6585D80F" w:rsidRPr="2E8D2DF1">
        <w:rPr>
          <w:color w:val="222222"/>
        </w:rPr>
        <w:t xml:space="preserve"> </w:t>
      </w:r>
      <w:r w:rsidR="4DFC4707" w:rsidRPr="2E8D2DF1">
        <w:rPr>
          <w:color w:val="222222"/>
        </w:rPr>
        <w:t>access</w:t>
      </w:r>
      <w:r w:rsidR="6585D80F" w:rsidRPr="2E8D2DF1">
        <w:rPr>
          <w:color w:val="222222"/>
        </w:rPr>
        <w:t xml:space="preserve"> </w:t>
      </w:r>
      <w:r w:rsidR="6077C8C5" w:rsidRPr="2E8D2DF1">
        <w:rPr>
          <w:color w:val="222222"/>
        </w:rPr>
        <w:t xml:space="preserve">to </w:t>
      </w:r>
      <w:r w:rsidR="6585D80F" w:rsidRPr="2E8D2DF1">
        <w:rPr>
          <w:color w:val="222222"/>
        </w:rPr>
        <w:t>police services</w:t>
      </w:r>
      <w:r w:rsidR="030E6730" w:rsidRPr="2E8D2DF1">
        <w:rPr>
          <w:color w:val="222222"/>
        </w:rPr>
        <w:t xml:space="preserve"> and crisis hotlines. </w:t>
      </w:r>
    </w:p>
    <w:p w14:paraId="4540ED49" w14:textId="4B100747" w:rsidR="2E8D2DF1" w:rsidRDefault="52634E4D" w:rsidP="008A5092">
      <w:pPr>
        <w:spacing w:line="276" w:lineRule="auto"/>
      </w:pPr>
      <w:r>
        <w:t>In the province of Ontario, a state of emergency was declared on March 17, 2020, which directed impacted the Waterloo-Wellington LHIN. Th</w:t>
      </w:r>
      <w:r w:rsidR="008930BA">
        <w:t>e lockdown period</w:t>
      </w:r>
      <w:r>
        <w:t xml:space="preserve"> included school and university closures, closure of non-essential businesses, and prohibition of non-essential public gatherings of over five </w:t>
      </w:r>
      <w:r>
        <w:lastRenderedPageBreak/>
        <w:t>people followed on April 5, 2020. Graduated re-opening began between May 4 and June 2, 2020, with recommendations on mask wearing, social distancing, and limits on large gatherings maintained.</w:t>
      </w:r>
    </w:p>
    <w:p w14:paraId="3C928C61" w14:textId="77777777" w:rsidR="007C7375" w:rsidRPr="00BE5B62" w:rsidRDefault="007C7375" w:rsidP="00941B6C">
      <w:pPr>
        <w:spacing w:line="276" w:lineRule="auto"/>
      </w:pPr>
    </w:p>
    <w:p w14:paraId="35C51029" w14:textId="77777777" w:rsidR="008A5092" w:rsidRDefault="2B39FBFE" w:rsidP="2E8D2DF1">
      <w:pPr>
        <w:spacing w:line="276" w:lineRule="auto"/>
      </w:pPr>
      <w:r w:rsidRPr="008A5092">
        <w:rPr>
          <w:b/>
          <w:bCs/>
        </w:rPr>
        <w:t>Measures</w:t>
      </w:r>
      <w:r w:rsidR="008A5092" w:rsidRPr="008A5092">
        <w:rPr>
          <w:b/>
          <w:bCs/>
        </w:rPr>
        <w:t xml:space="preserve"> of </w:t>
      </w:r>
      <w:r w:rsidR="546C182A" w:rsidRPr="008A5092">
        <w:rPr>
          <w:b/>
          <w:bCs/>
        </w:rPr>
        <w:t>Mental</w:t>
      </w:r>
      <w:r w:rsidR="4053727D" w:rsidRPr="008A5092">
        <w:rPr>
          <w:b/>
          <w:bCs/>
        </w:rPr>
        <w:t xml:space="preserve"> </w:t>
      </w:r>
      <w:r w:rsidR="546C182A" w:rsidRPr="008A5092">
        <w:rPr>
          <w:b/>
          <w:bCs/>
        </w:rPr>
        <w:t xml:space="preserve">Health Related </w:t>
      </w:r>
      <w:r w:rsidR="71BC623C" w:rsidRPr="008A5092">
        <w:rPr>
          <w:b/>
          <w:bCs/>
        </w:rPr>
        <w:t xml:space="preserve">ER </w:t>
      </w:r>
      <w:r w:rsidR="546C182A" w:rsidRPr="008A5092">
        <w:rPr>
          <w:b/>
          <w:bCs/>
        </w:rPr>
        <w:t>Visits</w:t>
      </w:r>
      <w:r w:rsidR="546C182A">
        <w:t xml:space="preserve">. </w:t>
      </w:r>
    </w:p>
    <w:p w14:paraId="039DEEAB" w14:textId="582E0D00" w:rsidR="0037273A" w:rsidRPr="008A5092" w:rsidRDefault="008930BA" w:rsidP="2E8D2DF1">
      <w:pPr>
        <w:spacing w:line="276" w:lineRule="auto"/>
        <w:rPr>
          <w:b/>
          <w:bCs/>
        </w:rPr>
      </w:pPr>
      <w:r>
        <w:t xml:space="preserve">Daily total emergency department visits were collected for GRH, SMH, and CMH between March 5 and September 5, 2020. </w:t>
      </w:r>
      <w:r w:rsidR="00264B98">
        <w:t xml:space="preserve">Anonymous, retrospectively coded National Ambulatory Care Reporting System (NACRS) chart metadata for </w:t>
      </w:r>
      <w:r>
        <w:t>each of the three hospitals</w:t>
      </w:r>
      <w:r w:rsidR="00264B98">
        <w:t xml:space="preserve"> w</w:t>
      </w:r>
      <w:r w:rsidR="004F7402">
        <w:t>ere</w:t>
      </w:r>
      <w:r w:rsidR="00264B98">
        <w:t xml:space="preserve"> obtained </w:t>
      </w:r>
      <w:r>
        <w:t>through</w:t>
      </w:r>
      <w:r w:rsidR="00264B98">
        <w:t xml:space="preserve"> Decision Support</w:t>
      </w:r>
      <w:r w:rsidR="008A5092">
        <w:t xml:space="preserve"> </w:t>
      </w:r>
      <w:r w:rsidR="00264B98">
        <w:t>for selected mental health discharge diagnoses</w:t>
      </w:r>
      <w:r w:rsidR="006B72C9">
        <w:t xml:space="preserve">: </w:t>
      </w:r>
      <w:r w:rsidR="0037273A">
        <w:t xml:space="preserve">substance </w:t>
      </w:r>
      <w:r w:rsidR="00D91B38">
        <w:t>related (</w:t>
      </w:r>
      <w:r w:rsidR="00031013">
        <w:t>excluding alcohol</w:t>
      </w:r>
      <w:r w:rsidR="00D91B38">
        <w:t>)</w:t>
      </w:r>
      <w:r w:rsidR="00E30045">
        <w:t xml:space="preserve">, </w:t>
      </w:r>
      <w:r w:rsidR="00031013">
        <w:t xml:space="preserve">alcohol intoxication, </w:t>
      </w:r>
      <w:r w:rsidR="00D91B38">
        <w:t>mood related (</w:t>
      </w:r>
      <w:r w:rsidR="007D418F">
        <w:t xml:space="preserve">anxiety, </w:t>
      </w:r>
      <w:r w:rsidR="00003050">
        <w:t xml:space="preserve">PTSD, </w:t>
      </w:r>
      <w:r w:rsidR="0081293C">
        <w:t>depression,</w:t>
      </w:r>
      <w:r w:rsidR="00D91B38">
        <w:t xml:space="preserve"> bipolar),</w:t>
      </w:r>
      <w:r w:rsidR="0081293C">
        <w:t xml:space="preserve"> </w:t>
      </w:r>
      <w:r w:rsidR="00D91B38">
        <w:t xml:space="preserve">psychosis-related (psychosis, </w:t>
      </w:r>
      <w:r w:rsidR="00325185">
        <w:t>bizarre behaviour</w:t>
      </w:r>
      <w:r w:rsidR="00D91B38">
        <w:t>)</w:t>
      </w:r>
      <w:r w:rsidR="00325185">
        <w:t>,</w:t>
      </w:r>
      <w:r w:rsidR="00D91B38">
        <w:t xml:space="preserve"> situation</w:t>
      </w:r>
      <w:r w:rsidR="00003050">
        <w:t xml:space="preserve"> </w:t>
      </w:r>
      <w:r w:rsidR="00D91B38">
        <w:t>related (situational disturbance, life crisis,</w:t>
      </w:r>
      <w:r w:rsidR="00325185">
        <w:t xml:space="preserve"> concern for safety</w:t>
      </w:r>
      <w:r w:rsidR="00FD70A7">
        <w:t>, domestic violence</w:t>
      </w:r>
      <w:r w:rsidR="00D91B38">
        <w:t>)</w:t>
      </w:r>
      <w:r w:rsidR="00325185">
        <w:t xml:space="preserve">, </w:t>
      </w:r>
      <w:r w:rsidR="00D91B38">
        <w:t>self harm related</w:t>
      </w:r>
      <w:r w:rsidR="00F86D2B">
        <w:t xml:space="preserve">, and </w:t>
      </w:r>
      <w:r w:rsidR="006E2B1F">
        <w:t>completion of Form 1</w:t>
      </w:r>
      <w:r w:rsidR="00F86D2B">
        <w:t xml:space="preserve"> </w:t>
      </w:r>
      <w:r w:rsidR="00DC364F">
        <w:t>indicating</w:t>
      </w:r>
      <w:r w:rsidR="00F86D2B">
        <w:t xml:space="preserve"> involuntary detention for psychiatric assessment.</w:t>
      </w:r>
      <w:r w:rsidR="006C67B8">
        <w:t xml:space="preserve"> </w:t>
      </w:r>
      <w:r w:rsidR="006C67B8" w:rsidRPr="2E8D2DF1">
        <w:rPr>
          <w:color w:val="222222"/>
          <w:shd w:val="clear" w:color="auto" w:fill="FFFFFF"/>
        </w:rPr>
        <w:t xml:space="preserve">Patients from all sites were pooled and considered as a single population. </w:t>
      </w:r>
      <w:r w:rsidR="18C24CEE" w:rsidRPr="2E8D2DF1">
        <w:rPr>
          <w:color w:val="222222"/>
          <w:shd w:val="clear" w:color="auto" w:fill="FFFFFF"/>
        </w:rPr>
        <w:t xml:space="preserve">The data were used to </w:t>
      </w:r>
      <w:r w:rsidR="00480A50">
        <w:rPr>
          <w:color w:val="222222"/>
          <w:shd w:val="clear" w:color="auto" w:fill="FFFFFF"/>
        </w:rPr>
        <w:t>analyse</w:t>
      </w:r>
      <w:r w:rsidR="18C24CEE" w:rsidRPr="2E8D2DF1">
        <w:rPr>
          <w:color w:val="222222"/>
          <w:shd w:val="clear" w:color="auto" w:fill="FFFFFF"/>
        </w:rPr>
        <w:t xml:space="preserve"> </w:t>
      </w:r>
      <w:r w:rsidR="00480A50">
        <w:rPr>
          <w:color w:val="222222"/>
          <w:shd w:val="clear" w:color="auto" w:fill="FFFFFF"/>
        </w:rPr>
        <w:t xml:space="preserve">the number of visits for each diagnosis over the study period. </w:t>
      </w:r>
    </w:p>
    <w:p w14:paraId="27DB89F7" w14:textId="77777777" w:rsidR="008A5092" w:rsidRPr="008A5092" w:rsidRDefault="71AF790A" w:rsidP="2E8D2DF1">
      <w:pPr>
        <w:spacing w:line="276" w:lineRule="auto"/>
        <w:rPr>
          <w:b/>
          <w:bCs/>
        </w:rPr>
      </w:pPr>
      <w:r w:rsidRPr="008A5092">
        <w:rPr>
          <w:b/>
          <w:bCs/>
        </w:rPr>
        <w:t xml:space="preserve">Mental Health Related Police Service Use. </w:t>
      </w:r>
    </w:p>
    <w:p w14:paraId="2FD021FC" w14:textId="420D04E4" w:rsidR="71AF790A" w:rsidRDefault="74E16083" w:rsidP="2E8D2DF1">
      <w:pPr>
        <w:spacing w:line="276" w:lineRule="auto"/>
      </w:pPr>
      <w:r>
        <w:t>Waterloo Regional Police provided population-level data for the observations period and comparative period on police dispatches</w:t>
      </w:r>
      <w:r w:rsidR="691C97FF">
        <w:t xml:space="preserve">. They also provided </w:t>
      </w:r>
      <w:r>
        <w:t>Neighbourhood Policing semi-monthly reports and weekly COVID-19 Call Reports</w:t>
      </w:r>
      <w:r w:rsidR="5EFB672D">
        <w:t>. All three sources of data</w:t>
      </w:r>
      <w:r>
        <w:t xml:space="preserve"> were used to </w:t>
      </w:r>
      <w:r w:rsidR="6D7226A4">
        <w:t>create</w:t>
      </w:r>
      <w:r>
        <w:t xml:space="preserve"> the following categories: assault, domestic dispute, drug overdose, intoxication, and suicide attempts.</w:t>
      </w:r>
      <w:r w:rsidR="18771544">
        <w:t xml:space="preserve"> The data were used to create XXX variables.</w:t>
      </w:r>
    </w:p>
    <w:p w14:paraId="4C75C0D0" w14:textId="77777777" w:rsidR="008A5092" w:rsidRDefault="3CAA4214" w:rsidP="00941B6C">
      <w:pPr>
        <w:spacing w:line="276" w:lineRule="auto"/>
        <w:rPr>
          <w:b/>
          <w:bCs/>
        </w:rPr>
      </w:pPr>
      <w:r w:rsidRPr="008A5092">
        <w:rPr>
          <w:b/>
          <w:bCs/>
        </w:rPr>
        <w:t xml:space="preserve">Crisis-Line Use. </w:t>
      </w:r>
    </w:p>
    <w:p w14:paraId="21204C49" w14:textId="49A953D4" w:rsidR="00C34C27" w:rsidRDefault="4C4AD2B0" w:rsidP="00941B6C">
      <w:pPr>
        <w:spacing w:line="276" w:lineRule="auto"/>
      </w:pPr>
      <w:r>
        <w:t>C</w:t>
      </w:r>
      <w:r w:rsidR="00C34C27">
        <w:t xml:space="preserve">all volumes </w:t>
      </w:r>
      <w:r w:rsidR="00225AE2">
        <w:t>were obtained from</w:t>
      </w:r>
      <w:r w:rsidR="00175874">
        <w:t xml:space="preserve"> Here 24/7,</w:t>
      </w:r>
      <w:r w:rsidR="00C34C27">
        <w:t xml:space="preserve"> </w:t>
      </w:r>
      <w:r w:rsidR="00D81E24">
        <w:t xml:space="preserve">a call centre which serves as </w:t>
      </w:r>
      <w:r w:rsidR="00175874">
        <w:t>the single access point for mental health, addictions, and crisis in</w:t>
      </w:r>
      <w:r w:rsidR="00C34C27">
        <w:t xml:space="preserve"> </w:t>
      </w:r>
      <w:r w:rsidR="00BE19C8">
        <w:t xml:space="preserve">the </w:t>
      </w:r>
      <w:r w:rsidR="00264B98">
        <w:t>Waterloo-Wellington</w:t>
      </w:r>
      <w:r w:rsidR="00BE19C8">
        <w:t xml:space="preserve"> region</w:t>
      </w:r>
      <w:r w:rsidR="00175874">
        <w:t>.</w:t>
      </w:r>
      <w:r w:rsidR="00DF52C4">
        <w:t xml:space="preserve"> C</w:t>
      </w:r>
      <w:r w:rsidR="00770FBB">
        <w:t>risis</w:t>
      </w:r>
      <w:r w:rsidR="00546627">
        <w:t>-line</w:t>
      </w:r>
      <w:r w:rsidR="00770FBB">
        <w:t xml:space="preserve"> c</w:t>
      </w:r>
      <w:r w:rsidR="00DF52C4">
        <w:t xml:space="preserve">all volumes for </w:t>
      </w:r>
      <w:r w:rsidR="00264B98">
        <w:t>Waterloo-Wellington</w:t>
      </w:r>
      <w:r w:rsidR="00DF52C4">
        <w:t xml:space="preserve"> are tracked cumulatively</w:t>
      </w:r>
      <w:r w:rsidR="30D01018">
        <w:t>. Data on call location</w:t>
      </w:r>
      <w:r w:rsidR="00DF52C4">
        <w:t xml:space="preserve"> presenting issues</w:t>
      </w:r>
      <w:r w:rsidR="00770FBB">
        <w:t>, and outgoing referral sources (</w:t>
      </w:r>
      <w:proofErr w:type="gramStart"/>
      <w:r w:rsidR="00225AE2">
        <w:t>i.e.</w:t>
      </w:r>
      <w:proofErr w:type="gramEnd"/>
      <w:r w:rsidR="00225AE2">
        <w:t xml:space="preserve"> </w:t>
      </w:r>
      <w:r w:rsidR="00770FBB">
        <w:t>emergency dispatch)</w:t>
      </w:r>
      <w:r w:rsidR="00DF52C4">
        <w:t xml:space="preserve"> </w:t>
      </w:r>
      <w:r w:rsidR="396FDA55">
        <w:t>were not</w:t>
      </w:r>
      <w:r w:rsidR="00EB7D7B">
        <w:t xml:space="preserve"> </w:t>
      </w:r>
      <w:r w:rsidR="55F4344C">
        <w:t>available</w:t>
      </w:r>
      <w:r w:rsidR="00DF52C4">
        <w:t>.</w:t>
      </w:r>
      <w:r w:rsidR="00770FBB">
        <w:t xml:space="preserve"> </w:t>
      </w:r>
      <w:r w:rsidR="409D3E33">
        <w:t>The data were used to create XX variables.</w:t>
      </w:r>
    </w:p>
    <w:p w14:paraId="27738B27" w14:textId="77777777" w:rsidR="00FC6FB7" w:rsidRPr="00FC6FB7" w:rsidRDefault="3B00A147" w:rsidP="2E8D2DF1">
      <w:pPr>
        <w:spacing w:line="276" w:lineRule="auto"/>
        <w:rPr>
          <w:b/>
          <w:bCs/>
          <w:color w:val="222222"/>
        </w:rPr>
      </w:pPr>
      <w:r w:rsidRPr="00FC6FB7">
        <w:rPr>
          <w:b/>
          <w:bCs/>
          <w:color w:val="222222"/>
        </w:rPr>
        <w:t xml:space="preserve">Covid Cases. </w:t>
      </w:r>
    </w:p>
    <w:p w14:paraId="4E500906" w14:textId="6034AF2E" w:rsidR="00C34C27" w:rsidRDefault="3B00A147" w:rsidP="2E8D2DF1">
      <w:pPr>
        <w:spacing w:line="276" w:lineRule="auto"/>
      </w:pPr>
      <w:r w:rsidRPr="2E8D2DF1">
        <w:rPr>
          <w:color w:val="222222"/>
        </w:rPr>
        <w:t>P</w:t>
      </w:r>
      <w:r>
        <w:t xml:space="preserve">ublicly available Waterloo Public Health data was used to track progression of the epidemic (as of January 19, 2021, per Region of Waterloo Public Health, available at </w:t>
      </w:r>
      <w:hyperlink r:id="rId13" w:history="1">
        <w:r>
          <w:t>https://www.regionofwaterloo.ca/en/health-and-wellness/positive-cases-in-waterloo-region.aspx#</w:t>
        </w:r>
      </w:hyperlink>
      <w:r>
        <w:t>)</w:t>
      </w:r>
      <w:r w:rsidR="008930BA">
        <w:t>.</w:t>
      </w:r>
    </w:p>
    <w:p w14:paraId="7DE492AA" w14:textId="77777777" w:rsidR="00031013" w:rsidRDefault="00031013" w:rsidP="00941B6C">
      <w:pPr>
        <w:spacing w:line="276" w:lineRule="auto"/>
      </w:pPr>
    </w:p>
    <w:p w14:paraId="28AF33B9" w14:textId="29B4B962" w:rsidR="002941AD" w:rsidRPr="002941AD" w:rsidRDefault="7814BF86" w:rsidP="2E8D2DF1">
      <w:pPr>
        <w:spacing w:line="276" w:lineRule="auto"/>
        <w:rPr>
          <w:b/>
          <w:bCs/>
        </w:rPr>
      </w:pPr>
      <w:r w:rsidRPr="2E8D2DF1">
        <w:rPr>
          <w:b/>
          <w:bCs/>
        </w:rPr>
        <w:t>Data Analysis.</w:t>
      </w:r>
    </w:p>
    <w:p w14:paraId="559A54AB" w14:textId="5954B147" w:rsidR="00AA2211" w:rsidRDefault="00AA2211" w:rsidP="00941B6C">
      <w:pPr>
        <w:spacing w:line="276" w:lineRule="auto"/>
      </w:pPr>
      <w:r>
        <w:t>Descriptive analyses of included variables were performed</w:t>
      </w:r>
      <w:r w:rsidR="00537E36">
        <w:t>.</w:t>
      </w:r>
      <w:r w:rsidR="00F51493">
        <w:t xml:space="preserve"> </w:t>
      </w:r>
      <w:r>
        <w:t>Univariate analysis in order to detect statistically significant differences between periods</w:t>
      </w:r>
      <w:r w:rsidR="00480A50">
        <w:t>?</w:t>
      </w:r>
      <w:r>
        <w:t xml:space="preserve"> </w:t>
      </w:r>
    </w:p>
    <w:p w14:paraId="79B9A6FB" w14:textId="0024B15B" w:rsidR="3AF4A7D6" w:rsidRDefault="3AF4A7D6" w:rsidP="2E8D2DF1">
      <w:pPr>
        <w:spacing w:line="276" w:lineRule="auto"/>
      </w:pPr>
      <w:r>
        <w:t>Trends in number of visits over time are presented visually using line graphs....</w:t>
      </w:r>
    </w:p>
    <w:p w14:paraId="4A74AAF9" w14:textId="52BF1C91" w:rsidR="0088164B" w:rsidRPr="00A7769E" w:rsidRDefault="00813E50" w:rsidP="00A7769E">
      <w:pPr>
        <w:rPr>
          <w:rFonts w:ascii="Times New Roman" w:eastAsia="Times New Roman" w:hAnsi="Times New Roman" w:cs="Times New Roman"/>
          <w:sz w:val="24"/>
          <w:szCs w:val="24"/>
          <w:lang w:val="en-US"/>
        </w:rPr>
      </w:pPr>
      <w:commentRangeStart w:id="3"/>
      <w:r>
        <w:lastRenderedPageBreak/>
        <w:t>Poisson</w:t>
      </w:r>
      <w:r w:rsidR="59DB553F">
        <w:t xml:space="preserve"> </w:t>
      </w:r>
      <w:r w:rsidR="678DC172">
        <w:t>regression</w:t>
      </w:r>
      <w:r w:rsidR="4DB59319">
        <w:t>?</w:t>
      </w:r>
      <w:r w:rsidR="678DC172">
        <w:t xml:space="preserve"> </w:t>
      </w:r>
      <w:commentRangeEnd w:id="3"/>
      <w:r w:rsidR="00BD2079">
        <w:rPr>
          <w:rStyle w:val="CommentReference"/>
        </w:rPr>
        <w:commentReference w:id="3"/>
      </w:r>
      <w:r w:rsidR="678DC172">
        <w:t>was used</w:t>
      </w:r>
      <w:r w:rsidR="00DC1F34">
        <w:t>.</w:t>
      </w:r>
      <w:r w:rsidR="00CB16A2">
        <w:t xml:space="preserve"> </w:t>
      </w:r>
      <w:r w:rsidR="00A7769E">
        <w:rPr>
          <w:color w:val="4472C4" w:themeColor="accent1"/>
        </w:rPr>
        <w:t>Poisson or quasi-</w:t>
      </w:r>
      <w:proofErr w:type="spellStart"/>
      <w:r w:rsidR="00A7769E">
        <w:rPr>
          <w:color w:val="4472C4" w:themeColor="accent1"/>
        </w:rPr>
        <w:t>poisson</w:t>
      </w:r>
      <w:proofErr w:type="spellEnd"/>
      <w:r w:rsidR="00A7769E">
        <w:rPr>
          <w:color w:val="4472C4" w:themeColor="accent1"/>
        </w:rPr>
        <w:t xml:space="preserve"> regressions were used, depending on whether the model showed over-</w:t>
      </w:r>
      <w:r w:rsidR="00A7769E" w:rsidRPr="00A7769E">
        <w:rPr>
          <w:color w:val="4472C4" w:themeColor="accent1"/>
        </w:rPr>
        <w:t xml:space="preserve">dispersion, </w:t>
      </w:r>
      <w:r w:rsidR="00A7769E" w:rsidRPr="00A7769E">
        <w:rPr>
          <w:color w:val="4472C4" w:themeColor="accent1"/>
          <w:lang w:val="en-US"/>
        </w:rPr>
        <w:t xml:space="preserve">meaning the Residual Deviance </w:t>
      </w:r>
      <w:r w:rsidR="00A7769E">
        <w:rPr>
          <w:color w:val="4472C4" w:themeColor="accent1"/>
          <w:lang w:val="en-US"/>
        </w:rPr>
        <w:t>was</w:t>
      </w:r>
      <w:r w:rsidR="00A7769E" w:rsidRPr="00A7769E">
        <w:rPr>
          <w:color w:val="4472C4" w:themeColor="accent1"/>
          <w:lang w:val="en-US"/>
        </w:rPr>
        <w:t xml:space="preserve"> greater than</w:t>
      </w:r>
      <w:r w:rsidR="00A7769E">
        <w:rPr>
          <w:color w:val="4472C4" w:themeColor="accent1"/>
          <w:lang w:val="en-US"/>
        </w:rPr>
        <w:t xml:space="preserve"> </w:t>
      </w:r>
      <w:r w:rsidR="00A7769E" w:rsidRPr="00A7769E">
        <w:rPr>
          <w:color w:val="4472C4" w:themeColor="accent1"/>
          <w:lang w:val="en-US"/>
        </w:rPr>
        <w:t>the degrees of freedom</w:t>
      </w:r>
      <w:r w:rsidR="00A7769E">
        <w:rPr>
          <w:color w:val="4472C4" w:themeColor="accent1"/>
        </w:rPr>
        <w:t>. Poisson models w</w:t>
      </w:r>
      <w:r w:rsidR="00FE2532">
        <w:rPr>
          <w:color w:val="4472C4" w:themeColor="accent1"/>
        </w:rPr>
        <w:t>ere</w:t>
      </w:r>
      <w:r w:rsidR="00A7769E">
        <w:rPr>
          <w:color w:val="4472C4" w:themeColor="accent1"/>
        </w:rPr>
        <w:t xml:space="preserve"> chosen because </w:t>
      </w:r>
      <w:r w:rsidR="00FE2532">
        <w:rPr>
          <w:color w:val="4472C4" w:themeColor="accent1"/>
        </w:rPr>
        <w:t xml:space="preserve">of the time-series nature of the data and because the y-values were counts. Poisson distributions can handle observations that are not independent and count data, which can only be positive integers. </w:t>
      </w:r>
      <w:r w:rsidR="00A7769E">
        <w:rPr>
          <w:color w:val="4472C4" w:themeColor="accent1"/>
        </w:rPr>
        <w:t xml:space="preserve">Z-values are reported for </w:t>
      </w:r>
      <w:proofErr w:type="spellStart"/>
      <w:r w:rsidR="00A7769E">
        <w:rPr>
          <w:color w:val="4472C4" w:themeColor="accent1"/>
        </w:rPr>
        <w:t>poisson</w:t>
      </w:r>
      <w:proofErr w:type="spellEnd"/>
      <w:r w:rsidR="00A7769E">
        <w:rPr>
          <w:color w:val="4472C4" w:themeColor="accent1"/>
        </w:rPr>
        <w:t xml:space="preserve"> regressions and t-values are reported for quasi-</w:t>
      </w:r>
      <w:proofErr w:type="spellStart"/>
      <w:r w:rsidR="00A7769E">
        <w:rPr>
          <w:color w:val="4472C4" w:themeColor="accent1"/>
        </w:rPr>
        <w:t>poisson</w:t>
      </w:r>
      <w:proofErr w:type="spellEnd"/>
      <w:r w:rsidR="00A7769E">
        <w:rPr>
          <w:color w:val="4472C4" w:themeColor="accent1"/>
        </w:rPr>
        <w:t xml:space="preserve"> regressions. </w:t>
      </w:r>
      <w:r w:rsidR="4E3294DD">
        <w:t xml:space="preserve">Statistical significance was established at p &lt;0.05. </w:t>
      </w:r>
      <w:r w:rsidR="00AA2211">
        <w:t xml:space="preserve">We used </w:t>
      </w:r>
      <w:r w:rsidR="00C82A0D" w:rsidRPr="006E0143">
        <w:rPr>
          <w:color w:val="4472C4" w:themeColor="accent1"/>
        </w:rPr>
        <w:t xml:space="preserve">R (version 4.02) </w:t>
      </w:r>
      <w:r w:rsidR="00AA2211">
        <w:t>to calculate all tabulations and statistics.</w:t>
      </w:r>
    </w:p>
    <w:p w14:paraId="20705D77" w14:textId="48669505" w:rsidR="004A5D89" w:rsidRDefault="004A5D89" w:rsidP="00941B6C">
      <w:pPr>
        <w:spacing w:line="276" w:lineRule="auto"/>
      </w:pPr>
      <w:r>
        <w:t>Institutional ethics approval was obtained from the Tri-cities Research Ethics Board (THREB), as well as approval from the Here 24/7 Ethics Committee</w:t>
      </w:r>
      <w:r w:rsidR="009D63F6">
        <w:t xml:space="preserve"> and Waterloo Regional Police</w:t>
      </w:r>
      <w:r>
        <w:t>.</w:t>
      </w:r>
      <w:r w:rsidR="007E0E29">
        <w:t xml:space="preserve"> </w:t>
      </w:r>
    </w:p>
    <w:p w14:paraId="5B3DC1B3" w14:textId="6B3CD45B" w:rsidR="005F5168" w:rsidRDefault="005F5168" w:rsidP="00941B6C">
      <w:pPr>
        <w:spacing w:line="276" w:lineRule="auto"/>
      </w:pPr>
    </w:p>
    <w:p w14:paraId="51C90FE8" w14:textId="65EDB6E9" w:rsidR="005948BF" w:rsidRPr="00BD2079" w:rsidRDefault="00B27ABD" w:rsidP="00941B6C">
      <w:pPr>
        <w:spacing w:line="276" w:lineRule="auto"/>
        <w:rPr>
          <w:b/>
          <w:bCs/>
          <w:u w:val="single"/>
        </w:rPr>
      </w:pPr>
      <w:r w:rsidRPr="00B27ABD">
        <w:rPr>
          <w:b/>
          <w:bCs/>
          <w:u w:val="single"/>
        </w:rPr>
        <w:t>Results</w:t>
      </w:r>
    </w:p>
    <w:p w14:paraId="6D7919A3" w14:textId="36F9084B" w:rsidR="00042CAE" w:rsidRDefault="005948BF" w:rsidP="2E8D2DF1">
      <w:pPr>
        <w:spacing w:line="276" w:lineRule="auto"/>
      </w:pPr>
      <w:r>
        <w:t xml:space="preserve">A total of </w:t>
      </w:r>
      <w:r w:rsidR="006E0143" w:rsidRPr="006E0143">
        <w:rPr>
          <w:color w:val="4472C4" w:themeColor="accent1"/>
        </w:rPr>
        <w:t xml:space="preserve">69,877 </w:t>
      </w:r>
      <w:r>
        <w:t>ED visits occurred during the study period</w:t>
      </w:r>
      <w:r w:rsidR="006E0143">
        <w:t xml:space="preserve"> in 2020</w:t>
      </w:r>
      <w:r>
        <w:t xml:space="preserve">, and these included </w:t>
      </w:r>
      <w:r w:rsidR="006E0143">
        <w:rPr>
          <w:color w:val="4472C4" w:themeColor="accent1"/>
        </w:rPr>
        <w:t>8,674</w:t>
      </w:r>
      <w:r>
        <w:t xml:space="preserve"> visits related to mental health and substance use. </w:t>
      </w:r>
      <w:r w:rsidR="006E0143">
        <w:t xml:space="preserve">There were </w:t>
      </w:r>
      <w:r w:rsidR="006E0143">
        <w:rPr>
          <w:color w:val="4472C4" w:themeColor="accent1"/>
        </w:rPr>
        <w:t xml:space="preserve">89,800 </w:t>
      </w:r>
      <w:r w:rsidR="006E0143">
        <w:t xml:space="preserve">ED visits during the same period in 2019, and these included </w:t>
      </w:r>
      <w:r w:rsidR="006E0143" w:rsidRPr="006E0143">
        <w:rPr>
          <w:color w:val="4472C4" w:themeColor="accent1"/>
        </w:rPr>
        <w:t xml:space="preserve">11,045 </w:t>
      </w:r>
      <w:r w:rsidR="006E0143">
        <w:t xml:space="preserve">visits related to mental health and substance abuse. </w:t>
      </w:r>
      <w:r w:rsidR="00042CAE">
        <w:t xml:space="preserve">Figure 1 shows the </w:t>
      </w:r>
      <w:r w:rsidR="009E26FF">
        <w:t xml:space="preserve">trend in </w:t>
      </w:r>
      <w:r w:rsidR="2984898D">
        <w:t xml:space="preserve">Emergency Department total volumes in the weeks between March 5 and September 5, 2020, along with the number of </w:t>
      </w:r>
      <w:r w:rsidR="009E26FF">
        <w:t xml:space="preserve">COVID-19 cases. There was a decrease in Emergency Department volumes that mirrored the increase in COVID-19 cases and hospitalizations </w:t>
      </w:r>
      <w:r w:rsidR="00031013">
        <w:t>during</w:t>
      </w:r>
      <w:r w:rsidR="009E26FF">
        <w:t xml:space="preserve"> the first wave of the epidemic. </w:t>
      </w:r>
      <w:r w:rsidR="00B1089C" w:rsidRPr="00C82A0D">
        <w:rPr>
          <w:color w:val="4472C4" w:themeColor="accent1"/>
        </w:rPr>
        <w:t>Poisson regression</w:t>
      </w:r>
      <w:r w:rsidR="00B1089C" w:rsidRPr="2E8D2DF1">
        <w:rPr>
          <w:color w:val="4472C4" w:themeColor="accent1"/>
        </w:rPr>
        <w:t xml:space="preserve"> </w:t>
      </w:r>
      <w:r w:rsidR="00B1089C">
        <w:t>show</w:t>
      </w:r>
      <w:r w:rsidR="00BD2079">
        <w:t>ed</w:t>
      </w:r>
      <w:r w:rsidR="00B1089C">
        <w:t xml:space="preserve"> that ED visits were </w:t>
      </w:r>
      <w:r w:rsidR="00B1089C" w:rsidRPr="2E8D2DF1">
        <w:rPr>
          <w:color w:val="4472C4" w:themeColor="accent1"/>
        </w:rPr>
        <w:t xml:space="preserve">significantly different </w:t>
      </w:r>
      <w:r w:rsidR="008916A9">
        <w:rPr>
          <w:color w:val="4472C4" w:themeColor="accent1"/>
        </w:rPr>
        <w:t>during the</w:t>
      </w:r>
      <w:r w:rsidR="00B1089C" w:rsidRPr="2E8D2DF1">
        <w:rPr>
          <w:color w:val="4472C4" w:themeColor="accent1"/>
        </w:rPr>
        <w:t xml:space="preserve"> March</w:t>
      </w:r>
      <w:r w:rsidR="008916A9">
        <w:rPr>
          <w:color w:val="4472C4" w:themeColor="accent1"/>
        </w:rPr>
        <w:t xml:space="preserve"> 17</w:t>
      </w:r>
      <w:r w:rsidR="00B1089C" w:rsidRPr="2E8D2DF1">
        <w:rPr>
          <w:color w:val="4472C4" w:themeColor="accent1"/>
        </w:rPr>
        <w:t xml:space="preserve"> to </w:t>
      </w:r>
      <w:r w:rsidR="008916A9">
        <w:rPr>
          <w:color w:val="4472C4" w:themeColor="accent1"/>
        </w:rPr>
        <w:t>May 4</w:t>
      </w:r>
      <w:r w:rsidR="00B1089C">
        <w:t xml:space="preserve"> </w:t>
      </w:r>
      <w:r w:rsidR="008916A9">
        <w:t>lockdown period</w:t>
      </w:r>
      <w:r w:rsidR="00B1089C">
        <w:t xml:space="preserve"> compared to the same period in 2019</w:t>
      </w:r>
      <w:r w:rsidR="5C292D8A">
        <w:t xml:space="preserve"> </w:t>
      </w:r>
      <w:r w:rsidR="5C292D8A" w:rsidRPr="00392A04">
        <w:rPr>
          <w:color w:val="4472C4" w:themeColor="accent1"/>
        </w:rPr>
        <w:t>(</w:t>
      </w:r>
      <w:r w:rsidR="00F71E7A" w:rsidRPr="00392A04">
        <w:rPr>
          <w:color w:val="4472C4" w:themeColor="accent1"/>
        </w:rPr>
        <w:t>t=-30.</w:t>
      </w:r>
      <w:r w:rsidR="00913B02" w:rsidRPr="00392A04">
        <w:rPr>
          <w:color w:val="4472C4" w:themeColor="accent1"/>
        </w:rPr>
        <w:t>29</w:t>
      </w:r>
      <w:r w:rsidR="4472D71E" w:rsidRPr="00392A04">
        <w:rPr>
          <w:color w:val="4472C4" w:themeColor="accent1"/>
        </w:rPr>
        <w:t xml:space="preserve">, </w:t>
      </w:r>
      <w:r w:rsidR="5C292D8A" w:rsidRPr="00392A04">
        <w:rPr>
          <w:color w:val="4472C4" w:themeColor="accent1"/>
        </w:rPr>
        <w:t>p</w:t>
      </w:r>
      <w:r w:rsidR="00F71E7A" w:rsidRPr="00392A04">
        <w:rPr>
          <w:color w:val="4472C4" w:themeColor="accent1"/>
        </w:rPr>
        <w:t>=6.3</w:t>
      </w:r>
      <w:r w:rsidR="00913B02" w:rsidRPr="00392A04">
        <w:rPr>
          <w:color w:val="4472C4" w:themeColor="accent1"/>
        </w:rPr>
        <w:t>3</w:t>
      </w:r>
      <w:r w:rsidR="00F71E7A" w:rsidRPr="00392A04">
        <w:rPr>
          <w:color w:val="4472C4" w:themeColor="accent1"/>
        </w:rPr>
        <w:t>x10</w:t>
      </w:r>
      <w:r w:rsidR="00F71E7A" w:rsidRPr="00392A04">
        <w:rPr>
          <w:color w:val="4472C4" w:themeColor="accent1"/>
          <w:vertAlign w:val="superscript"/>
        </w:rPr>
        <w:t>-51</w:t>
      </w:r>
      <w:r w:rsidR="5C292D8A" w:rsidRPr="00392A04">
        <w:rPr>
          <w:color w:val="4472C4" w:themeColor="accent1"/>
        </w:rPr>
        <w:t>)</w:t>
      </w:r>
      <w:r w:rsidR="00B1089C">
        <w:t xml:space="preserve">. </w:t>
      </w:r>
      <w:r w:rsidR="00680F93" w:rsidRPr="00392A04">
        <w:rPr>
          <w:color w:val="4472C4" w:themeColor="accent1"/>
        </w:rPr>
        <w:t xml:space="preserve">Using a 7-day moving average, ED visits decreased by </w:t>
      </w:r>
      <w:r w:rsidR="006E0143" w:rsidRPr="00392A04">
        <w:rPr>
          <w:color w:val="4472C4" w:themeColor="accent1"/>
        </w:rPr>
        <w:t xml:space="preserve">49% </w:t>
      </w:r>
      <w:r w:rsidR="00680F93" w:rsidRPr="00392A04">
        <w:rPr>
          <w:color w:val="4472C4" w:themeColor="accent1"/>
        </w:rPr>
        <w:t>from March 9 to April 4, 2020</w:t>
      </w:r>
      <w:r w:rsidR="00680F93">
        <w:t>.</w:t>
      </w:r>
    </w:p>
    <w:p w14:paraId="58F7442B" w14:textId="703C27C1" w:rsidR="00F71E7A" w:rsidRDefault="009E26FF" w:rsidP="00941B6C">
      <w:pPr>
        <w:spacing w:line="276" w:lineRule="auto"/>
      </w:pPr>
      <w:r>
        <w:t xml:space="preserve">Figure 2 shows the trend in mental health </w:t>
      </w:r>
      <w:r w:rsidRPr="005F08C8">
        <w:t>diagnoses</w:t>
      </w:r>
      <w:r>
        <w:t xml:space="preserve"> in the Emergency Department over the same period</w:t>
      </w:r>
      <w:r w:rsidR="00B1089C">
        <w:t xml:space="preserve"> and mirrors the</w:t>
      </w:r>
      <w:r w:rsidR="00A5506A">
        <w:t xml:space="preserve"> overall</w:t>
      </w:r>
      <w:r w:rsidR="00B1089C">
        <w:t xml:space="preserve"> trend for ED visits.</w:t>
      </w:r>
      <w:r>
        <w:t xml:space="preserve"> </w:t>
      </w:r>
      <w:r w:rsidR="00B1089C">
        <w:t xml:space="preserve">The volume of </w:t>
      </w:r>
      <w:r w:rsidR="54E757FE">
        <w:t xml:space="preserve">each of the </w:t>
      </w:r>
      <w:r w:rsidR="00B1089C">
        <w:t xml:space="preserve">mental health </w:t>
      </w:r>
      <w:proofErr w:type="gramStart"/>
      <w:r w:rsidR="00B1089C" w:rsidRPr="00913B02">
        <w:t>diagnoses</w:t>
      </w:r>
      <w:r w:rsidR="2F666A59" w:rsidRPr="00913B02">
        <w:t xml:space="preserve"> </w:t>
      </w:r>
      <w:r w:rsidR="00B1089C">
        <w:t xml:space="preserve"> were</w:t>
      </w:r>
      <w:proofErr w:type="gramEnd"/>
      <w:r w:rsidR="00B1089C">
        <w:t xml:space="preserve"> reduced </w:t>
      </w:r>
      <w:r w:rsidR="00FE35D9">
        <w:t xml:space="preserve">during the lockdown period </w:t>
      </w:r>
      <w:r w:rsidR="7E69425B">
        <w:t>compared to the year before</w:t>
      </w:r>
      <w:r w:rsidR="00392A04">
        <w:t xml:space="preserve">, however, only substance related, mood related, situational crisis, and self-harm related admissions were significantly reduced. Psychosis related admissions were not significantly </w:t>
      </w:r>
      <w:proofErr w:type="gramStart"/>
      <w:r w:rsidR="00392A04">
        <w:t>reduced</w:t>
      </w:r>
      <w:proofErr w:type="gramEnd"/>
      <w:r w:rsidR="00392A04">
        <w:t xml:space="preserve"> and alcohol related admissions were reduced at a level that approached significance </w:t>
      </w:r>
      <w:r w:rsidR="00B1089C" w:rsidRPr="00392A04">
        <w:rPr>
          <w:color w:val="4472C4" w:themeColor="accent1"/>
        </w:rPr>
        <w:t>(</w:t>
      </w:r>
      <w:r w:rsidR="00913B02" w:rsidRPr="00392A04">
        <w:rPr>
          <w:color w:val="4472C4" w:themeColor="accent1"/>
        </w:rPr>
        <w:t>see chart)</w:t>
      </w:r>
      <w:r w:rsidR="00913B02">
        <w:t>.</w:t>
      </w:r>
      <w:r w:rsidR="764DAA40">
        <w:t xml:space="preserve"> </w:t>
      </w:r>
    </w:p>
    <w:tbl>
      <w:tblPr>
        <w:tblW w:w="9269" w:type="dxa"/>
        <w:tblLook w:val="04A0" w:firstRow="1" w:lastRow="0" w:firstColumn="1" w:lastColumn="0" w:noHBand="0" w:noVBand="1"/>
      </w:tblPr>
      <w:tblGrid>
        <w:gridCol w:w="2515"/>
        <w:gridCol w:w="1621"/>
        <w:gridCol w:w="1711"/>
        <w:gridCol w:w="1711"/>
        <w:gridCol w:w="1711"/>
      </w:tblGrid>
      <w:tr w:rsidR="00392A04" w:rsidRPr="00392A04" w14:paraId="7D463273" w14:textId="77777777" w:rsidTr="00392A04">
        <w:trPr>
          <w:trHeight w:val="425"/>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3FBD5" w14:textId="77777777" w:rsidR="00392A04" w:rsidRPr="00392A04" w:rsidRDefault="00392A04" w:rsidP="00392A04">
            <w:pPr>
              <w:spacing w:after="0" w:line="240" w:lineRule="auto"/>
              <w:rPr>
                <w:rFonts w:ascii="Calibri" w:eastAsia="Times New Roman" w:hAnsi="Calibri" w:cs="Calibri"/>
                <w:b/>
                <w:bCs/>
                <w:color w:val="000000"/>
                <w:sz w:val="24"/>
                <w:szCs w:val="24"/>
                <w:lang w:val="en-US"/>
              </w:rPr>
            </w:pPr>
            <w:r w:rsidRPr="00392A04">
              <w:rPr>
                <w:rFonts w:ascii="Calibri" w:eastAsia="Times New Roman" w:hAnsi="Calibri" w:cs="Calibri"/>
                <w:b/>
                <w:bCs/>
                <w:color w:val="000000"/>
                <w:sz w:val="24"/>
                <w:szCs w:val="24"/>
                <w:lang w:val="en-US"/>
              </w:rPr>
              <w:t>type</w:t>
            </w:r>
          </w:p>
        </w:tc>
        <w:tc>
          <w:tcPr>
            <w:tcW w:w="1621" w:type="dxa"/>
            <w:tcBorders>
              <w:top w:val="single" w:sz="4" w:space="0" w:color="auto"/>
              <w:left w:val="nil"/>
              <w:bottom w:val="single" w:sz="4" w:space="0" w:color="auto"/>
              <w:right w:val="single" w:sz="4" w:space="0" w:color="auto"/>
            </w:tcBorders>
            <w:shd w:val="clear" w:color="auto" w:fill="auto"/>
            <w:noWrap/>
            <w:vAlign w:val="bottom"/>
            <w:hideMark/>
          </w:tcPr>
          <w:p w14:paraId="53A0CFE0" w14:textId="77777777" w:rsidR="00392A04" w:rsidRPr="00392A04" w:rsidRDefault="00392A04" w:rsidP="00392A04">
            <w:pPr>
              <w:spacing w:after="0" w:line="240" w:lineRule="auto"/>
              <w:rPr>
                <w:rFonts w:ascii="Calibri" w:eastAsia="Times New Roman" w:hAnsi="Calibri" w:cs="Calibri"/>
                <w:b/>
                <w:bCs/>
                <w:color w:val="000000"/>
                <w:sz w:val="24"/>
                <w:szCs w:val="24"/>
                <w:lang w:val="en-US"/>
              </w:rPr>
            </w:pPr>
            <w:proofErr w:type="spellStart"/>
            <w:r w:rsidRPr="00392A04">
              <w:rPr>
                <w:rFonts w:ascii="Calibri" w:eastAsia="Times New Roman" w:hAnsi="Calibri" w:cs="Calibri"/>
                <w:b/>
                <w:bCs/>
                <w:color w:val="000000"/>
                <w:sz w:val="24"/>
                <w:szCs w:val="24"/>
                <w:lang w:val="en-US"/>
              </w:rPr>
              <w:t>z.value</w:t>
            </w:r>
            <w:proofErr w:type="spellEnd"/>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5B53B8BD" w14:textId="77777777" w:rsidR="00392A04" w:rsidRPr="00392A04" w:rsidRDefault="00392A04" w:rsidP="00392A04">
            <w:pPr>
              <w:spacing w:after="0" w:line="240" w:lineRule="auto"/>
              <w:rPr>
                <w:rFonts w:ascii="Calibri" w:eastAsia="Times New Roman" w:hAnsi="Calibri" w:cs="Calibri"/>
                <w:b/>
                <w:bCs/>
                <w:color w:val="000000"/>
                <w:sz w:val="24"/>
                <w:szCs w:val="24"/>
                <w:lang w:val="en-US"/>
              </w:rPr>
            </w:pPr>
            <w:r w:rsidRPr="00392A04">
              <w:rPr>
                <w:rFonts w:ascii="Calibri" w:eastAsia="Times New Roman" w:hAnsi="Calibri" w:cs="Calibri"/>
                <w:b/>
                <w:bCs/>
                <w:color w:val="000000"/>
                <w:sz w:val="24"/>
                <w:szCs w:val="24"/>
                <w:lang w:val="en-US"/>
              </w:rPr>
              <w:t>p-</w:t>
            </w:r>
            <w:proofErr w:type="spellStart"/>
            <w:r w:rsidRPr="00392A04">
              <w:rPr>
                <w:rFonts w:ascii="Calibri" w:eastAsia="Times New Roman" w:hAnsi="Calibri" w:cs="Calibri"/>
                <w:b/>
                <w:bCs/>
                <w:color w:val="000000"/>
                <w:sz w:val="24"/>
                <w:szCs w:val="24"/>
                <w:lang w:val="en-US"/>
              </w:rPr>
              <w:t>val</w:t>
            </w:r>
            <w:proofErr w:type="spellEnd"/>
            <w:r w:rsidRPr="00392A04">
              <w:rPr>
                <w:rFonts w:ascii="Calibri" w:eastAsia="Times New Roman" w:hAnsi="Calibri" w:cs="Calibri"/>
                <w:b/>
                <w:bCs/>
                <w:color w:val="000000"/>
                <w:sz w:val="24"/>
                <w:szCs w:val="24"/>
                <w:lang w:val="en-US"/>
              </w:rPr>
              <w:t>(z)</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35E307DF" w14:textId="77777777" w:rsidR="00392A04" w:rsidRPr="00392A04" w:rsidRDefault="00392A04" w:rsidP="00392A04">
            <w:pPr>
              <w:spacing w:after="0" w:line="240" w:lineRule="auto"/>
              <w:rPr>
                <w:rFonts w:ascii="Calibri" w:eastAsia="Times New Roman" w:hAnsi="Calibri" w:cs="Calibri"/>
                <w:b/>
                <w:bCs/>
                <w:color w:val="000000"/>
                <w:sz w:val="24"/>
                <w:szCs w:val="24"/>
                <w:lang w:val="en-US"/>
              </w:rPr>
            </w:pPr>
            <w:proofErr w:type="spellStart"/>
            <w:r w:rsidRPr="00392A04">
              <w:rPr>
                <w:rFonts w:ascii="Calibri" w:eastAsia="Times New Roman" w:hAnsi="Calibri" w:cs="Calibri"/>
                <w:b/>
                <w:bCs/>
                <w:color w:val="000000"/>
                <w:sz w:val="24"/>
                <w:szCs w:val="24"/>
                <w:lang w:val="en-US"/>
              </w:rPr>
              <w:t>t.value</w:t>
            </w:r>
            <w:proofErr w:type="spellEnd"/>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61B1CE5A" w14:textId="77777777" w:rsidR="00392A04" w:rsidRPr="00392A04" w:rsidRDefault="00392A04" w:rsidP="00392A04">
            <w:pPr>
              <w:spacing w:after="0" w:line="240" w:lineRule="auto"/>
              <w:rPr>
                <w:rFonts w:ascii="Calibri" w:eastAsia="Times New Roman" w:hAnsi="Calibri" w:cs="Calibri"/>
                <w:b/>
                <w:bCs/>
                <w:color w:val="000000"/>
                <w:sz w:val="24"/>
                <w:szCs w:val="24"/>
                <w:lang w:val="en-US"/>
              </w:rPr>
            </w:pPr>
            <w:r w:rsidRPr="00392A04">
              <w:rPr>
                <w:rFonts w:ascii="Calibri" w:eastAsia="Times New Roman" w:hAnsi="Calibri" w:cs="Calibri"/>
                <w:b/>
                <w:bCs/>
                <w:color w:val="000000"/>
                <w:sz w:val="24"/>
                <w:szCs w:val="24"/>
                <w:lang w:val="en-US"/>
              </w:rPr>
              <w:t>p-</w:t>
            </w:r>
            <w:proofErr w:type="spellStart"/>
            <w:r w:rsidRPr="00392A04">
              <w:rPr>
                <w:rFonts w:ascii="Calibri" w:eastAsia="Times New Roman" w:hAnsi="Calibri" w:cs="Calibri"/>
                <w:b/>
                <w:bCs/>
                <w:color w:val="000000"/>
                <w:sz w:val="24"/>
                <w:szCs w:val="24"/>
                <w:lang w:val="en-US"/>
              </w:rPr>
              <w:t>val</w:t>
            </w:r>
            <w:proofErr w:type="spellEnd"/>
            <w:r w:rsidRPr="00392A04">
              <w:rPr>
                <w:rFonts w:ascii="Calibri" w:eastAsia="Times New Roman" w:hAnsi="Calibri" w:cs="Calibri"/>
                <w:b/>
                <w:bCs/>
                <w:color w:val="000000"/>
                <w:sz w:val="24"/>
                <w:szCs w:val="24"/>
                <w:lang w:val="en-US"/>
              </w:rPr>
              <w:t>(t)</w:t>
            </w:r>
          </w:p>
        </w:tc>
      </w:tr>
      <w:tr w:rsidR="00392A04" w:rsidRPr="00392A04" w14:paraId="550F5116"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02CBB79"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Substance related</w:t>
            </w:r>
          </w:p>
        </w:tc>
        <w:tc>
          <w:tcPr>
            <w:tcW w:w="1621" w:type="dxa"/>
            <w:tcBorders>
              <w:top w:val="nil"/>
              <w:left w:val="nil"/>
              <w:bottom w:val="single" w:sz="4" w:space="0" w:color="auto"/>
              <w:right w:val="single" w:sz="4" w:space="0" w:color="auto"/>
            </w:tcBorders>
            <w:shd w:val="clear" w:color="auto" w:fill="auto"/>
            <w:noWrap/>
            <w:vAlign w:val="bottom"/>
            <w:hideMark/>
          </w:tcPr>
          <w:p w14:paraId="7F2108C4"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315A3221"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6C41D741"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-3.0921751</w:t>
            </w:r>
          </w:p>
        </w:tc>
        <w:tc>
          <w:tcPr>
            <w:tcW w:w="1711" w:type="dxa"/>
            <w:tcBorders>
              <w:top w:val="nil"/>
              <w:left w:val="nil"/>
              <w:bottom w:val="single" w:sz="4" w:space="0" w:color="auto"/>
              <w:right w:val="single" w:sz="4" w:space="0" w:color="auto"/>
            </w:tcBorders>
            <w:shd w:val="clear" w:color="auto" w:fill="auto"/>
            <w:noWrap/>
            <w:vAlign w:val="bottom"/>
            <w:hideMark/>
          </w:tcPr>
          <w:p w14:paraId="34EBCC74"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0.00932457</w:t>
            </w:r>
          </w:p>
        </w:tc>
      </w:tr>
      <w:tr w:rsidR="00392A04" w:rsidRPr="00392A04" w14:paraId="6FC0818B"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7A695C1"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Alcohol related</w:t>
            </w:r>
          </w:p>
        </w:tc>
        <w:tc>
          <w:tcPr>
            <w:tcW w:w="1621" w:type="dxa"/>
            <w:tcBorders>
              <w:top w:val="nil"/>
              <w:left w:val="nil"/>
              <w:bottom w:val="single" w:sz="4" w:space="0" w:color="auto"/>
              <w:right w:val="single" w:sz="4" w:space="0" w:color="auto"/>
            </w:tcBorders>
            <w:shd w:val="clear" w:color="auto" w:fill="auto"/>
            <w:noWrap/>
            <w:vAlign w:val="bottom"/>
            <w:hideMark/>
          </w:tcPr>
          <w:p w14:paraId="5CCBE201"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14AA38DA"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6153B9AB"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-2.0624115</w:t>
            </w:r>
          </w:p>
        </w:tc>
        <w:tc>
          <w:tcPr>
            <w:tcW w:w="1711" w:type="dxa"/>
            <w:tcBorders>
              <w:top w:val="nil"/>
              <w:left w:val="nil"/>
              <w:bottom w:val="single" w:sz="4" w:space="0" w:color="auto"/>
              <w:right w:val="single" w:sz="4" w:space="0" w:color="auto"/>
            </w:tcBorders>
            <w:shd w:val="clear" w:color="auto" w:fill="auto"/>
            <w:noWrap/>
            <w:vAlign w:val="bottom"/>
            <w:hideMark/>
          </w:tcPr>
          <w:p w14:paraId="6406B0FB"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0.06150809</w:t>
            </w:r>
          </w:p>
        </w:tc>
      </w:tr>
      <w:tr w:rsidR="00392A04" w:rsidRPr="00392A04" w14:paraId="6A21AE82"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736B512"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Mood related</w:t>
            </w:r>
          </w:p>
        </w:tc>
        <w:tc>
          <w:tcPr>
            <w:tcW w:w="1621" w:type="dxa"/>
            <w:tcBorders>
              <w:top w:val="nil"/>
              <w:left w:val="nil"/>
              <w:bottom w:val="single" w:sz="4" w:space="0" w:color="auto"/>
              <w:right w:val="single" w:sz="4" w:space="0" w:color="auto"/>
            </w:tcBorders>
            <w:shd w:val="clear" w:color="auto" w:fill="auto"/>
            <w:noWrap/>
            <w:vAlign w:val="bottom"/>
            <w:hideMark/>
          </w:tcPr>
          <w:p w14:paraId="18CD4BE2"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16E4D680"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6405A538"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-8.8448687</w:t>
            </w:r>
          </w:p>
        </w:tc>
        <w:tc>
          <w:tcPr>
            <w:tcW w:w="1711" w:type="dxa"/>
            <w:tcBorders>
              <w:top w:val="nil"/>
              <w:left w:val="nil"/>
              <w:bottom w:val="single" w:sz="4" w:space="0" w:color="auto"/>
              <w:right w:val="single" w:sz="4" w:space="0" w:color="auto"/>
            </w:tcBorders>
            <w:shd w:val="clear" w:color="auto" w:fill="auto"/>
            <w:noWrap/>
            <w:vAlign w:val="bottom"/>
            <w:hideMark/>
          </w:tcPr>
          <w:p w14:paraId="47A04270"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1.33E-06</w:t>
            </w:r>
          </w:p>
        </w:tc>
      </w:tr>
      <w:tr w:rsidR="00392A04" w:rsidRPr="00392A04" w14:paraId="21E026A7"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3099AE"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Psychosis related</w:t>
            </w:r>
          </w:p>
        </w:tc>
        <w:tc>
          <w:tcPr>
            <w:tcW w:w="1621" w:type="dxa"/>
            <w:tcBorders>
              <w:top w:val="nil"/>
              <w:left w:val="nil"/>
              <w:bottom w:val="single" w:sz="4" w:space="0" w:color="auto"/>
              <w:right w:val="single" w:sz="4" w:space="0" w:color="auto"/>
            </w:tcBorders>
            <w:shd w:val="clear" w:color="auto" w:fill="auto"/>
            <w:noWrap/>
            <w:vAlign w:val="bottom"/>
            <w:hideMark/>
          </w:tcPr>
          <w:p w14:paraId="488463A1"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19EEF2E7"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7EE95278"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1.12540121</w:t>
            </w:r>
          </w:p>
        </w:tc>
        <w:tc>
          <w:tcPr>
            <w:tcW w:w="1711" w:type="dxa"/>
            <w:tcBorders>
              <w:top w:val="nil"/>
              <w:left w:val="nil"/>
              <w:bottom w:val="single" w:sz="4" w:space="0" w:color="auto"/>
              <w:right w:val="single" w:sz="4" w:space="0" w:color="auto"/>
            </w:tcBorders>
            <w:shd w:val="clear" w:color="auto" w:fill="auto"/>
            <w:noWrap/>
            <w:vAlign w:val="bottom"/>
            <w:hideMark/>
          </w:tcPr>
          <w:p w14:paraId="580DBB88"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0.28242464</w:t>
            </w:r>
          </w:p>
        </w:tc>
      </w:tr>
      <w:tr w:rsidR="00392A04" w:rsidRPr="00392A04" w14:paraId="31991D33"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F378AC4"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Situational crisis</w:t>
            </w:r>
          </w:p>
        </w:tc>
        <w:tc>
          <w:tcPr>
            <w:tcW w:w="1621" w:type="dxa"/>
            <w:tcBorders>
              <w:top w:val="nil"/>
              <w:left w:val="nil"/>
              <w:bottom w:val="single" w:sz="4" w:space="0" w:color="auto"/>
              <w:right w:val="single" w:sz="4" w:space="0" w:color="auto"/>
            </w:tcBorders>
            <w:shd w:val="clear" w:color="auto" w:fill="auto"/>
            <w:noWrap/>
            <w:vAlign w:val="bottom"/>
            <w:hideMark/>
          </w:tcPr>
          <w:p w14:paraId="00D36097"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-6.6184884</w:t>
            </w:r>
          </w:p>
        </w:tc>
        <w:tc>
          <w:tcPr>
            <w:tcW w:w="1711" w:type="dxa"/>
            <w:tcBorders>
              <w:top w:val="nil"/>
              <w:left w:val="nil"/>
              <w:bottom w:val="single" w:sz="4" w:space="0" w:color="auto"/>
              <w:right w:val="single" w:sz="4" w:space="0" w:color="auto"/>
            </w:tcBorders>
            <w:shd w:val="clear" w:color="auto" w:fill="auto"/>
            <w:noWrap/>
            <w:vAlign w:val="bottom"/>
            <w:hideMark/>
          </w:tcPr>
          <w:p w14:paraId="482D3D19"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3.63E-11</w:t>
            </w:r>
          </w:p>
        </w:tc>
        <w:tc>
          <w:tcPr>
            <w:tcW w:w="1711" w:type="dxa"/>
            <w:tcBorders>
              <w:top w:val="nil"/>
              <w:left w:val="nil"/>
              <w:bottom w:val="single" w:sz="4" w:space="0" w:color="auto"/>
              <w:right w:val="single" w:sz="4" w:space="0" w:color="auto"/>
            </w:tcBorders>
            <w:shd w:val="clear" w:color="auto" w:fill="auto"/>
            <w:noWrap/>
            <w:vAlign w:val="bottom"/>
            <w:hideMark/>
          </w:tcPr>
          <w:p w14:paraId="0A8DC36D"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7B8ED548"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r>
      <w:tr w:rsidR="00392A04" w:rsidRPr="00392A04" w14:paraId="0049ACDB" w14:textId="77777777" w:rsidTr="00392A04">
        <w:trPr>
          <w:trHeight w:val="42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01F2AF" w14:textId="77777777" w:rsidR="00392A04" w:rsidRPr="00392A04" w:rsidRDefault="00392A04" w:rsidP="00392A04">
            <w:pPr>
              <w:spacing w:after="0" w:line="240" w:lineRule="auto"/>
              <w:rPr>
                <w:rFonts w:ascii="Calibri" w:eastAsia="Times New Roman" w:hAnsi="Calibri" w:cs="Calibri"/>
                <w:color w:val="000000"/>
                <w:sz w:val="24"/>
                <w:szCs w:val="24"/>
                <w:lang w:val="en-US"/>
              </w:rPr>
            </w:pPr>
            <w:proofErr w:type="spellStart"/>
            <w:r w:rsidRPr="00392A04">
              <w:rPr>
                <w:rFonts w:ascii="Calibri" w:eastAsia="Times New Roman" w:hAnsi="Calibri" w:cs="Calibri"/>
                <w:color w:val="000000"/>
                <w:sz w:val="24"/>
                <w:szCs w:val="24"/>
                <w:lang w:val="en-US"/>
              </w:rPr>
              <w:t>Self harm</w:t>
            </w:r>
            <w:proofErr w:type="spellEnd"/>
            <w:r w:rsidRPr="00392A04">
              <w:rPr>
                <w:rFonts w:ascii="Calibri" w:eastAsia="Times New Roman" w:hAnsi="Calibri" w:cs="Calibri"/>
                <w:color w:val="000000"/>
                <w:sz w:val="24"/>
                <w:szCs w:val="24"/>
                <w:lang w:val="en-US"/>
              </w:rPr>
              <w:t xml:space="preserve"> related</w:t>
            </w:r>
          </w:p>
        </w:tc>
        <w:tc>
          <w:tcPr>
            <w:tcW w:w="1621" w:type="dxa"/>
            <w:tcBorders>
              <w:top w:val="nil"/>
              <w:left w:val="nil"/>
              <w:bottom w:val="single" w:sz="4" w:space="0" w:color="auto"/>
              <w:right w:val="single" w:sz="4" w:space="0" w:color="auto"/>
            </w:tcBorders>
            <w:shd w:val="clear" w:color="auto" w:fill="auto"/>
            <w:noWrap/>
            <w:vAlign w:val="bottom"/>
            <w:hideMark/>
          </w:tcPr>
          <w:p w14:paraId="17C81684"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-2.3105893</w:t>
            </w:r>
          </w:p>
        </w:tc>
        <w:tc>
          <w:tcPr>
            <w:tcW w:w="1711" w:type="dxa"/>
            <w:tcBorders>
              <w:top w:val="nil"/>
              <w:left w:val="nil"/>
              <w:bottom w:val="single" w:sz="4" w:space="0" w:color="auto"/>
              <w:right w:val="single" w:sz="4" w:space="0" w:color="auto"/>
            </w:tcBorders>
            <w:shd w:val="clear" w:color="auto" w:fill="auto"/>
            <w:noWrap/>
            <w:vAlign w:val="bottom"/>
            <w:hideMark/>
          </w:tcPr>
          <w:p w14:paraId="721491DA" w14:textId="77777777" w:rsidR="00392A04" w:rsidRPr="00392A04" w:rsidRDefault="00392A04" w:rsidP="00392A04">
            <w:pPr>
              <w:spacing w:after="0" w:line="240" w:lineRule="auto"/>
              <w:jc w:val="right"/>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0.02085555</w:t>
            </w:r>
          </w:p>
        </w:tc>
        <w:tc>
          <w:tcPr>
            <w:tcW w:w="1711" w:type="dxa"/>
            <w:tcBorders>
              <w:top w:val="nil"/>
              <w:left w:val="nil"/>
              <w:bottom w:val="single" w:sz="4" w:space="0" w:color="auto"/>
              <w:right w:val="single" w:sz="4" w:space="0" w:color="auto"/>
            </w:tcBorders>
            <w:shd w:val="clear" w:color="auto" w:fill="auto"/>
            <w:noWrap/>
            <w:vAlign w:val="bottom"/>
            <w:hideMark/>
          </w:tcPr>
          <w:p w14:paraId="1A2C587A"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c>
          <w:tcPr>
            <w:tcW w:w="1711" w:type="dxa"/>
            <w:tcBorders>
              <w:top w:val="nil"/>
              <w:left w:val="nil"/>
              <w:bottom w:val="single" w:sz="4" w:space="0" w:color="auto"/>
              <w:right w:val="single" w:sz="4" w:space="0" w:color="auto"/>
            </w:tcBorders>
            <w:shd w:val="clear" w:color="auto" w:fill="auto"/>
            <w:noWrap/>
            <w:vAlign w:val="bottom"/>
            <w:hideMark/>
          </w:tcPr>
          <w:p w14:paraId="324AF299" w14:textId="77777777" w:rsidR="00392A04" w:rsidRPr="00392A04" w:rsidRDefault="00392A04" w:rsidP="00392A04">
            <w:pPr>
              <w:spacing w:after="0" w:line="240" w:lineRule="auto"/>
              <w:rPr>
                <w:rFonts w:ascii="Calibri" w:eastAsia="Times New Roman" w:hAnsi="Calibri" w:cs="Calibri"/>
                <w:color w:val="000000"/>
                <w:sz w:val="24"/>
                <w:szCs w:val="24"/>
                <w:lang w:val="en-US"/>
              </w:rPr>
            </w:pPr>
            <w:r w:rsidRPr="00392A04">
              <w:rPr>
                <w:rFonts w:ascii="Calibri" w:eastAsia="Times New Roman" w:hAnsi="Calibri" w:cs="Calibri"/>
                <w:color w:val="000000"/>
                <w:sz w:val="24"/>
                <w:szCs w:val="24"/>
                <w:lang w:val="en-US"/>
              </w:rPr>
              <w:t>NA</w:t>
            </w:r>
          </w:p>
        </w:tc>
      </w:tr>
    </w:tbl>
    <w:p w14:paraId="75021C5A" w14:textId="77777777" w:rsidR="00F71E7A" w:rsidRDefault="00F71E7A" w:rsidP="00941B6C">
      <w:pPr>
        <w:spacing w:line="276" w:lineRule="auto"/>
      </w:pPr>
    </w:p>
    <w:p w14:paraId="2309C9A3" w14:textId="7A622818" w:rsidR="009E26FF" w:rsidRDefault="00A5506A" w:rsidP="00941B6C">
      <w:pPr>
        <w:spacing w:line="276" w:lineRule="auto"/>
      </w:pPr>
      <w:r>
        <w:lastRenderedPageBreak/>
        <w:t>T</w:t>
      </w:r>
      <w:r w:rsidR="00B1089C">
        <w:t xml:space="preserve">he number of involuntary admissions (application of Form 1) </w:t>
      </w:r>
      <w:r>
        <w:t xml:space="preserve">were </w:t>
      </w:r>
      <w:r w:rsidR="6AA9DDFD">
        <w:t xml:space="preserve">also </w:t>
      </w:r>
      <w:r w:rsidR="00392A04">
        <w:t xml:space="preserve">significantly </w:t>
      </w:r>
      <w:r>
        <w:t>lower during lockdown</w:t>
      </w:r>
      <w:r w:rsidR="4CF9A705">
        <w:t xml:space="preserve"> compared to</w:t>
      </w:r>
      <w:r w:rsidR="5CD67E16">
        <w:t xml:space="preserve"> a year earlier</w:t>
      </w:r>
      <w:r w:rsidR="4CF9A705">
        <w:t xml:space="preserve"> </w:t>
      </w:r>
      <w:r w:rsidR="4CF9A705" w:rsidRPr="00392A04">
        <w:rPr>
          <w:color w:val="4472C4" w:themeColor="accent1"/>
        </w:rPr>
        <w:t>(</w:t>
      </w:r>
      <w:r w:rsidR="00913B02" w:rsidRPr="00392A04">
        <w:rPr>
          <w:color w:val="4472C4" w:themeColor="accent1"/>
        </w:rPr>
        <w:t>z=-</w:t>
      </w:r>
      <w:r w:rsidR="00392A04">
        <w:rPr>
          <w:color w:val="4472C4" w:themeColor="accent1"/>
        </w:rPr>
        <w:t>10.59</w:t>
      </w:r>
      <w:r w:rsidR="00913B02" w:rsidRPr="00392A04">
        <w:rPr>
          <w:color w:val="4472C4" w:themeColor="accent1"/>
        </w:rPr>
        <w:t>, p=3.</w:t>
      </w:r>
      <w:r w:rsidR="00392A04">
        <w:rPr>
          <w:color w:val="4472C4" w:themeColor="accent1"/>
        </w:rPr>
        <w:t>28</w:t>
      </w:r>
      <w:r w:rsidR="00913B02" w:rsidRPr="00392A04">
        <w:rPr>
          <w:color w:val="4472C4" w:themeColor="accent1"/>
        </w:rPr>
        <w:t>x10</w:t>
      </w:r>
      <w:r w:rsidR="00913B02" w:rsidRPr="00392A04">
        <w:rPr>
          <w:color w:val="4472C4" w:themeColor="accent1"/>
          <w:vertAlign w:val="superscript"/>
        </w:rPr>
        <w:t>-</w:t>
      </w:r>
      <w:r w:rsidR="00392A04">
        <w:rPr>
          <w:color w:val="4472C4" w:themeColor="accent1"/>
          <w:vertAlign w:val="superscript"/>
        </w:rPr>
        <w:t>26</w:t>
      </w:r>
      <w:r w:rsidR="4CF9A705" w:rsidRPr="00392A04">
        <w:rPr>
          <w:color w:val="4472C4" w:themeColor="accent1"/>
        </w:rPr>
        <w:t>)</w:t>
      </w:r>
      <w:r>
        <w:t>.</w:t>
      </w:r>
    </w:p>
    <w:p w14:paraId="0183E645" w14:textId="47B24EA4" w:rsidR="00A5506A" w:rsidRDefault="009E26FF" w:rsidP="00941B6C">
      <w:pPr>
        <w:spacing w:line="276" w:lineRule="auto"/>
      </w:pPr>
      <w:r>
        <w:t>Figure 3 shows the trend in police responses over the same period</w:t>
      </w:r>
      <w:r w:rsidR="00CB2ED4">
        <w:t>, and</w:t>
      </w:r>
      <w:r>
        <w:t xml:space="preserve"> the trend in calls to the crisis line. </w:t>
      </w:r>
      <w:r w:rsidR="00A5506A">
        <w:t>Suicide attempts</w:t>
      </w:r>
      <w:r w:rsidR="00C82A0D">
        <w:t xml:space="preserve"> </w:t>
      </w:r>
      <w:r w:rsidR="00A5506A">
        <w:t xml:space="preserve">were </w:t>
      </w:r>
      <w:r w:rsidR="00C82A0D">
        <w:t>significantly</w:t>
      </w:r>
      <w:r w:rsidR="00A5506A">
        <w:t xml:space="preserve"> decreased during the period of lockdown</w:t>
      </w:r>
      <w:r w:rsidR="57D950B2">
        <w:t xml:space="preserve"> compared to a year before</w:t>
      </w:r>
      <w:r w:rsidR="00913B02">
        <w:t xml:space="preserve">. </w:t>
      </w:r>
      <w:r w:rsidR="00C82A0D">
        <w:t>A</w:t>
      </w:r>
      <w:r w:rsidR="00C82A0D">
        <w:t>lcohol, assault</w:t>
      </w:r>
      <w:r w:rsidR="00C82A0D">
        <w:t xml:space="preserve">, and domestic disputes were not significantly different </w:t>
      </w:r>
      <w:r w:rsidR="00C82A0D">
        <w:t>during the period of lockdown compared to a year before</w:t>
      </w:r>
      <w:r w:rsidR="00A7769E">
        <w:t xml:space="preserve"> </w:t>
      </w:r>
      <w:r w:rsidR="00A7769E">
        <w:rPr>
          <w:color w:val="4472C4" w:themeColor="accent1"/>
        </w:rPr>
        <w:t>(</w:t>
      </w:r>
      <w:r w:rsidR="00A7769E" w:rsidRPr="00A7769E">
        <w:rPr>
          <w:color w:val="4472C4" w:themeColor="accent1"/>
        </w:rPr>
        <w:t>see chart)</w:t>
      </w:r>
      <w:r w:rsidR="00C82A0D" w:rsidRPr="00A7769E">
        <w:rPr>
          <w:color w:val="4472C4" w:themeColor="accent1"/>
        </w:rPr>
        <w:t>.</w:t>
      </w:r>
    </w:p>
    <w:tbl>
      <w:tblPr>
        <w:tblW w:w="9000" w:type="dxa"/>
        <w:tblLook w:val="04A0" w:firstRow="1" w:lastRow="0" w:firstColumn="1" w:lastColumn="0" w:noHBand="0" w:noVBand="1"/>
      </w:tblPr>
      <w:tblGrid>
        <w:gridCol w:w="2308"/>
        <w:gridCol w:w="1628"/>
        <w:gridCol w:w="1628"/>
        <w:gridCol w:w="1718"/>
        <w:gridCol w:w="1718"/>
      </w:tblGrid>
      <w:tr w:rsidR="00A7769E" w:rsidRPr="00A7769E" w14:paraId="4CB94EA0" w14:textId="77777777" w:rsidTr="00A7769E">
        <w:trPr>
          <w:trHeight w:val="428"/>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67A3" w14:textId="77777777" w:rsidR="00A7769E" w:rsidRPr="00A7769E" w:rsidRDefault="00A7769E" w:rsidP="00A7769E">
            <w:pPr>
              <w:spacing w:after="0" w:line="240" w:lineRule="auto"/>
              <w:rPr>
                <w:rFonts w:ascii="Calibri" w:eastAsia="Times New Roman" w:hAnsi="Calibri" w:cs="Calibri"/>
                <w:b/>
                <w:bCs/>
                <w:color w:val="000000"/>
                <w:sz w:val="24"/>
                <w:szCs w:val="24"/>
                <w:lang w:val="en-US"/>
              </w:rPr>
            </w:pPr>
            <w:r w:rsidRPr="00A7769E">
              <w:rPr>
                <w:rFonts w:ascii="Calibri" w:eastAsia="Times New Roman" w:hAnsi="Calibri" w:cs="Calibri"/>
                <w:b/>
                <w:bCs/>
                <w:color w:val="000000"/>
                <w:sz w:val="24"/>
                <w:szCs w:val="24"/>
                <w:lang w:val="en-US"/>
              </w:rPr>
              <w:t>type</w:t>
            </w:r>
          </w:p>
        </w:tc>
        <w:tc>
          <w:tcPr>
            <w:tcW w:w="1628" w:type="dxa"/>
            <w:tcBorders>
              <w:top w:val="single" w:sz="4" w:space="0" w:color="auto"/>
              <w:left w:val="nil"/>
              <w:bottom w:val="single" w:sz="4" w:space="0" w:color="auto"/>
              <w:right w:val="single" w:sz="4" w:space="0" w:color="auto"/>
            </w:tcBorders>
            <w:shd w:val="clear" w:color="auto" w:fill="auto"/>
            <w:noWrap/>
            <w:vAlign w:val="bottom"/>
            <w:hideMark/>
          </w:tcPr>
          <w:p w14:paraId="5824CE87" w14:textId="77777777" w:rsidR="00A7769E" w:rsidRPr="00A7769E" w:rsidRDefault="00A7769E" w:rsidP="00A7769E">
            <w:pPr>
              <w:spacing w:after="0" w:line="240" w:lineRule="auto"/>
              <w:rPr>
                <w:rFonts w:ascii="Calibri" w:eastAsia="Times New Roman" w:hAnsi="Calibri" w:cs="Calibri"/>
                <w:b/>
                <w:bCs/>
                <w:color w:val="000000"/>
                <w:sz w:val="24"/>
                <w:szCs w:val="24"/>
                <w:lang w:val="en-US"/>
              </w:rPr>
            </w:pPr>
            <w:proofErr w:type="spellStart"/>
            <w:r w:rsidRPr="00A7769E">
              <w:rPr>
                <w:rFonts w:ascii="Calibri" w:eastAsia="Times New Roman" w:hAnsi="Calibri" w:cs="Calibri"/>
                <w:b/>
                <w:bCs/>
                <w:color w:val="000000"/>
                <w:sz w:val="24"/>
                <w:szCs w:val="24"/>
                <w:lang w:val="en-US"/>
              </w:rPr>
              <w:t>z.value</w:t>
            </w:r>
            <w:proofErr w:type="spellEnd"/>
          </w:p>
        </w:tc>
        <w:tc>
          <w:tcPr>
            <w:tcW w:w="1628" w:type="dxa"/>
            <w:tcBorders>
              <w:top w:val="single" w:sz="4" w:space="0" w:color="auto"/>
              <w:left w:val="nil"/>
              <w:bottom w:val="single" w:sz="4" w:space="0" w:color="auto"/>
              <w:right w:val="single" w:sz="4" w:space="0" w:color="auto"/>
            </w:tcBorders>
            <w:shd w:val="clear" w:color="auto" w:fill="auto"/>
            <w:noWrap/>
            <w:vAlign w:val="bottom"/>
            <w:hideMark/>
          </w:tcPr>
          <w:p w14:paraId="1713E3B1" w14:textId="77777777" w:rsidR="00A7769E" w:rsidRPr="00A7769E" w:rsidRDefault="00A7769E" w:rsidP="00A7769E">
            <w:pPr>
              <w:spacing w:after="0" w:line="240" w:lineRule="auto"/>
              <w:rPr>
                <w:rFonts w:ascii="Calibri" w:eastAsia="Times New Roman" w:hAnsi="Calibri" w:cs="Calibri"/>
                <w:b/>
                <w:bCs/>
                <w:color w:val="000000"/>
                <w:sz w:val="24"/>
                <w:szCs w:val="24"/>
                <w:lang w:val="en-US"/>
              </w:rPr>
            </w:pPr>
            <w:r w:rsidRPr="00A7769E">
              <w:rPr>
                <w:rFonts w:ascii="Calibri" w:eastAsia="Times New Roman" w:hAnsi="Calibri" w:cs="Calibri"/>
                <w:b/>
                <w:bCs/>
                <w:color w:val="000000"/>
                <w:sz w:val="24"/>
                <w:szCs w:val="24"/>
                <w:lang w:val="en-US"/>
              </w:rPr>
              <w:t>p-</w:t>
            </w:r>
            <w:proofErr w:type="spellStart"/>
            <w:r w:rsidRPr="00A7769E">
              <w:rPr>
                <w:rFonts w:ascii="Calibri" w:eastAsia="Times New Roman" w:hAnsi="Calibri" w:cs="Calibri"/>
                <w:b/>
                <w:bCs/>
                <w:color w:val="000000"/>
                <w:sz w:val="24"/>
                <w:szCs w:val="24"/>
                <w:lang w:val="en-US"/>
              </w:rPr>
              <w:t>val</w:t>
            </w:r>
            <w:proofErr w:type="spellEnd"/>
            <w:r w:rsidRPr="00A7769E">
              <w:rPr>
                <w:rFonts w:ascii="Calibri" w:eastAsia="Times New Roman" w:hAnsi="Calibri" w:cs="Calibri"/>
                <w:b/>
                <w:bCs/>
                <w:color w:val="000000"/>
                <w:sz w:val="24"/>
                <w:szCs w:val="24"/>
                <w:lang w:val="en-US"/>
              </w:rPr>
              <w:t>(z)</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14:paraId="7112BE30" w14:textId="77777777" w:rsidR="00A7769E" w:rsidRPr="00A7769E" w:rsidRDefault="00A7769E" w:rsidP="00A7769E">
            <w:pPr>
              <w:spacing w:after="0" w:line="240" w:lineRule="auto"/>
              <w:rPr>
                <w:rFonts w:ascii="Calibri" w:eastAsia="Times New Roman" w:hAnsi="Calibri" w:cs="Calibri"/>
                <w:b/>
                <w:bCs/>
                <w:color w:val="000000"/>
                <w:sz w:val="24"/>
                <w:szCs w:val="24"/>
                <w:lang w:val="en-US"/>
              </w:rPr>
            </w:pPr>
            <w:proofErr w:type="spellStart"/>
            <w:r w:rsidRPr="00A7769E">
              <w:rPr>
                <w:rFonts w:ascii="Calibri" w:eastAsia="Times New Roman" w:hAnsi="Calibri" w:cs="Calibri"/>
                <w:b/>
                <w:bCs/>
                <w:color w:val="000000"/>
                <w:sz w:val="24"/>
                <w:szCs w:val="24"/>
                <w:lang w:val="en-US"/>
              </w:rPr>
              <w:t>t.value</w:t>
            </w:r>
            <w:proofErr w:type="spellEnd"/>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14:paraId="77171CD0" w14:textId="77777777" w:rsidR="00A7769E" w:rsidRPr="00A7769E" w:rsidRDefault="00A7769E" w:rsidP="00A7769E">
            <w:pPr>
              <w:spacing w:after="0" w:line="240" w:lineRule="auto"/>
              <w:rPr>
                <w:rFonts w:ascii="Calibri" w:eastAsia="Times New Roman" w:hAnsi="Calibri" w:cs="Calibri"/>
                <w:b/>
                <w:bCs/>
                <w:color w:val="000000"/>
                <w:sz w:val="24"/>
                <w:szCs w:val="24"/>
                <w:lang w:val="en-US"/>
              </w:rPr>
            </w:pPr>
            <w:r w:rsidRPr="00A7769E">
              <w:rPr>
                <w:rFonts w:ascii="Calibri" w:eastAsia="Times New Roman" w:hAnsi="Calibri" w:cs="Calibri"/>
                <w:b/>
                <w:bCs/>
                <w:color w:val="000000"/>
                <w:sz w:val="24"/>
                <w:szCs w:val="24"/>
                <w:lang w:val="en-US"/>
              </w:rPr>
              <w:t>p-</w:t>
            </w:r>
            <w:proofErr w:type="spellStart"/>
            <w:r w:rsidRPr="00A7769E">
              <w:rPr>
                <w:rFonts w:ascii="Calibri" w:eastAsia="Times New Roman" w:hAnsi="Calibri" w:cs="Calibri"/>
                <w:b/>
                <w:bCs/>
                <w:color w:val="000000"/>
                <w:sz w:val="24"/>
                <w:szCs w:val="24"/>
                <w:lang w:val="en-US"/>
              </w:rPr>
              <w:t>val</w:t>
            </w:r>
            <w:proofErr w:type="spellEnd"/>
            <w:r w:rsidRPr="00A7769E">
              <w:rPr>
                <w:rFonts w:ascii="Calibri" w:eastAsia="Times New Roman" w:hAnsi="Calibri" w:cs="Calibri"/>
                <w:b/>
                <w:bCs/>
                <w:color w:val="000000"/>
                <w:sz w:val="24"/>
                <w:szCs w:val="24"/>
                <w:lang w:val="en-US"/>
              </w:rPr>
              <w:t>(t)</w:t>
            </w:r>
          </w:p>
        </w:tc>
      </w:tr>
      <w:tr w:rsidR="00A7769E" w:rsidRPr="00A7769E" w14:paraId="2A928A87" w14:textId="77777777" w:rsidTr="00A7769E">
        <w:trPr>
          <w:trHeight w:val="428"/>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C0A1BB9"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Suicide</w:t>
            </w:r>
          </w:p>
        </w:tc>
        <w:tc>
          <w:tcPr>
            <w:tcW w:w="1628" w:type="dxa"/>
            <w:tcBorders>
              <w:top w:val="nil"/>
              <w:left w:val="nil"/>
              <w:bottom w:val="single" w:sz="4" w:space="0" w:color="auto"/>
              <w:right w:val="single" w:sz="4" w:space="0" w:color="auto"/>
            </w:tcBorders>
            <w:shd w:val="clear" w:color="auto" w:fill="auto"/>
            <w:noWrap/>
            <w:vAlign w:val="bottom"/>
            <w:hideMark/>
          </w:tcPr>
          <w:p w14:paraId="2AD692FA"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-6.0005932</w:t>
            </w:r>
          </w:p>
        </w:tc>
        <w:tc>
          <w:tcPr>
            <w:tcW w:w="1628" w:type="dxa"/>
            <w:tcBorders>
              <w:top w:val="nil"/>
              <w:left w:val="nil"/>
              <w:bottom w:val="single" w:sz="4" w:space="0" w:color="auto"/>
              <w:right w:val="single" w:sz="4" w:space="0" w:color="auto"/>
            </w:tcBorders>
            <w:shd w:val="clear" w:color="auto" w:fill="auto"/>
            <w:noWrap/>
            <w:vAlign w:val="bottom"/>
            <w:hideMark/>
          </w:tcPr>
          <w:p w14:paraId="04D14396"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1.97E-09</w:t>
            </w:r>
          </w:p>
        </w:tc>
        <w:tc>
          <w:tcPr>
            <w:tcW w:w="1718" w:type="dxa"/>
            <w:tcBorders>
              <w:top w:val="nil"/>
              <w:left w:val="nil"/>
              <w:bottom w:val="single" w:sz="4" w:space="0" w:color="auto"/>
              <w:right w:val="single" w:sz="4" w:space="0" w:color="auto"/>
            </w:tcBorders>
            <w:shd w:val="clear" w:color="auto" w:fill="auto"/>
            <w:noWrap/>
            <w:vAlign w:val="bottom"/>
            <w:hideMark/>
          </w:tcPr>
          <w:p w14:paraId="6B1A7EE5"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718" w:type="dxa"/>
            <w:tcBorders>
              <w:top w:val="nil"/>
              <w:left w:val="nil"/>
              <w:bottom w:val="single" w:sz="4" w:space="0" w:color="auto"/>
              <w:right w:val="single" w:sz="4" w:space="0" w:color="auto"/>
            </w:tcBorders>
            <w:shd w:val="clear" w:color="auto" w:fill="auto"/>
            <w:noWrap/>
            <w:vAlign w:val="bottom"/>
            <w:hideMark/>
          </w:tcPr>
          <w:p w14:paraId="72831A3D"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r>
      <w:tr w:rsidR="00A7769E" w:rsidRPr="00A7769E" w14:paraId="687E5BDE" w14:textId="77777777" w:rsidTr="00A7769E">
        <w:trPr>
          <w:trHeight w:val="428"/>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2D913F7"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Alcohol</w:t>
            </w:r>
          </w:p>
        </w:tc>
        <w:tc>
          <w:tcPr>
            <w:tcW w:w="1628" w:type="dxa"/>
            <w:tcBorders>
              <w:top w:val="nil"/>
              <w:left w:val="nil"/>
              <w:bottom w:val="single" w:sz="4" w:space="0" w:color="auto"/>
              <w:right w:val="single" w:sz="4" w:space="0" w:color="auto"/>
            </w:tcBorders>
            <w:shd w:val="clear" w:color="auto" w:fill="auto"/>
            <w:noWrap/>
            <w:vAlign w:val="bottom"/>
            <w:hideMark/>
          </w:tcPr>
          <w:p w14:paraId="6CDFCA09"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628" w:type="dxa"/>
            <w:tcBorders>
              <w:top w:val="nil"/>
              <w:left w:val="nil"/>
              <w:bottom w:val="single" w:sz="4" w:space="0" w:color="auto"/>
              <w:right w:val="single" w:sz="4" w:space="0" w:color="auto"/>
            </w:tcBorders>
            <w:shd w:val="clear" w:color="auto" w:fill="auto"/>
            <w:noWrap/>
            <w:vAlign w:val="bottom"/>
            <w:hideMark/>
          </w:tcPr>
          <w:p w14:paraId="6056BD45"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718" w:type="dxa"/>
            <w:tcBorders>
              <w:top w:val="nil"/>
              <w:left w:val="nil"/>
              <w:bottom w:val="single" w:sz="4" w:space="0" w:color="auto"/>
              <w:right w:val="single" w:sz="4" w:space="0" w:color="auto"/>
            </w:tcBorders>
            <w:shd w:val="clear" w:color="auto" w:fill="auto"/>
            <w:noWrap/>
            <w:vAlign w:val="bottom"/>
            <w:hideMark/>
          </w:tcPr>
          <w:p w14:paraId="7AA7DF99"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-1.5651921</w:t>
            </w:r>
          </w:p>
        </w:tc>
        <w:tc>
          <w:tcPr>
            <w:tcW w:w="1718" w:type="dxa"/>
            <w:tcBorders>
              <w:top w:val="nil"/>
              <w:left w:val="nil"/>
              <w:bottom w:val="single" w:sz="4" w:space="0" w:color="auto"/>
              <w:right w:val="single" w:sz="4" w:space="0" w:color="auto"/>
            </w:tcBorders>
            <w:shd w:val="clear" w:color="auto" w:fill="auto"/>
            <w:noWrap/>
            <w:vAlign w:val="bottom"/>
            <w:hideMark/>
          </w:tcPr>
          <w:p w14:paraId="1539E121"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0.14351467</w:t>
            </w:r>
          </w:p>
        </w:tc>
      </w:tr>
      <w:tr w:rsidR="00A7769E" w:rsidRPr="00A7769E" w14:paraId="3CDC4846" w14:textId="77777777" w:rsidTr="00A7769E">
        <w:trPr>
          <w:trHeight w:val="428"/>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2974C48"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Assault</w:t>
            </w:r>
          </w:p>
        </w:tc>
        <w:tc>
          <w:tcPr>
            <w:tcW w:w="1628" w:type="dxa"/>
            <w:tcBorders>
              <w:top w:val="nil"/>
              <w:left w:val="nil"/>
              <w:bottom w:val="single" w:sz="4" w:space="0" w:color="auto"/>
              <w:right w:val="single" w:sz="4" w:space="0" w:color="auto"/>
            </w:tcBorders>
            <w:shd w:val="clear" w:color="auto" w:fill="auto"/>
            <w:noWrap/>
            <w:vAlign w:val="bottom"/>
            <w:hideMark/>
          </w:tcPr>
          <w:p w14:paraId="115650EF"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628" w:type="dxa"/>
            <w:tcBorders>
              <w:top w:val="nil"/>
              <w:left w:val="nil"/>
              <w:bottom w:val="single" w:sz="4" w:space="0" w:color="auto"/>
              <w:right w:val="single" w:sz="4" w:space="0" w:color="auto"/>
            </w:tcBorders>
            <w:shd w:val="clear" w:color="auto" w:fill="auto"/>
            <w:noWrap/>
            <w:vAlign w:val="bottom"/>
            <w:hideMark/>
          </w:tcPr>
          <w:p w14:paraId="376B8E15"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718" w:type="dxa"/>
            <w:tcBorders>
              <w:top w:val="nil"/>
              <w:left w:val="nil"/>
              <w:bottom w:val="single" w:sz="4" w:space="0" w:color="auto"/>
              <w:right w:val="single" w:sz="4" w:space="0" w:color="auto"/>
            </w:tcBorders>
            <w:shd w:val="clear" w:color="auto" w:fill="auto"/>
            <w:noWrap/>
            <w:vAlign w:val="bottom"/>
            <w:hideMark/>
          </w:tcPr>
          <w:p w14:paraId="34368A61"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-1.3216826</w:t>
            </w:r>
          </w:p>
        </w:tc>
        <w:tc>
          <w:tcPr>
            <w:tcW w:w="1718" w:type="dxa"/>
            <w:tcBorders>
              <w:top w:val="nil"/>
              <w:left w:val="nil"/>
              <w:bottom w:val="single" w:sz="4" w:space="0" w:color="auto"/>
              <w:right w:val="single" w:sz="4" w:space="0" w:color="auto"/>
            </w:tcBorders>
            <w:shd w:val="clear" w:color="auto" w:fill="auto"/>
            <w:noWrap/>
            <w:vAlign w:val="bottom"/>
            <w:hideMark/>
          </w:tcPr>
          <w:p w14:paraId="2B678168"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0.21091738</w:t>
            </w:r>
          </w:p>
        </w:tc>
      </w:tr>
      <w:tr w:rsidR="00A7769E" w:rsidRPr="00A7769E" w14:paraId="3B820AB0" w14:textId="77777777" w:rsidTr="00A7769E">
        <w:trPr>
          <w:trHeight w:val="428"/>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9CD88EF"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Domestic Disputes</w:t>
            </w:r>
          </w:p>
        </w:tc>
        <w:tc>
          <w:tcPr>
            <w:tcW w:w="1628" w:type="dxa"/>
            <w:tcBorders>
              <w:top w:val="nil"/>
              <w:left w:val="nil"/>
              <w:bottom w:val="single" w:sz="4" w:space="0" w:color="auto"/>
              <w:right w:val="single" w:sz="4" w:space="0" w:color="auto"/>
            </w:tcBorders>
            <w:shd w:val="clear" w:color="auto" w:fill="auto"/>
            <w:noWrap/>
            <w:vAlign w:val="bottom"/>
            <w:hideMark/>
          </w:tcPr>
          <w:p w14:paraId="0D0B1B0F"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628" w:type="dxa"/>
            <w:tcBorders>
              <w:top w:val="nil"/>
              <w:left w:val="nil"/>
              <w:bottom w:val="single" w:sz="4" w:space="0" w:color="auto"/>
              <w:right w:val="single" w:sz="4" w:space="0" w:color="auto"/>
            </w:tcBorders>
            <w:shd w:val="clear" w:color="auto" w:fill="auto"/>
            <w:noWrap/>
            <w:vAlign w:val="bottom"/>
            <w:hideMark/>
          </w:tcPr>
          <w:p w14:paraId="7E19C6F1" w14:textId="77777777" w:rsidR="00A7769E" w:rsidRPr="00A7769E" w:rsidRDefault="00A7769E" w:rsidP="00A7769E">
            <w:pPr>
              <w:spacing w:after="0" w:line="240" w:lineRule="auto"/>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NA</w:t>
            </w:r>
          </w:p>
        </w:tc>
        <w:tc>
          <w:tcPr>
            <w:tcW w:w="1718" w:type="dxa"/>
            <w:tcBorders>
              <w:top w:val="nil"/>
              <w:left w:val="nil"/>
              <w:bottom w:val="single" w:sz="4" w:space="0" w:color="auto"/>
              <w:right w:val="single" w:sz="4" w:space="0" w:color="auto"/>
            </w:tcBorders>
            <w:shd w:val="clear" w:color="auto" w:fill="auto"/>
            <w:noWrap/>
            <w:vAlign w:val="bottom"/>
            <w:hideMark/>
          </w:tcPr>
          <w:p w14:paraId="3DF20A1B"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1.22696306</w:t>
            </w:r>
          </w:p>
        </w:tc>
        <w:tc>
          <w:tcPr>
            <w:tcW w:w="1718" w:type="dxa"/>
            <w:tcBorders>
              <w:top w:val="nil"/>
              <w:left w:val="nil"/>
              <w:bottom w:val="single" w:sz="4" w:space="0" w:color="auto"/>
              <w:right w:val="single" w:sz="4" w:space="0" w:color="auto"/>
            </w:tcBorders>
            <w:shd w:val="clear" w:color="auto" w:fill="auto"/>
            <w:noWrap/>
            <w:vAlign w:val="bottom"/>
            <w:hideMark/>
          </w:tcPr>
          <w:p w14:paraId="097A7FB5" w14:textId="77777777" w:rsidR="00A7769E" w:rsidRPr="00A7769E" w:rsidRDefault="00A7769E" w:rsidP="00A7769E">
            <w:pPr>
              <w:spacing w:after="0" w:line="240" w:lineRule="auto"/>
              <w:jc w:val="right"/>
              <w:rPr>
                <w:rFonts w:ascii="Calibri" w:eastAsia="Times New Roman" w:hAnsi="Calibri" w:cs="Calibri"/>
                <w:color w:val="000000"/>
                <w:sz w:val="24"/>
                <w:szCs w:val="24"/>
                <w:lang w:val="en-US"/>
              </w:rPr>
            </w:pPr>
            <w:r w:rsidRPr="00A7769E">
              <w:rPr>
                <w:rFonts w:ascii="Calibri" w:eastAsia="Times New Roman" w:hAnsi="Calibri" w:cs="Calibri"/>
                <w:color w:val="000000"/>
                <w:sz w:val="24"/>
                <w:szCs w:val="24"/>
                <w:lang w:val="en-US"/>
              </w:rPr>
              <w:t>0.24336501</w:t>
            </w:r>
          </w:p>
        </w:tc>
      </w:tr>
    </w:tbl>
    <w:p w14:paraId="2C91783E" w14:textId="77777777" w:rsidR="00913B02" w:rsidRDefault="00913B02" w:rsidP="00941B6C">
      <w:pPr>
        <w:spacing w:line="276" w:lineRule="auto"/>
      </w:pPr>
    </w:p>
    <w:p w14:paraId="39C2FAF8" w14:textId="319E86F9" w:rsidR="009E26FF" w:rsidRPr="00A7769E" w:rsidRDefault="00A5506A" w:rsidP="00941B6C">
      <w:pPr>
        <w:spacing w:line="276" w:lineRule="auto"/>
        <w:rPr>
          <w:color w:val="4472C4" w:themeColor="accent1"/>
        </w:rPr>
      </w:pPr>
      <w:r>
        <w:t xml:space="preserve">Crisis calls were decreased during the </w:t>
      </w:r>
      <w:r w:rsidR="0BA537CE">
        <w:t xml:space="preserve">initial </w:t>
      </w:r>
      <w:r>
        <w:t>period of lockdown</w:t>
      </w:r>
      <w:r w:rsidR="208DFCB1">
        <w:t xml:space="preserve"> </w:t>
      </w:r>
      <w:r w:rsidR="006E0143">
        <w:t>compared to the same period in 2019</w:t>
      </w:r>
      <w:r w:rsidR="006E0143">
        <w:t xml:space="preserve"> </w:t>
      </w:r>
      <w:r w:rsidR="006E0143" w:rsidRPr="00A7769E">
        <w:rPr>
          <w:color w:val="4472C4" w:themeColor="accent1"/>
        </w:rPr>
        <w:t>(t=-4.</w:t>
      </w:r>
      <w:r w:rsidR="00A7769E" w:rsidRPr="00A7769E">
        <w:rPr>
          <w:color w:val="4472C4" w:themeColor="accent1"/>
        </w:rPr>
        <w:t>36</w:t>
      </w:r>
      <w:r w:rsidR="006E0143" w:rsidRPr="00A7769E">
        <w:rPr>
          <w:color w:val="4472C4" w:themeColor="accent1"/>
        </w:rPr>
        <w:t>, p=</w:t>
      </w:r>
      <w:r w:rsidR="00A7769E" w:rsidRPr="00A7769E">
        <w:rPr>
          <w:color w:val="4472C4" w:themeColor="accent1"/>
        </w:rPr>
        <w:t>9.21</w:t>
      </w:r>
      <w:r w:rsidR="006E0143" w:rsidRPr="00A7769E">
        <w:rPr>
          <w:color w:val="4472C4" w:themeColor="accent1"/>
        </w:rPr>
        <w:t>x10</w:t>
      </w:r>
      <w:r w:rsidR="006E0143" w:rsidRPr="00A7769E">
        <w:rPr>
          <w:color w:val="4472C4" w:themeColor="accent1"/>
          <w:vertAlign w:val="superscript"/>
        </w:rPr>
        <w:t>-</w:t>
      </w:r>
      <w:r w:rsidR="00A7769E" w:rsidRPr="00A7769E">
        <w:rPr>
          <w:color w:val="4472C4" w:themeColor="accent1"/>
          <w:vertAlign w:val="superscript"/>
        </w:rPr>
        <w:t>4</w:t>
      </w:r>
      <w:r w:rsidR="006E0143" w:rsidRPr="00A7769E">
        <w:rPr>
          <w:color w:val="4472C4" w:themeColor="accent1"/>
        </w:rPr>
        <w:t>)</w:t>
      </w:r>
      <w:r w:rsidR="006E0143" w:rsidRPr="00A7769E">
        <w:rPr>
          <w:color w:val="4472C4" w:themeColor="accent1"/>
        </w:rPr>
        <w:t>.</w:t>
      </w:r>
      <w:r w:rsidRPr="00A7769E">
        <w:rPr>
          <w:color w:val="4472C4" w:themeColor="accent1"/>
        </w:rPr>
        <w:t xml:space="preserve"> </w:t>
      </w:r>
      <w:r w:rsidR="00A7769E" w:rsidRPr="00A7769E">
        <w:rPr>
          <w:color w:val="4472C4" w:themeColor="accent1"/>
        </w:rPr>
        <w:t>Weekly c</w:t>
      </w:r>
      <w:r w:rsidR="006E0143" w:rsidRPr="00A7769E">
        <w:rPr>
          <w:color w:val="4472C4" w:themeColor="accent1"/>
        </w:rPr>
        <w:t xml:space="preserve">risis calls </w:t>
      </w:r>
      <w:r w:rsidRPr="00A7769E">
        <w:rPr>
          <w:color w:val="4472C4" w:themeColor="accent1"/>
        </w:rPr>
        <w:t xml:space="preserve">increased </w:t>
      </w:r>
      <w:r w:rsidR="006E0143" w:rsidRPr="00A7769E">
        <w:rPr>
          <w:color w:val="4472C4" w:themeColor="accent1"/>
        </w:rPr>
        <w:t>by 43% from May 31 – June 6 to the July 12 – July 18</w:t>
      </w:r>
      <w:r w:rsidR="00A7769E" w:rsidRPr="00A7769E">
        <w:rPr>
          <w:color w:val="4472C4" w:themeColor="accent1"/>
        </w:rPr>
        <w:t xml:space="preserve"> </w:t>
      </w:r>
      <w:r w:rsidR="006E0143" w:rsidRPr="00A7769E">
        <w:rPr>
          <w:color w:val="4472C4" w:themeColor="accent1"/>
        </w:rPr>
        <w:t>in 2020.</w:t>
      </w:r>
    </w:p>
    <w:p w14:paraId="5A2F7B24" w14:textId="0F84817E" w:rsidR="00402985" w:rsidRDefault="00402985" w:rsidP="00941B6C">
      <w:pPr>
        <w:spacing w:line="276" w:lineRule="auto"/>
      </w:pPr>
    </w:p>
    <w:p w14:paraId="69688488" w14:textId="4E0C6E72" w:rsidR="00C669F8" w:rsidRPr="00042CAE" w:rsidRDefault="00C669F8" w:rsidP="00941B6C">
      <w:pPr>
        <w:spacing w:line="276" w:lineRule="auto"/>
      </w:pPr>
      <w:r>
        <w:rPr>
          <w:noProof/>
        </w:rPr>
        <w:drawing>
          <wp:inline distT="0" distB="0" distL="0" distR="0" wp14:anchorId="4DF5E853" wp14:editId="2A22CE28">
            <wp:extent cx="5943600" cy="2691130"/>
            <wp:effectExtent l="0" t="0" r="0" b="63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1A520A62" w14:textId="628C0142" w:rsidR="00402985" w:rsidRDefault="005F5168" w:rsidP="00941B6C">
      <w:pPr>
        <w:spacing w:line="276" w:lineRule="auto"/>
      </w:pPr>
      <w:r w:rsidRPr="005F5168">
        <w:rPr>
          <w:b/>
          <w:bCs/>
        </w:rPr>
        <w:t>Figure 1</w:t>
      </w:r>
      <w:r>
        <w:t>. New COVID</w:t>
      </w:r>
      <w:r w:rsidR="009E26FF">
        <w:t>-19</w:t>
      </w:r>
      <w:r w:rsidR="005C03D8">
        <w:t xml:space="preserve"> cases,</w:t>
      </w:r>
      <w:r>
        <w:t xml:space="preserve"> hospitalizations</w:t>
      </w:r>
      <w:r w:rsidR="005C03D8">
        <w:t>, and overall Emergency Department volumes</w:t>
      </w:r>
      <w:r>
        <w:t xml:space="preserve"> over time in Kitchener-Waterloo.</w:t>
      </w:r>
      <w:r w:rsidR="00546627">
        <w:t xml:space="preserve"> </w:t>
      </w:r>
      <w:r w:rsidR="00A5506A">
        <w:t xml:space="preserve">The shaded areas </w:t>
      </w:r>
      <w:proofErr w:type="gramStart"/>
      <w:r w:rsidR="00A5506A">
        <w:t>indicates</w:t>
      </w:r>
      <w:proofErr w:type="gramEnd"/>
      <w:r w:rsidR="00A5506A">
        <w:t xml:space="preserve"> the period of increasing restrictions (light red), lockdown (dark red), and diminishing restrictions (green).</w:t>
      </w:r>
    </w:p>
    <w:p w14:paraId="376F3734" w14:textId="2D57F5D2" w:rsidR="00402985" w:rsidRDefault="00402985" w:rsidP="00941B6C">
      <w:pPr>
        <w:spacing w:line="276" w:lineRule="auto"/>
      </w:pPr>
      <w:r>
        <w:rPr>
          <w:noProof/>
        </w:rPr>
        <w:lastRenderedPageBreak/>
        <w:drawing>
          <wp:inline distT="0" distB="0" distL="0" distR="0" wp14:anchorId="227E53A8" wp14:editId="076A378E">
            <wp:extent cx="5943600" cy="4589780"/>
            <wp:effectExtent l="0" t="0" r="0" b="127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45A42CC3" w14:textId="02D82560" w:rsidR="00402985" w:rsidRDefault="00546627" w:rsidP="00941B6C">
      <w:pPr>
        <w:spacing w:line="276" w:lineRule="auto"/>
      </w:pPr>
      <w:r w:rsidRPr="00546627">
        <w:rPr>
          <w:b/>
          <w:bCs/>
        </w:rPr>
        <w:t>Figure 2</w:t>
      </w:r>
      <w:r>
        <w:t>. Year-over-year mental health diagnoses, by month, between 2017-2020</w:t>
      </w:r>
      <w:r w:rsidR="00F923F7">
        <w:t xml:space="preserve"> for A)</w:t>
      </w:r>
      <w:r>
        <w:t xml:space="preserve"> </w:t>
      </w:r>
      <w:r w:rsidR="00F923F7">
        <w:t xml:space="preserve">involuntary, B) </w:t>
      </w:r>
      <w:r>
        <w:t>substance</w:t>
      </w:r>
      <w:r w:rsidR="00F923F7">
        <w:t xml:space="preserve"> related</w:t>
      </w:r>
      <w:r>
        <w:t xml:space="preserve">, </w:t>
      </w:r>
      <w:r w:rsidR="00F923F7">
        <w:t xml:space="preserve">C) alcohol related, D) </w:t>
      </w:r>
      <w:r>
        <w:t>mood</w:t>
      </w:r>
      <w:r w:rsidR="00F923F7">
        <w:t xml:space="preserve"> related</w:t>
      </w:r>
      <w:r>
        <w:t xml:space="preserve">, </w:t>
      </w:r>
      <w:r w:rsidR="00F923F7">
        <w:t xml:space="preserve">E) </w:t>
      </w:r>
      <w:r>
        <w:t>psychosis</w:t>
      </w:r>
      <w:r w:rsidR="00F923F7">
        <w:t xml:space="preserve"> related</w:t>
      </w:r>
      <w:r>
        <w:t xml:space="preserve">, </w:t>
      </w:r>
      <w:r w:rsidR="00F923F7">
        <w:t xml:space="preserve">G) situational crisis, and F) </w:t>
      </w:r>
      <w:r>
        <w:t>self harm</w:t>
      </w:r>
      <w:r w:rsidR="00F923F7">
        <w:t xml:space="preserve"> related</w:t>
      </w:r>
      <w:r>
        <w:t xml:space="preserve">. </w:t>
      </w:r>
      <w:r w:rsidR="00A5506A">
        <w:t xml:space="preserve">The shaded areas </w:t>
      </w:r>
      <w:proofErr w:type="gramStart"/>
      <w:r w:rsidR="00A5506A">
        <w:t>indicates</w:t>
      </w:r>
      <w:proofErr w:type="gramEnd"/>
      <w:r w:rsidR="00A5506A">
        <w:t xml:space="preserve"> the period of increasing restrictions (light red), lockdown (dark red), and diminishing restrictions (green).</w:t>
      </w:r>
    </w:p>
    <w:p w14:paraId="705B2569" w14:textId="563976BB" w:rsidR="00402985" w:rsidRDefault="00402985" w:rsidP="00941B6C">
      <w:pPr>
        <w:spacing w:line="276" w:lineRule="auto"/>
      </w:pPr>
      <w:r>
        <w:rPr>
          <w:noProof/>
        </w:rPr>
        <w:lastRenderedPageBreak/>
        <w:drawing>
          <wp:inline distT="0" distB="0" distL="0" distR="0" wp14:anchorId="758CD3F3" wp14:editId="0B74C9C4">
            <wp:extent cx="5943600" cy="459549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3F04B7CB" w14:textId="62270AE7" w:rsidR="00546627" w:rsidRDefault="00546627" w:rsidP="00941B6C">
      <w:pPr>
        <w:spacing w:line="276" w:lineRule="auto"/>
      </w:pPr>
      <w:r w:rsidRPr="00546627">
        <w:rPr>
          <w:b/>
          <w:bCs/>
        </w:rPr>
        <w:t>Figure 3</w:t>
      </w:r>
      <w:r>
        <w:t>. Year over year changes in Waterloo Regional Police responses</w:t>
      </w:r>
      <w:r w:rsidR="00F923F7">
        <w:t xml:space="preserve"> for A) suicide attempt</w:t>
      </w:r>
      <w:r w:rsidR="00927E7F">
        <w:t>s</w:t>
      </w:r>
      <w:r w:rsidR="00F923F7">
        <w:t>, B) substance related, C) intoxication, D) assault, E) domestic dispute</w:t>
      </w:r>
      <w:r w:rsidR="00CB2ED4">
        <w:t>, and F) calls to the Here 24/7 crisis line.</w:t>
      </w:r>
      <w:r w:rsidR="004E51D4">
        <w:t xml:space="preserve"> The shaded area</w:t>
      </w:r>
      <w:r w:rsidR="00927E7F">
        <w:t>s</w:t>
      </w:r>
      <w:r w:rsidR="004E51D4">
        <w:t xml:space="preserve"> </w:t>
      </w:r>
      <w:proofErr w:type="gramStart"/>
      <w:r w:rsidR="004E51D4">
        <w:t>indicates</w:t>
      </w:r>
      <w:proofErr w:type="gramEnd"/>
      <w:r w:rsidR="004E51D4">
        <w:t xml:space="preserve"> the period of </w:t>
      </w:r>
      <w:r w:rsidR="00927E7F">
        <w:t>increasing restrictions (light red), lockdown (dark red), and diminishing restrictions (green)</w:t>
      </w:r>
      <w:r w:rsidR="004E51D4">
        <w:t>.</w:t>
      </w:r>
    </w:p>
    <w:p w14:paraId="479A54BD" w14:textId="7B56E006" w:rsidR="009D09F5" w:rsidRDefault="009D09F5" w:rsidP="00941B6C">
      <w:pPr>
        <w:spacing w:line="276" w:lineRule="auto"/>
      </w:pPr>
    </w:p>
    <w:p w14:paraId="69D2AFE9" w14:textId="05F2141C" w:rsidR="009D09F5" w:rsidRPr="00B27ABD" w:rsidRDefault="00B27ABD" w:rsidP="00941B6C">
      <w:pPr>
        <w:spacing w:line="276" w:lineRule="auto"/>
        <w:rPr>
          <w:b/>
          <w:bCs/>
          <w:u w:val="single"/>
        </w:rPr>
      </w:pPr>
      <w:r w:rsidRPr="00B27ABD">
        <w:rPr>
          <w:b/>
          <w:bCs/>
          <w:u w:val="single"/>
        </w:rPr>
        <w:t>Discussion</w:t>
      </w:r>
    </w:p>
    <w:p w14:paraId="2C662908" w14:textId="483279E7" w:rsidR="00BA34BA" w:rsidRPr="000807CB" w:rsidRDefault="00BA34BA" w:rsidP="00941B6C">
      <w:pPr>
        <w:spacing w:line="276" w:lineRule="auto"/>
      </w:pPr>
      <w:r>
        <w:t xml:space="preserve">This study examined the association between </w:t>
      </w:r>
      <w:r w:rsidR="00C2604F">
        <w:t xml:space="preserve">the </w:t>
      </w:r>
      <w:r>
        <w:t xml:space="preserve">COVID-19 </w:t>
      </w:r>
      <w:r w:rsidR="007324F6">
        <w:t>lockdown</w:t>
      </w:r>
      <w:r>
        <w:t xml:space="preserve"> and </w:t>
      </w:r>
      <w:r w:rsidR="007324F6">
        <w:t>short-term</w:t>
      </w:r>
      <w:r>
        <w:t xml:space="preserve"> </w:t>
      </w:r>
      <w:r w:rsidR="005822E2">
        <w:t xml:space="preserve">changes in emergency </w:t>
      </w:r>
      <w:r>
        <w:t xml:space="preserve">mental health and social services usage in a mid-sized Canadian </w:t>
      </w:r>
      <w:r w:rsidR="00CF0169">
        <w:t>city</w:t>
      </w:r>
      <w:r>
        <w:t xml:space="preserve">. We found </w:t>
      </w:r>
      <w:r w:rsidRPr="2E8D2DF1">
        <w:rPr>
          <w:color w:val="00B0F0"/>
        </w:rPr>
        <w:t>the following</w:t>
      </w:r>
      <w:r>
        <w:t xml:space="preserve">. </w:t>
      </w:r>
      <w:r w:rsidR="00233B3E">
        <w:t xml:space="preserve">The finding of decreased use of mental health services </w:t>
      </w:r>
      <w:r w:rsidR="005822E2">
        <w:t>in the midst of</w:t>
      </w:r>
      <w:r w:rsidR="00233B3E">
        <w:t xml:space="preserve"> pandemic restrictions is somewhat unexpected, given the current focus on </w:t>
      </w:r>
      <w:r w:rsidR="005822E2">
        <w:t xml:space="preserve">acutely </w:t>
      </w:r>
      <w:r w:rsidR="00233B3E">
        <w:t>deteriorating mental health in young people (</w:t>
      </w:r>
      <w:r w:rsidR="00233B3E" w:rsidRPr="2E8D2DF1">
        <w:rPr>
          <w:color w:val="4472C4" w:themeColor="accent1"/>
        </w:rPr>
        <w:t>Son, 2020</w:t>
      </w:r>
      <w:r w:rsidR="00233B3E">
        <w:t>), as well as fears of increased suicide rates (</w:t>
      </w:r>
      <w:r w:rsidR="00233B3E" w:rsidRPr="2E8D2DF1">
        <w:rPr>
          <w:color w:val="4472C4" w:themeColor="accent1"/>
        </w:rPr>
        <w:t>Czeisler, 2020</w:t>
      </w:r>
      <w:r w:rsidR="00233B3E">
        <w:t xml:space="preserve">). The strengths of this study include the use of numerous independent data sources and focus on objective outcomes. It is important to note that we cannot separate the effect of pandemic itself on mental health from the effect of </w:t>
      </w:r>
      <w:r w:rsidR="00233B3E">
        <w:lastRenderedPageBreak/>
        <w:t xml:space="preserve">lockdown interventions. </w:t>
      </w:r>
      <w:r w:rsidR="009B1207">
        <w:t>As an observational study,</w:t>
      </w:r>
      <w:r w:rsidR="00C2604F">
        <w:t xml:space="preserve"> although</w:t>
      </w:r>
      <w:r w:rsidR="009B1207">
        <w:t xml:space="preserve"> </w:t>
      </w:r>
      <w:r w:rsidR="00F04DA9">
        <w:t>th</w:t>
      </w:r>
      <w:r w:rsidR="00C2604F">
        <w:t>ese findings</w:t>
      </w:r>
      <w:r w:rsidR="00F04DA9">
        <w:t xml:space="preserve"> </w:t>
      </w:r>
      <w:r w:rsidR="009B1207">
        <w:t>can describe correlatio</w:t>
      </w:r>
      <w:r w:rsidR="00C2604F">
        <w:t>n</w:t>
      </w:r>
      <w:r w:rsidR="009B1207">
        <w:t xml:space="preserve"> but not infer causation</w:t>
      </w:r>
      <w:r w:rsidR="00C2604F">
        <w:t>, they</w:t>
      </w:r>
      <w:r w:rsidR="009B1207">
        <w:t xml:space="preserve"> will at least be hypothesis generating.</w:t>
      </w:r>
      <w:r w:rsidR="00E77F14">
        <w:t xml:space="preserve"> </w:t>
      </w:r>
    </w:p>
    <w:p w14:paraId="5E78E076" w14:textId="0A996647" w:rsidR="00233B3E" w:rsidRDefault="00F04DA9" w:rsidP="00941B6C">
      <w:pPr>
        <w:pStyle w:val="CommentText"/>
        <w:spacing w:line="276" w:lineRule="auto"/>
        <w:rPr>
          <w:sz w:val="22"/>
          <w:szCs w:val="22"/>
        </w:rPr>
      </w:pPr>
      <w:r w:rsidRPr="000807CB">
        <w:rPr>
          <w:sz w:val="22"/>
          <w:szCs w:val="22"/>
        </w:rPr>
        <w:t>We can speculate that there may be several p</w:t>
      </w:r>
      <w:r w:rsidR="00BA34BA" w:rsidRPr="000807CB">
        <w:rPr>
          <w:sz w:val="22"/>
          <w:szCs w:val="22"/>
        </w:rPr>
        <w:t>otential</w:t>
      </w:r>
      <w:r w:rsidRPr="000807CB">
        <w:rPr>
          <w:sz w:val="22"/>
          <w:szCs w:val="22"/>
        </w:rPr>
        <w:t xml:space="preserve"> contributors</w:t>
      </w:r>
      <w:r w:rsidR="00E06949">
        <w:rPr>
          <w:sz w:val="22"/>
          <w:szCs w:val="22"/>
        </w:rPr>
        <w:t xml:space="preserve"> to this decrease in demand for emergency services</w:t>
      </w:r>
      <w:r w:rsidRPr="000807CB">
        <w:rPr>
          <w:sz w:val="22"/>
          <w:szCs w:val="22"/>
        </w:rPr>
        <w:t>.</w:t>
      </w:r>
      <w:r w:rsidR="00BA34BA" w:rsidRPr="000807CB">
        <w:rPr>
          <w:sz w:val="22"/>
          <w:szCs w:val="22"/>
        </w:rPr>
        <w:t xml:space="preserve"> </w:t>
      </w:r>
      <w:r w:rsidR="00A76B6F" w:rsidRPr="000807CB">
        <w:rPr>
          <w:sz w:val="22"/>
          <w:szCs w:val="22"/>
        </w:rPr>
        <w:t xml:space="preserve">First, the reduction in use of mental health services may be framed as a general reduction in hospital activities, although the concurrent reduction in police calls argues against this. </w:t>
      </w:r>
      <w:r w:rsidR="00233B3E">
        <w:rPr>
          <w:sz w:val="22"/>
          <w:szCs w:val="22"/>
        </w:rPr>
        <w:t xml:space="preserve">Second, the reduction in social gatherings and other opportunities for </w:t>
      </w:r>
      <w:r w:rsidR="00CF4687">
        <w:rPr>
          <w:sz w:val="22"/>
          <w:szCs w:val="22"/>
        </w:rPr>
        <w:t xml:space="preserve">drug and alcohol </w:t>
      </w:r>
      <w:r w:rsidR="00233B3E">
        <w:rPr>
          <w:sz w:val="22"/>
          <w:szCs w:val="22"/>
        </w:rPr>
        <w:t>intoxication and mental health crises may have resulted in an actual reduction in the community burden of mental health morbidity. Third</w:t>
      </w:r>
      <w:r w:rsidR="00A76B6F" w:rsidRPr="000807CB">
        <w:rPr>
          <w:sz w:val="22"/>
          <w:szCs w:val="22"/>
        </w:rPr>
        <w:t xml:space="preserve">, screening points at healthcare facilities, migration to virtual </w:t>
      </w:r>
      <w:r w:rsidR="00233B3E">
        <w:rPr>
          <w:sz w:val="22"/>
          <w:szCs w:val="22"/>
        </w:rPr>
        <w:t>and outpatient visits</w:t>
      </w:r>
      <w:r w:rsidR="00A76B6F" w:rsidRPr="000807CB">
        <w:rPr>
          <w:sz w:val="22"/>
          <w:szCs w:val="22"/>
        </w:rPr>
        <w:t>, and media portrayals of overwhelmed healthcare settings may foster a perception that mental health visits are less of a priority during the pandemic (</w:t>
      </w:r>
      <w:r w:rsidR="00A76B6F" w:rsidRPr="000807CB">
        <w:rPr>
          <w:color w:val="4472C4" w:themeColor="accent1"/>
          <w:sz w:val="22"/>
          <w:szCs w:val="22"/>
        </w:rPr>
        <w:t>Reger, 2020</w:t>
      </w:r>
      <w:r w:rsidR="00A76B6F" w:rsidRPr="000807CB">
        <w:rPr>
          <w:sz w:val="22"/>
          <w:szCs w:val="22"/>
        </w:rPr>
        <w:t xml:space="preserve">). </w:t>
      </w:r>
    </w:p>
    <w:p w14:paraId="5F880F11" w14:textId="49A51DE6" w:rsidR="00A76B6F" w:rsidRPr="000807CB" w:rsidRDefault="00A76B6F" w:rsidP="00941B6C">
      <w:pPr>
        <w:pStyle w:val="CommentText"/>
        <w:spacing w:line="276" w:lineRule="auto"/>
        <w:rPr>
          <w:sz w:val="22"/>
          <w:szCs w:val="22"/>
        </w:rPr>
      </w:pPr>
      <w:r w:rsidRPr="000807CB">
        <w:rPr>
          <w:sz w:val="22"/>
          <w:szCs w:val="22"/>
        </w:rPr>
        <w:t>Related to this, there may be a fear of contamination (</w:t>
      </w:r>
      <w:r w:rsidRPr="000807CB">
        <w:rPr>
          <w:color w:val="4472C4" w:themeColor="accent1"/>
          <w:sz w:val="22"/>
          <w:szCs w:val="22"/>
        </w:rPr>
        <w:t>Capuzzi, 2020</w:t>
      </w:r>
      <w:r w:rsidRPr="000807CB">
        <w:rPr>
          <w:sz w:val="22"/>
          <w:szCs w:val="22"/>
        </w:rPr>
        <w:t xml:space="preserve">) that affects the likelihood of the public to seek help through in-person channels, whether these be emergency departments or police departments. </w:t>
      </w:r>
      <w:r w:rsidR="00436B0D">
        <w:rPr>
          <w:sz w:val="22"/>
          <w:szCs w:val="22"/>
        </w:rPr>
        <w:t>In keeping with this, only 5% of students reporting increased stress and anxiety sought help through mental health counselling (</w:t>
      </w:r>
      <w:r w:rsidR="00436B0D" w:rsidRPr="00436B0D">
        <w:rPr>
          <w:color w:val="4472C4" w:themeColor="accent1"/>
          <w:sz w:val="22"/>
          <w:szCs w:val="22"/>
        </w:rPr>
        <w:t>Son, 2020</w:t>
      </w:r>
      <w:r w:rsidR="00436B0D">
        <w:rPr>
          <w:sz w:val="22"/>
          <w:szCs w:val="22"/>
        </w:rPr>
        <w:t xml:space="preserve">). </w:t>
      </w:r>
      <w:r w:rsidR="00233B3E">
        <w:rPr>
          <w:sz w:val="22"/>
          <w:szCs w:val="22"/>
        </w:rPr>
        <w:t xml:space="preserve">There may also be a change in the threshold for hospitalization, owing to physicians using their discretion to avoid inpatient treatment when possible. </w:t>
      </w:r>
      <w:r w:rsidR="000807CB" w:rsidRPr="000807CB">
        <w:rPr>
          <w:sz w:val="22"/>
          <w:szCs w:val="22"/>
        </w:rPr>
        <w:t xml:space="preserve">Both of the latter can be seen from the perspective of a decreased ability to access care. </w:t>
      </w:r>
      <w:r w:rsidRPr="000807CB">
        <w:rPr>
          <w:sz w:val="22"/>
          <w:szCs w:val="22"/>
        </w:rPr>
        <w:t xml:space="preserve">Finally, we </w:t>
      </w:r>
      <w:r w:rsidR="00042CAE">
        <w:rPr>
          <w:sz w:val="22"/>
          <w:szCs w:val="22"/>
        </w:rPr>
        <w:t xml:space="preserve">can </w:t>
      </w:r>
      <w:r w:rsidRPr="000807CB">
        <w:rPr>
          <w:sz w:val="22"/>
          <w:szCs w:val="22"/>
        </w:rPr>
        <w:t>speculate that there may be decreased reporting of mental health and social crises through traditional sources (</w:t>
      </w:r>
      <w:proofErr w:type="gramStart"/>
      <w:r w:rsidRPr="000807CB">
        <w:rPr>
          <w:sz w:val="22"/>
          <w:szCs w:val="22"/>
        </w:rPr>
        <w:t>i.e.</w:t>
      </w:r>
      <w:proofErr w:type="gramEnd"/>
      <w:r w:rsidRPr="000807CB">
        <w:rPr>
          <w:sz w:val="22"/>
          <w:szCs w:val="22"/>
        </w:rPr>
        <w:t xml:space="preserve"> child abuse and domestic abuse from teachers, family physicians, and other sources in community). </w:t>
      </w:r>
    </w:p>
    <w:p w14:paraId="13C86AD9" w14:textId="445C9561" w:rsidR="00BA34BA" w:rsidRDefault="00F04DA9" w:rsidP="00941B6C">
      <w:pPr>
        <w:spacing w:line="276" w:lineRule="auto"/>
      </w:pPr>
      <w:r w:rsidRPr="000807CB">
        <w:t xml:space="preserve">Specific to the Kitchener-Waterloo region, we note the </w:t>
      </w:r>
      <w:r w:rsidR="005822E2">
        <w:t xml:space="preserve">relatively </w:t>
      </w:r>
      <w:r w:rsidRPr="000807CB">
        <w:t xml:space="preserve">low </w:t>
      </w:r>
      <w:r w:rsidR="00912AF1">
        <w:t xml:space="preserve">population </w:t>
      </w:r>
      <w:r w:rsidRPr="000807CB">
        <w:t xml:space="preserve">density of the region, meaning that many have access to backyards, patios, and green space that </w:t>
      </w:r>
      <w:r w:rsidR="003D135A" w:rsidRPr="000807CB">
        <w:t>may</w:t>
      </w:r>
      <w:r w:rsidR="003D135A">
        <w:t xml:space="preserve"> be</w:t>
      </w:r>
      <w:r>
        <w:t xml:space="preserve"> unavailable to </w:t>
      </w:r>
      <w:r w:rsidR="00BA34BA">
        <w:t>those</w:t>
      </w:r>
      <w:r w:rsidR="003D135A">
        <w:t xml:space="preserve"> living</w:t>
      </w:r>
      <w:r w:rsidR="00BA34BA">
        <w:t xml:space="preserve"> in </w:t>
      </w:r>
      <w:r>
        <w:t>larger and more urban cities</w:t>
      </w:r>
      <w:r w:rsidR="005F5168">
        <w:t xml:space="preserve">. </w:t>
      </w:r>
      <w:r w:rsidR="00A76B6F">
        <w:t xml:space="preserve">We also cannot </w:t>
      </w:r>
      <w:r w:rsidR="005822E2">
        <w:t>dismiss</w:t>
      </w:r>
      <w:r w:rsidR="00A76B6F">
        <w:t xml:space="preserve"> t</w:t>
      </w:r>
      <w:r w:rsidR="005F5168">
        <w:t>he role of resilience</w:t>
      </w:r>
      <w:r w:rsidR="00A76B6F">
        <w:t xml:space="preserve"> during the </w:t>
      </w:r>
      <w:r w:rsidR="005822E2">
        <w:t xml:space="preserve">shared </w:t>
      </w:r>
      <w:r w:rsidR="00A76B6F">
        <w:t>experience of a common disaster</w:t>
      </w:r>
      <w:r w:rsidR="005F5168">
        <w:t xml:space="preserve">. Stress reactions resulting in visits to the Emergency Department were relatively uncommon. </w:t>
      </w:r>
    </w:p>
    <w:p w14:paraId="0E3567C3" w14:textId="79BFC97D" w:rsidR="00926060" w:rsidRDefault="00926060" w:rsidP="00941B6C">
      <w:pPr>
        <w:spacing w:line="276" w:lineRule="auto"/>
        <w:rPr>
          <w:b/>
          <w:bCs/>
        </w:rPr>
      </w:pPr>
    </w:p>
    <w:p w14:paraId="71FB08A5" w14:textId="05320D85" w:rsidR="00B27ABD" w:rsidRPr="00B27ABD" w:rsidRDefault="005F5168" w:rsidP="00941B6C">
      <w:pPr>
        <w:spacing w:line="276" w:lineRule="auto"/>
        <w:rPr>
          <w:b/>
          <w:bCs/>
        </w:rPr>
      </w:pPr>
      <w:r w:rsidRPr="00B27ABD">
        <w:rPr>
          <w:b/>
          <w:bCs/>
        </w:rPr>
        <w:t>Limitation</w:t>
      </w:r>
      <w:r w:rsidR="00B27ABD" w:rsidRPr="00B27ABD">
        <w:rPr>
          <w:b/>
          <w:bCs/>
        </w:rPr>
        <w:t>s</w:t>
      </w:r>
      <w:r w:rsidR="00B1089C">
        <w:rPr>
          <w:b/>
          <w:bCs/>
        </w:rPr>
        <w:t xml:space="preserve"> and future directions</w:t>
      </w:r>
    </w:p>
    <w:p w14:paraId="693AF21E" w14:textId="07393BA5" w:rsidR="005F5168" w:rsidRDefault="00E77F14" w:rsidP="00941B6C">
      <w:pPr>
        <w:spacing w:line="276" w:lineRule="auto"/>
      </w:pPr>
      <w:r>
        <w:t xml:space="preserve">This study is not without limitations. </w:t>
      </w:r>
      <w:r w:rsidR="0069672C">
        <w:t xml:space="preserve">These include the </w:t>
      </w:r>
      <w:r w:rsidR="004358AE">
        <w:t xml:space="preserve">inherent </w:t>
      </w:r>
      <w:r w:rsidR="0069672C">
        <w:t>l</w:t>
      </w:r>
      <w:r w:rsidR="005F5168">
        <w:t xml:space="preserve">imitations of </w:t>
      </w:r>
      <w:r w:rsidR="0069672C">
        <w:t xml:space="preserve">NACRS anonymous </w:t>
      </w:r>
      <w:r w:rsidR="005F5168">
        <w:t>cod</w:t>
      </w:r>
      <w:r w:rsidR="0069672C">
        <w:t xml:space="preserve">ed </w:t>
      </w:r>
      <w:r w:rsidR="003A397B">
        <w:t xml:space="preserve">diagnostic </w:t>
      </w:r>
      <w:r w:rsidR="0069672C">
        <w:t>data, which precluded detailed chart review</w:t>
      </w:r>
      <w:r w:rsidR="00462F71">
        <w:t xml:space="preserve"> and </w:t>
      </w:r>
      <w:r w:rsidR="004358AE">
        <w:t xml:space="preserve">demographic </w:t>
      </w:r>
      <w:r w:rsidR="00462F71">
        <w:t xml:space="preserve">analysis of </w:t>
      </w:r>
      <w:r w:rsidR="003A397B">
        <w:t>age, gender, and ethnicity</w:t>
      </w:r>
      <w:r>
        <w:t>.</w:t>
      </w:r>
      <w:r w:rsidR="005F5168">
        <w:t xml:space="preserve"> </w:t>
      </w:r>
      <w:r>
        <w:t>We also lacked</w:t>
      </w:r>
      <w:r w:rsidR="005F5168">
        <w:t xml:space="preserve"> coroner’s data </w:t>
      </w:r>
      <w:r w:rsidR="0069672C">
        <w:t>on completed suicides and deaths due to non-opioid overdoses</w:t>
      </w:r>
      <w:r>
        <w:t>.</w:t>
      </w:r>
      <w:r w:rsidR="006533E3">
        <w:t xml:space="preserve"> We cannot exclude that patients may have sought help from other sources outside the community, including outside crisis lines and virtual sources.</w:t>
      </w:r>
      <w:r w:rsidR="003A397B">
        <w:t xml:space="preserve"> Similarly, it is unclear whether these results are generalizable outside the context of the Kitchener-Waterloo urban region.</w:t>
      </w:r>
      <w:r w:rsidR="00CF4687">
        <w:t xml:space="preserve"> Further studies are needed to determine how these effects</w:t>
      </w:r>
      <w:r w:rsidR="005948BF">
        <w:t xml:space="preserve"> will</w:t>
      </w:r>
      <w:r w:rsidR="00CF4687">
        <w:t xml:space="preserve"> unfold as both the pandemic and lockdown restrictions continue in the Kitchener-Waterloo region and elsewhere. </w:t>
      </w:r>
    </w:p>
    <w:p w14:paraId="772F77A7" w14:textId="77777777" w:rsidR="00B27ABD" w:rsidRDefault="00B27ABD" w:rsidP="00941B6C">
      <w:pPr>
        <w:spacing w:line="276" w:lineRule="auto"/>
      </w:pPr>
    </w:p>
    <w:p w14:paraId="26DEFCCE" w14:textId="77777777" w:rsidR="00B27ABD" w:rsidRPr="00B27ABD" w:rsidRDefault="00B27ABD" w:rsidP="00941B6C">
      <w:pPr>
        <w:spacing w:line="276" w:lineRule="auto"/>
        <w:rPr>
          <w:b/>
          <w:bCs/>
        </w:rPr>
      </w:pPr>
      <w:r w:rsidRPr="00B27ABD">
        <w:rPr>
          <w:b/>
          <w:bCs/>
        </w:rPr>
        <w:t>Conclusion</w:t>
      </w:r>
    </w:p>
    <w:p w14:paraId="28894858" w14:textId="2AE24DA6" w:rsidR="007B62AE" w:rsidRDefault="007B62AE" w:rsidP="00941B6C">
      <w:pPr>
        <w:spacing w:line="276" w:lineRule="auto"/>
      </w:pPr>
      <w:r>
        <w:lastRenderedPageBreak/>
        <w:t xml:space="preserve">This observational study provides preliminary data to quantify the potential mental health and social impacts of </w:t>
      </w:r>
      <w:r w:rsidR="00714E0B">
        <w:t>lockdowns</w:t>
      </w:r>
      <w:r>
        <w:t>. The results may inform public policy decisions regarding the scope and scale of such decisions in future pandemic responses and allow a more accurate assessment of measurable harms</w:t>
      </w:r>
      <w:r w:rsidR="00714E0B">
        <w:t xml:space="preserve"> of lockdowns</w:t>
      </w:r>
      <w:r>
        <w:t xml:space="preserve"> versus anticipated benefit. </w:t>
      </w:r>
    </w:p>
    <w:p w14:paraId="0BA516CD" w14:textId="57685A83" w:rsidR="00BF48D9" w:rsidRDefault="00BF48D9" w:rsidP="00941B6C">
      <w:pPr>
        <w:spacing w:line="276" w:lineRule="auto"/>
      </w:pPr>
    </w:p>
    <w:p w14:paraId="59653B97" w14:textId="76E5BA2A" w:rsidR="00BF48D9" w:rsidRPr="00BF48D9" w:rsidRDefault="00BF48D9" w:rsidP="00941B6C">
      <w:pPr>
        <w:spacing w:line="276" w:lineRule="auto"/>
        <w:rPr>
          <w:b/>
          <w:bCs/>
        </w:rPr>
      </w:pPr>
      <w:r w:rsidRPr="00BF48D9">
        <w:rPr>
          <w:b/>
          <w:bCs/>
        </w:rPr>
        <w:t>Acknowledgements</w:t>
      </w:r>
    </w:p>
    <w:p w14:paraId="6623D4EB" w14:textId="786F5769" w:rsidR="00BF48D9" w:rsidRDefault="007E3739" w:rsidP="00941B6C">
      <w:pPr>
        <w:spacing w:line="276" w:lineRule="auto"/>
      </w:pPr>
      <w:r>
        <w:t>Contacts</w:t>
      </w:r>
      <w:r w:rsidR="00BF48D9">
        <w:t xml:space="preserve"> from three hospitals and health records departments.</w:t>
      </w:r>
      <w:r>
        <w:t xml:space="preserve"> Contacts at Waterloo Regional Police</w:t>
      </w:r>
      <w:r w:rsidR="00C675EB">
        <w:t>, EMS,</w:t>
      </w:r>
      <w:r>
        <w:t xml:space="preserve"> and Here 24/7. </w:t>
      </w:r>
    </w:p>
    <w:p w14:paraId="1C5A2E59" w14:textId="77777777" w:rsidR="002F5D9A" w:rsidRDefault="002F5D9A" w:rsidP="00941B6C">
      <w:pPr>
        <w:spacing w:line="276" w:lineRule="auto"/>
      </w:pPr>
    </w:p>
    <w:p w14:paraId="42C366CC" w14:textId="03805816" w:rsidR="00F15A20" w:rsidRPr="00F15A20" w:rsidRDefault="00B27ABD" w:rsidP="00941B6C">
      <w:pPr>
        <w:spacing w:line="276" w:lineRule="auto"/>
        <w:rPr>
          <w:b/>
          <w:bCs/>
        </w:rPr>
      </w:pPr>
      <w:r>
        <w:rPr>
          <w:b/>
          <w:bCs/>
        </w:rPr>
        <w:t>References</w:t>
      </w:r>
    </w:p>
    <w:p w14:paraId="67F67E84" w14:textId="13E4E941" w:rsidR="004B003F" w:rsidRPr="0094612F" w:rsidRDefault="004B003F" w:rsidP="00941B6C">
      <w:pPr>
        <w:pStyle w:val="ListParagraph"/>
        <w:numPr>
          <w:ilvl w:val="0"/>
          <w:numId w:val="1"/>
        </w:numPr>
        <w:shd w:val="clear" w:color="auto" w:fill="FFFFFF"/>
        <w:spacing w:line="276" w:lineRule="auto"/>
        <w:rPr>
          <w:rStyle w:val="Hyperlink"/>
          <w:rFonts w:cstheme="minorHAnsi"/>
          <w:color w:val="auto"/>
          <w:u w:val="none"/>
        </w:rPr>
      </w:pPr>
      <w:r w:rsidRPr="00131F76">
        <w:rPr>
          <w:rFonts w:cstheme="minorHAnsi"/>
          <w:color w:val="222222"/>
          <w:shd w:val="clear" w:color="auto" w:fill="FFFFFF"/>
        </w:rPr>
        <w:t>Fong MW, Gao H, Wong JY, Xiao J, Shiu EYC, Ryu S, et al. Nonpharmaceutical measures for pandemic influenza in nonhealthcare settings—social distancing measures. Emerg Infect Dis. 2020 May. </w:t>
      </w:r>
      <w:hyperlink r:id="rId17" w:tgtFrame="_blank" w:history="1">
        <w:r w:rsidRPr="00131F76">
          <w:rPr>
            <w:rStyle w:val="Hyperlink"/>
            <w:rFonts w:cstheme="minorHAnsi"/>
            <w:color w:val="0000EE"/>
            <w:shd w:val="clear" w:color="auto" w:fill="FFFFFF"/>
          </w:rPr>
          <w:t>https://doi.org/10.3201/eid2605.190995</w:t>
        </w:r>
      </w:hyperlink>
    </w:p>
    <w:p w14:paraId="0FF1D2A5" w14:textId="61D8C6D1" w:rsidR="00D65D02" w:rsidRPr="004B003F" w:rsidRDefault="002B4829" w:rsidP="00941B6C">
      <w:pPr>
        <w:pStyle w:val="ListParagraph"/>
        <w:numPr>
          <w:ilvl w:val="0"/>
          <w:numId w:val="1"/>
        </w:numPr>
        <w:shd w:val="clear" w:color="auto" w:fill="FFFFFF"/>
        <w:spacing w:line="276" w:lineRule="auto"/>
        <w:rPr>
          <w:rStyle w:val="Hyperlink"/>
          <w:rFonts w:eastAsia="Times New Roman" w:cstheme="minorHAnsi"/>
          <w:color w:val="222222"/>
          <w:u w:val="none"/>
          <w:lang w:eastAsia="en-CA"/>
        </w:rPr>
      </w:pPr>
      <w:r w:rsidRPr="004B003F">
        <w:rPr>
          <w:rFonts w:cstheme="minorHAnsi"/>
          <w:color w:val="333333"/>
          <w:shd w:val="clear" w:color="auto" w:fill="FFFFFF"/>
        </w:rPr>
        <w:t>Maharaj, S., Kleczkowski, A. Controlling epidemic spread by social distancing: Do it well or not at all. </w:t>
      </w:r>
      <w:r w:rsidRPr="004B003F">
        <w:rPr>
          <w:rFonts w:cstheme="minorHAnsi"/>
          <w:i/>
          <w:iCs/>
          <w:color w:val="333333"/>
          <w:shd w:val="clear" w:color="auto" w:fill="FFFFFF"/>
        </w:rPr>
        <w:t>BMC Public Health</w:t>
      </w:r>
      <w:r w:rsidRPr="004B003F">
        <w:rPr>
          <w:rFonts w:cstheme="minorHAnsi"/>
          <w:color w:val="333333"/>
          <w:shd w:val="clear" w:color="auto" w:fill="FFFFFF"/>
        </w:rPr>
        <w:t> </w:t>
      </w:r>
      <w:r w:rsidRPr="004B003F">
        <w:rPr>
          <w:rFonts w:cstheme="minorHAnsi"/>
          <w:b/>
          <w:bCs/>
          <w:color w:val="333333"/>
          <w:shd w:val="clear" w:color="auto" w:fill="FFFFFF"/>
        </w:rPr>
        <w:t>12, </w:t>
      </w:r>
      <w:r w:rsidRPr="004B003F">
        <w:rPr>
          <w:rFonts w:cstheme="minorHAnsi"/>
          <w:color w:val="333333"/>
          <w:shd w:val="clear" w:color="auto" w:fill="FFFFFF"/>
        </w:rPr>
        <w:t xml:space="preserve">679 (2012). </w:t>
      </w:r>
      <w:hyperlink r:id="rId18" w:history="1">
        <w:r w:rsidRPr="004B003F">
          <w:rPr>
            <w:rStyle w:val="Hyperlink"/>
            <w:rFonts w:cstheme="minorHAnsi"/>
            <w:shd w:val="clear" w:color="auto" w:fill="FFFFFF"/>
          </w:rPr>
          <w:t>https://doi.org/10.1186/1471-2458-12-679</w:t>
        </w:r>
      </w:hyperlink>
    </w:p>
    <w:p w14:paraId="54503DBB" w14:textId="4690573A" w:rsidR="004B003F" w:rsidRPr="004B003F" w:rsidRDefault="004B003F" w:rsidP="00941B6C">
      <w:pPr>
        <w:pStyle w:val="ListParagraph"/>
        <w:numPr>
          <w:ilvl w:val="0"/>
          <w:numId w:val="1"/>
        </w:numPr>
        <w:spacing w:line="276" w:lineRule="auto"/>
        <w:rPr>
          <w:rStyle w:val="Hyperlink"/>
          <w:color w:val="auto"/>
          <w:u w:val="none"/>
        </w:rPr>
      </w:pPr>
      <w:r w:rsidRPr="003413F8">
        <w:t>Wilder-Smith,</w:t>
      </w:r>
      <w:r>
        <w:t xml:space="preserve"> A</w:t>
      </w:r>
      <w:r w:rsidRPr="003413F8">
        <w:t>, Freedman</w:t>
      </w:r>
      <w:r>
        <w:t>, DO</w:t>
      </w:r>
      <w:r w:rsidRPr="003413F8">
        <w:t>, Isolation, quarantine, social distancing and community containment: pivotal role for old-style public health measures in the novel coronavirus (2019-nCoV) outbreak, Journal of Travel Medicine, 27</w:t>
      </w:r>
      <w:r>
        <w:t xml:space="preserve"> (</w:t>
      </w:r>
      <w:r w:rsidRPr="003413F8">
        <w:t>2</w:t>
      </w:r>
      <w:r>
        <w:t>)</w:t>
      </w:r>
      <w:r w:rsidRPr="003413F8">
        <w:t>, March 2020, taaa020, </w:t>
      </w:r>
      <w:hyperlink r:id="rId19" w:tgtFrame="_blank" w:history="1">
        <w:r w:rsidRPr="003413F8">
          <w:rPr>
            <w:rStyle w:val="Hyperlink"/>
          </w:rPr>
          <w:t>https://doi.org/10.1093/jtm/taaa020</w:t>
        </w:r>
      </w:hyperlink>
    </w:p>
    <w:p w14:paraId="060B0195" w14:textId="77777777" w:rsidR="00A12601" w:rsidRPr="003413F8" w:rsidRDefault="00A12601" w:rsidP="00941B6C">
      <w:pPr>
        <w:pStyle w:val="ListParagraph"/>
        <w:numPr>
          <w:ilvl w:val="0"/>
          <w:numId w:val="1"/>
        </w:numPr>
        <w:spacing w:line="276" w:lineRule="auto"/>
      </w:pPr>
      <w:r>
        <w:t xml:space="preserve">Bensimon, CM and Upshur, REG. </w:t>
      </w:r>
      <w:r w:rsidRPr="003413F8">
        <w:t>Am J Public Health. 2007 April; 97(Suppl 1): S44–S48.</w:t>
      </w:r>
      <w:r>
        <w:t xml:space="preserve"> </w:t>
      </w:r>
      <w:r w:rsidRPr="003413F8">
        <w:t>doi: </w:t>
      </w:r>
      <w:hyperlink r:id="rId20" w:tgtFrame="_blank" w:history="1">
        <w:r w:rsidRPr="003413F8">
          <w:rPr>
            <w:rStyle w:val="Hyperlink"/>
          </w:rPr>
          <w:t>10.2105/AJPH.2005.077305</w:t>
        </w:r>
      </w:hyperlink>
    </w:p>
    <w:p w14:paraId="18295E15" w14:textId="5F128BFA" w:rsidR="00A12601" w:rsidRDefault="00A12601" w:rsidP="00941B6C">
      <w:pPr>
        <w:pStyle w:val="ListParagraph"/>
        <w:numPr>
          <w:ilvl w:val="0"/>
          <w:numId w:val="1"/>
        </w:numPr>
        <w:spacing w:line="276" w:lineRule="auto"/>
      </w:pPr>
      <w:r>
        <w:t>Kass, NE. An ethics framework for public health. Am J Public Health. 2001; 91: 1780.</w:t>
      </w:r>
    </w:p>
    <w:p w14:paraId="6590E144" w14:textId="09F34F67" w:rsidR="00A12601" w:rsidRPr="004B003F" w:rsidRDefault="00A12601" w:rsidP="00941B6C">
      <w:pPr>
        <w:pStyle w:val="ListParagraph"/>
        <w:numPr>
          <w:ilvl w:val="0"/>
          <w:numId w:val="1"/>
        </w:numPr>
        <w:spacing w:line="276" w:lineRule="auto"/>
      </w:pPr>
      <w:r w:rsidRPr="00325185">
        <w:rPr>
          <w:lang w:val="fr-CA"/>
        </w:rPr>
        <w:t xml:space="preserve">Ferguson NM, Laydon D, Nedjati-Gilani G, Imai N, Ainslie K, Baguelin M, et al. 2020. </w:t>
      </w:r>
      <w:r w:rsidRPr="003413F8">
        <w:t>Impact of non-pharmaceutical interventions (NPIs) to reduce COVID19 mortality and healthcare demand. </w:t>
      </w:r>
      <w:hyperlink r:id="rId21" w:tgtFrame="_blank" w:history="1">
        <w:r w:rsidRPr="003413F8">
          <w:rPr>
            <w:rStyle w:val="Hyperlink"/>
          </w:rPr>
          <w:t>https://www.imperial.ac.uk/media/imperial-college/medicine/sph/ide/gida-fellowships/Imperial-College-COVID19-NPI-modelling-16-03-2020.pdf</w:t>
        </w:r>
      </w:hyperlink>
    </w:p>
    <w:p w14:paraId="450E0D08" w14:textId="25578698" w:rsidR="00B007C6" w:rsidRDefault="00B007C6" w:rsidP="00941B6C">
      <w:pPr>
        <w:pStyle w:val="ListParagraph"/>
        <w:numPr>
          <w:ilvl w:val="0"/>
          <w:numId w:val="1"/>
        </w:numPr>
        <w:spacing w:line="276" w:lineRule="auto"/>
      </w:pPr>
      <w:r>
        <w:t>Petherick, A, Hale, T, and Phillips, T. Variation in government responses to COVID-19. BSG Working Paper Series. 2020.</w:t>
      </w:r>
    </w:p>
    <w:p w14:paraId="29D3380E" w14:textId="44CE74DC" w:rsidR="00622DBF" w:rsidRDefault="00622DBF" w:rsidP="00941B6C">
      <w:pPr>
        <w:pStyle w:val="ListParagraph"/>
        <w:numPr>
          <w:ilvl w:val="0"/>
          <w:numId w:val="1"/>
        </w:numPr>
        <w:spacing w:line="276" w:lineRule="auto"/>
      </w:pPr>
      <w:r>
        <w:t>Islam, N, et al. 2020. Physical distancing interventions and incidence of coronavirus disease 2019: natural experiment in 149 countries. BMJ. 370:m2743. doi: 10.1136/bmj.m2743.</w:t>
      </w:r>
    </w:p>
    <w:p w14:paraId="5882F503" w14:textId="25EEB4D6" w:rsidR="00A06CFC" w:rsidRDefault="000648FE" w:rsidP="00941B6C">
      <w:pPr>
        <w:pStyle w:val="ListParagraph"/>
        <w:numPr>
          <w:ilvl w:val="0"/>
          <w:numId w:val="1"/>
        </w:numPr>
        <w:shd w:val="clear" w:color="auto" w:fill="FFFFFF"/>
        <w:spacing w:line="276" w:lineRule="auto"/>
        <w:rPr>
          <w:rFonts w:cstheme="minorHAnsi"/>
          <w:color w:val="333333"/>
          <w:shd w:val="clear" w:color="auto" w:fill="FFFFFF"/>
        </w:rPr>
      </w:pPr>
      <w:r w:rsidRPr="00131F76">
        <w:rPr>
          <w:rFonts w:cstheme="minorHAnsi"/>
          <w:color w:val="333333"/>
          <w:shd w:val="clear" w:color="auto" w:fill="FFFFFF"/>
        </w:rPr>
        <w:t xml:space="preserve">Holt-Lunstad, J, Smith TB, and Layton. </w:t>
      </w:r>
      <w:r w:rsidR="00B007C6">
        <w:rPr>
          <w:rFonts w:cstheme="minorHAnsi"/>
          <w:color w:val="333333"/>
          <w:shd w:val="clear" w:color="auto" w:fill="FFFFFF"/>
        </w:rPr>
        <w:t xml:space="preserve">2010. </w:t>
      </w:r>
      <w:r w:rsidRPr="00131F76">
        <w:rPr>
          <w:rFonts w:cstheme="minorHAnsi"/>
          <w:color w:val="333333"/>
          <w:shd w:val="clear" w:color="auto" w:fill="FFFFFF"/>
        </w:rPr>
        <w:t xml:space="preserve">Social relationships and mortality risk: a meta-analytic review. </w:t>
      </w:r>
      <w:r w:rsidR="00382865" w:rsidRPr="00131F76">
        <w:rPr>
          <w:rFonts w:cstheme="minorHAnsi"/>
          <w:color w:val="333333"/>
          <w:shd w:val="clear" w:color="auto" w:fill="FFFFFF"/>
        </w:rPr>
        <w:t>PLoS Medicine.</w:t>
      </w:r>
    </w:p>
    <w:p w14:paraId="519C3355" w14:textId="717A21EF" w:rsidR="00C978B0" w:rsidRDefault="00C978B0" w:rsidP="00941B6C">
      <w:pPr>
        <w:pStyle w:val="ListParagraph"/>
        <w:numPr>
          <w:ilvl w:val="0"/>
          <w:numId w:val="1"/>
        </w:numPr>
        <w:spacing w:line="276" w:lineRule="auto"/>
      </w:pPr>
      <w:r>
        <w:t>Deming, J. A community profile on suicide and self-harm in Waterloo Region. Waterloo Region Suicide Prevention Council Research Committee. 2019.</w:t>
      </w:r>
    </w:p>
    <w:p w14:paraId="7574C5A2" w14:textId="60E4074A" w:rsidR="00C978B0" w:rsidRPr="00C978B0" w:rsidRDefault="00C978B0" w:rsidP="00941B6C">
      <w:pPr>
        <w:pStyle w:val="ListParagraph"/>
        <w:numPr>
          <w:ilvl w:val="0"/>
          <w:numId w:val="1"/>
        </w:numPr>
        <w:spacing w:line="276" w:lineRule="auto"/>
      </w:pPr>
      <w:r w:rsidRPr="003413F8">
        <w:t>Interventions for Community Containment.</w:t>
      </w:r>
      <w:r>
        <w:t xml:space="preserve"> 2004. Centres for Disease Control</w:t>
      </w:r>
      <w:r w:rsidRPr="003413F8">
        <w:t> </w:t>
      </w:r>
      <w:hyperlink r:id="rId22" w:tgtFrame="_blank" w:history="1">
        <w:r w:rsidRPr="003413F8">
          <w:rPr>
            <w:rStyle w:val="Hyperlink"/>
          </w:rPr>
          <w:t>https://www.cdc.gov/sars/guidance/d-quarantine/app1.html</w:t>
        </w:r>
      </w:hyperlink>
      <w:r w:rsidRPr="003413F8">
        <w:t> accessed 14 February 2020.</w:t>
      </w:r>
    </w:p>
    <w:p w14:paraId="1F02D8D7" w14:textId="479A9358" w:rsidR="00434504" w:rsidRDefault="00434504" w:rsidP="00941B6C">
      <w:pPr>
        <w:pStyle w:val="ListParagraph"/>
        <w:numPr>
          <w:ilvl w:val="0"/>
          <w:numId w:val="1"/>
        </w:numPr>
        <w:spacing w:line="276" w:lineRule="auto"/>
      </w:pPr>
      <w:r>
        <w:lastRenderedPageBreak/>
        <w:t>Flaxman, S,</w:t>
      </w:r>
      <w:r w:rsidR="003C5F89">
        <w:t xml:space="preserve"> Mishra, S, Gandy, A,</w:t>
      </w:r>
      <w:r>
        <w:t xml:space="preserve"> et al. Estimating the number of infections and the impact of non-pharmaceutical interventions on COVID-19 in 11 European countries. Imperial College COVID-19 Response Team. 2020. </w:t>
      </w:r>
      <w:hyperlink r:id="rId23" w:history="1">
        <w:r w:rsidR="00336DD9" w:rsidRPr="008E7472">
          <w:rPr>
            <w:rStyle w:val="Hyperlink"/>
          </w:rPr>
          <w:t>https://doi.org/10.25561/77731</w:t>
        </w:r>
      </w:hyperlink>
    </w:p>
    <w:p w14:paraId="52FBFFA4" w14:textId="47303A84" w:rsidR="0007161D" w:rsidRDefault="0007161D" w:rsidP="00941B6C">
      <w:pPr>
        <w:pStyle w:val="ListParagraph"/>
        <w:numPr>
          <w:ilvl w:val="0"/>
          <w:numId w:val="1"/>
        </w:numPr>
        <w:spacing w:line="276" w:lineRule="auto"/>
      </w:pPr>
      <w:r>
        <w:t>Brooks, SK, Webster, RK, Smith, LE, et al. 2020. The psychological impact of quarantine and how to reduce it: rapid review of the evidence. The Lancet 395 (10227): 912-920.</w:t>
      </w:r>
    </w:p>
    <w:p w14:paraId="2041B8AA" w14:textId="7AA3116D" w:rsidR="000F684F" w:rsidRDefault="000F684F" w:rsidP="00941B6C">
      <w:pPr>
        <w:pStyle w:val="ListParagraph"/>
        <w:numPr>
          <w:ilvl w:val="0"/>
          <w:numId w:val="1"/>
        </w:numPr>
        <w:spacing w:line="276" w:lineRule="auto"/>
      </w:pPr>
      <w:r>
        <w:t>Reger, MA, Stanley, IH, Joiner, TE. 2020. Suicide mortality and coronavirus disease 2019 – a perfect storm? JAMA Psychiatry 77(11): 1093-1094. Doi: 10.1001/jamapsychiatry.2020.1060.</w:t>
      </w:r>
    </w:p>
    <w:p w14:paraId="2F0EBCBD" w14:textId="56BF850E" w:rsidR="00CA7752" w:rsidRDefault="00CA7752" w:rsidP="00941B6C">
      <w:pPr>
        <w:pStyle w:val="ListParagraph"/>
        <w:numPr>
          <w:ilvl w:val="0"/>
          <w:numId w:val="1"/>
        </w:numPr>
        <w:spacing w:line="276" w:lineRule="auto"/>
      </w:pPr>
      <w:r>
        <w:t>Oxford COVID-19 Government Response Tracker, BBC Research.</w:t>
      </w:r>
    </w:p>
    <w:p w14:paraId="0C604BDF" w14:textId="6040C101" w:rsidR="00D81E3A" w:rsidRDefault="00D81E3A" w:rsidP="00941B6C">
      <w:pPr>
        <w:pStyle w:val="ListParagraph"/>
        <w:numPr>
          <w:ilvl w:val="0"/>
          <w:numId w:val="1"/>
        </w:numPr>
        <w:spacing w:line="276" w:lineRule="auto"/>
      </w:pPr>
      <w:r>
        <w:t>Bradley, NL, DiPasquale, AM, Dillabough, K, and Schneider, PS. Health care practitioners’ responsibility to address intimate partner violence related to the COVID-19 pandemic. Canadian Medical Association Journal 2020 June 1;</w:t>
      </w:r>
      <w:proofErr w:type="gramStart"/>
      <w:r>
        <w:t>192:E</w:t>
      </w:r>
      <w:proofErr w:type="gramEnd"/>
      <w:r>
        <w:t>609-10 doi: 10.1503/CMAJ.200634</w:t>
      </w:r>
    </w:p>
    <w:p w14:paraId="2F392020" w14:textId="25D1F08A" w:rsidR="00D32F03" w:rsidRDefault="00D32F03" w:rsidP="00941B6C">
      <w:pPr>
        <w:pStyle w:val="ListParagraph"/>
        <w:numPr>
          <w:ilvl w:val="0"/>
          <w:numId w:val="1"/>
        </w:numPr>
        <w:spacing w:line="276" w:lineRule="auto"/>
      </w:pPr>
      <w:r>
        <w:t>Capuzzi, E, Di Brita, C, et al. 2020. Psychiatric emergency care during Coronavirus 2019 (COVID 19) pandemic lockdown: results from a Department of Mental Health and Addiction of northern Italy. Psychiatry Research 293: 113463. Doi: 10.1016/j.psychres.2020.113463.</w:t>
      </w:r>
    </w:p>
    <w:p w14:paraId="0205A625" w14:textId="3E68F4DF" w:rsidR="00C351F3" w:rsidRDefault="00C351F3" w:rsidP="00941B6C">
      <w:pPr>
        <w:pStyle w:val="ListParagraph"/>
        <w:numPr>
          <w:ilvl w:val="0"/>
          <w:numId w:val="1"/>
        </w:numPr>
        <w:spacing w:line="276" w:lineRule="auto"/>
      </w:pPr>
      <w:r>
        <w:t>Mahase, E. Covid-19: EU states report 60% rise in emergency calls about domestic violence. BMJ 369:m1872. Doi: 10/1136/bmj.m1872.</w:t>
      </w:r>
    </w:p>
    <w:p w14:paraId="5B86F01E" w14:textId="69717519" w:rsidR="00CB10C9" w:rsidRDefault="00CB10C9" w:rsidP="00941B6C">
      <w:pPr>
        <w:pStyle w:val="ListParagraph"/>
        <w:numPr>
          <w:ilvl w:val="0"/>
          <w:numId w:val="1"/>
        </w:numPr>
        <w:spacing w:line="276" w:lineRule="auto"/>
      </w:pPr>
      <w:r>
        <w:t xml:space="preserve">Patel, Raisa. Minister says COVID-19 is empowering domestic violence abusers as rates rise in parts of Canada. Retrieved from </w:t>
      </w:r>
      <w:hyperlink r:id="rId24" w:history="1">
        <w:r w:rsidRPr="00DB690A">
          <w:rPr>
            <w:rStyle w:val="Hyperlink"/>
          </w:rPr>
          <w:t>https://www.cbc.ca/news/politics/domestic-violence -rates rising-due-to-covid19-1.5545851</w:t>
        </w:r>
      </w:hyperlink>
      <w:r>
        <w:t xml:space="preserve"> on November 17, 2020.</w:t>
      </w:r>
    </w:p>
    <w:p w14:paraId="40A63472" w14:textId="65ECC341" w:rsidR="00F7542C" w:rsidRDefault="00F7542C" w:rsidP="00941B6C">
      <w:pPr>
        <w:pStyle w:val="ListParagraph"/>
        <w:numPr>
          <w:ilvl w:val="0"/>
          <w:numId w:val="1"/>
        </w:numPr>
        <w:spacing w:line="276" w:lineRule="auto"/>
      </w:pPr>
      <w:r>
        <w:t>Clerici, M, Durbano, et al. 2020. Psychiatric hospitalization rates in Italy before and during COVID-19: did they change? An analysis of register data. Irish Journal of Psychological Medicine 1-8. Doi: 10.1017/ipm.2020.29</w:t>
      </w:r>
      <w:r w:rsidR="009E07DE">
        <w:t>.</w:t>
      </w:r>
    </w:p>
    <w:p w14:paraId="470B8275" w14:textId="79FB56C1" w:rsidR="009E07DE" w:rsidRDefault="009E07DE" w:rsidP="00941B6C">
      <w:pPr>
        <w:pStyle w:val="ListParagraph"/>
        <w:numPr>
          <w:ilvl w:val="0"/>
          <w:numId w:val="1"/>
        </w:numPr>
        <w:spacing w:line="276" w:lineRule="auto"/>
      </w:pPr>
      <w:r>
        <w:t>Pignon, B, Gourevitch, R, et al. Dramatic reduction of psychiatric emergency consultations during lockdown linked to COVID-19 in Paris and suburbs. Psychiatry and Clinical Neurosciences 74(10). Doi: 10.1111/pcn.13104.</w:t>
      </w:r>
    </w:p>
    <w:p w14:paraId="3A3C2A51" w14:textId="22AABC5E" w:rsidR="0086397E" w:rsidRDefault="0086397E" w:rsidP="00941B6C">
      <w:pPr>
        <w:pStyle w:val="ListParagraph"/>
        <w:numPr>
          <w:ilvl w:val="0"/>
          <w:numId w:val="1"/>
        </w:numPr>
        <w:spacing w:line="276" w:lineRule="auto"/>
      </w:pPr>
      <w:r>
        <w:t>Hartnett, KP, Kite-Powell, A, et al. Impact of the COVID-19 pandemic on Emergency Department Visits – United States, January 1, 2019 – May 30, 2020. US Department of Health and Human Services/Centers for Disease Control and Prevention Morbidity and Mortality Weekly Report June 12, 2020. 69(23).</w:t>
      </w:r>
    </w:p>
    <w:p w14:paraId="6E235667" w14:textId="44C45256" w:rsidR="00461E91" w:rsidRDefault="00461E91" w:rsidP="00941B6C">
      <w:pPr>
        <w:pStyle w:val="ListParagraph"/>
        <w:numPr>
          <w:ilvl w:val="0"/>
          <w:numId w:val="1"/>
        </w:numPr>
        <w:spacing w:line="276" w:lineRule="auto"/>
      </w:pPr>
      <w:r>
        <w:t xml:space="preserve">Czeisler, ME, Lane, RI, Petrosky E, et al. Mental health, substance use, and suicidal ideation during the COVID-19 pandemic – United States, June 24-30, 2020. MMWR Morb Mortal Wkly Rep 2020; 69: 1049-1057. Doi: </w:t>
      </w:r>
      <w:hyperlink r:id="rId25" w:history="1">
        <w:r w:rsidRPr="00523BE8">
          <w:rPr>
            <w:rStyle w:val="Hyperlink"/>
          </w:rPr>
          <w:t>http://dx.doi.org/10.15585/mmwr.mm6932a1</w:t>
        </w:r>
      </w:hyperlink>
      <w:r>
        <w:t>.</w:t>
      </w:r>
    </w:p>
    <w:p w14:paraId="30AEFCAD" w14:textId="5111AFD3" w:rsidR="00461E91" w:rsidRDefault="00461E91" w:rsidP="00941B6C">
      <w:pPr>
        <w:pStyle w:val="ListParagraph"/>
        <w:numPr>
          <w:ilvl w:val="0"/>
          <w:numId w:val="1"/>
        </w:numPr>
        <w:spacing w:line="276" w:lineRule="auto"/>
      </w:pPr>
      <w:r>
        <w:t>Son, C, Hegde, S, Smith, A, et al. Effects of COVID-19 on College Students’ Mental Health in the United States: Interview Survey Study. J Med Internet Res 2020; 22(9</w:t>
      </w:r>
      <w:proofErr w:type="gramStart"/>
      <w:r>
        <w:t>):e</w:t>
      </w:r>
      <w:proofErr w:type="gramEnd"/>
      <w:r>
        <w:t>21279. Doi: 10.2196/21279.</w:t>
      </w:r>
    </w:p>
    <w:p w14:paraId="14B708CF" w14:textId="77777777" w:rsidR="00AA4E45" w:rsidRDefault="00AA4E45" w:rsidP="00941B6C">
      <w:pPr>
        <w:spacing w:line="276" w:lineRule="auto"/>
      </w:pPr>
    </w:p>
    <w:p w14:paraId="1283DB6C" w14:textId="123EB976" w:rsidR="004A5D89" w:rsidRDefault="004A5D89" w:rsidP="00941B6C">
      <w:pPr>
        <w:spacing w:line="276" w:lineRule="auto"/>
      </w:pPr>
    </w:p>
    <w:p w14:paraId="20336044" w14:textId="7C694FC5" w:rsidR="004A5D89" w:rsidRPr="004A5D89" w:rsidRDefault="004A5D89" w:rsidP="00941B6C">
      <w:pPr>
        <w:spacing w:line="276" w:lineRule="auto"/>
      </w:pPr>
      <w:r w:rsidRPr="004A5D89">
        <w:rPr>
          <w:b/>
          <w:bCs/>
        </w:rPr>
        <w:t>Appendix 1</w:t>
      </w:r>
      <w:r>
        <w:t xml:space="preserve">: </w:t>
      </w:r>
      <w:r w:rsidRPr="004A5D89">
        <w:t>Public health interventions in the Kitchener-Waterloo region.</w:t>
      </w:r>
    </w:p>
    <w:p w14:paraId="6E00C407" w14:textId="77777777" w:rsidR="004A5D89" w:rsidRPr="00BD38F8" w:rsidRDefault="004A5D89" w:rsidP="00941B6C">
      <w:pPr>
        <w:pStyle w:val="ListParagraph"/>
        <w:numPr>
          <w:ilvl w:val="0"/>
          <w:numId w:val="4"/>
        </w:numPr>
        <w:spacing w:line="276" w:lineRule="auto"/>
      </w:pPr>
      <w:r w:rsidRPr="00BD38F8">
        <w:lastRenderedPageBreak/>
        <w:t>Three-week closure of public schools (March 12)</w:t>
      </w:r>
    </w:p>
    <w:p w14:paraId="2E6D2AA5" w14:textId="77777777" w:rsidR="004A5D89" w:rsidRPr="00BD38F8" w:rsidRDefault="004A5D89" w:rsidP="00941B6C">
      <w:pPr>
        <w:pStyle w:val="ListParagraph"/>
        <w:numPr>
          <w:ilvl w:val="0"/>
          <w:numId w:val="4"/>
        </w:numPr>
        <w:spacing w:line="276" w:lineRule="auto"/>
      </w:pPr>
      <w:r w:rsidRPr="00BD38F8">
        <w:t>University closure and prohibition of gatherings over 250 people (March 13)</w:t>
      </w:r>
    </w:p>
    <w:p w14:paraId="2D09B736" w14:textId="77777777" w:rsidR="004A5D89" w:rsidRPr="00BD38F8" w:rsidRDefault="004A5D89" w:rsidP="00941B6C">
      <w:pPr>
        <w:pStyle w:val="ListParagraph"/>
        <w:numPr>
          <w:ilvl w:val="0"/>
          <w:numId w:val="4"/>
        </w:numPr>
        <w:spacing w:line="276" w:lineRule="auto"/>
      </w:pPr>
      <w:r w:rsidRPr="00BD38F8">
        <w:t>Prohibition of public gatherings over 50 people (March 16)</w:t>
      </w:r>
    </w:p>
    <w:p w14:paraId="68C66017" w14:textId="77777777" w:rsidR="004A5D89" w:rsidRPr="00BD38F8" w:rsidRDefault="004A5D89" w:rsidP="00941B6C">
      <w:pPr>
        <w:pStyle w:val="ListParagraph"/>
        <w:numPr>
          <w:ilvl w:val="0"/>
          <w:numId w:val="4"/>
        </w:numPr>
        <w:spacing w:line="276" w:lineRule="auto"/>
      </w:pPr>
      <w:r w:rsidRPr="00BD38F8">
        <w:t>Self isolation for 14 days if travel outside Canada (March 16)</w:t>
      </w:r>
    </w:p>
    <w:p w14:paraId="1D614B84" w14:textId="77777777" w:rsidR="004A5D89" w:rsidRPr="00BD38F8" w:rsidRDefault="004A5D89" w:rsidP="00941B6C">
      <w:pPr>
        <w:pStyle w:val="ListParagraph"/>
        <w:numPr>
          <w:ilvl w:val="0"/>
          <w:numId w:val="4"/>
        </w:numPr>
        <w:spacing w:line="276" w:lineRule="auto"/>
      </w:pPr>
      <w:r w:rsidRPr="00BD38F8">
        <w:t>Ontario announces declaration of state of emergency and closures of public gathering places, municipal facilities and seating in bars, cafes, and restaurants (March 17)</w:t>
      </w:r>
    </w:p>
    <w:p w14:paraId="389AD5C7" w14:textId="77777777" w:rsidR="004A5D89" w:rsidRPr="00BD38F8" w:rsidRDefault="004A5D89" w:rsidP="00941B6C">
      <w:pPr>
        <w:pStyle w:val="ListParagraph"/>
        <w:numPr>
          <w:ilvl w:val="0"/>
          <w:numId w:val="4"/>
        </w:numPr>
        <w:spacing w:line="276" w:lineRule="auto"/>
      </w:pPr>
      <w:r w:rsidRPr="00BD38F8">
        <w:t>Closure of all non-essential businesses and cultural institutions (March 24)</w:t>
      </w:r>
    </w:p>
    <w:p w14:paraId="2708106E" w14:textId="77777777" w:rsidR="004A5D89" w:rsidRPr="00BD38F8" w:rsidRDefault="004A5D89" w:rsidP="00941B6C">
      <w:pPr>
        <w:pStyle w:val="ListParagraph"/>
        <w:numPr>
          <w:ilvl w:val="0"/>
          <w:numId w:val="4"/>
        </w:numPr>
        <w:spacing w:line="276" w:lineRule="auto"/>
      </w:pPr>
      <w:r w:rsidRPr="00BD38F8">
        <w:t>Region of Waterloo declares state of emergency (March 25)</w:t>
      </w:r>
    </w:p>
    <w:p w14:paraId="7B6B1D54" w14:textId="77777777" w:rsidR="004A5D89" w:rsidRPr="00BD38F8" w:rsidRDefault="004A5D89" w:rsidP="00941B6C">
      <w:pPr>
        <w:pStyle w:val="ListParagraph"/>
        <w:numPr>
          <w:ilvl w:val="0"/>
          <w:numId w:val="4"/>
        </w:numPr>
        <w:spacing w:line="276" w:lineRule="auto"/>
      </w:pPr>
      <w:r w:rsidRPr="00BD38F8">
        <w:t>Prohibition of non-essential public gatherings over 5 people (April 5)</w:t>
      </w:r>
    </w:p>
    <w:p w14:paraId="575129C2" w14:textId="77777777" w:rsidR="004A5D89" w:rsidRPr="004A5D89" w:rsidRDefault="004A5D89" w:rsidP="00941B6C">
      <w:pPr>
        <w:pStyle w:val="ListParagraph"/>
        <w:numPr>
          <w:ilvl w:val="0"/>
          <w:numId w:val="4"/>
        </w:numPr>
        <w:spacing w:line="276" w:lineRule="auto"/>
      </w:pPr>
      <w:r w:rsidRPr="004A5D89">
        <w:t>Re-opening of garden centres, landscaping, essential construction, automatic car washes, auto dealerships by appointment (May 4)</w:t>
      </w:r>
    </w:p>
    <w:p w14:paraId="5FBBD642" w14:textId="77777777" w:rsidR="004A5D89" w:rsidRPr="004A5D89" w:rsidRDefault="004A5D89" w:rsidP="00941B6C">
      <w:pPr>
        <w:pStyle w:val="ListParagraph"/>
        <w:numPr>
          <w:ilvl w:val="0"/>
          <w:numId w:val="4"/>
        </w:numPr>
        <w:spacing w:line="276" w:lineRule="auto"/>
      </w:pPr>
      <w:r w:rsidRPr="004A5D89">
        <w:t>All construction, all retail except indoor malls (with physical distancing), vehicle dealerships, media operations, scheduled surgeries and diagnostic imaging, in-person counselling, individual sports (except high contact and team sports), general maintenance, repair, and household services (May 19)</w:t>
      </w:r>
    </w:p>
    <w:p w14:paraId="44179990" w14:textId="77777777" w:rsidR="004A5D89" w:rsidRPr="004A5D89" w:rsidRDefault="004A5D89" w:rsidP="00941B6C">
      <w:pPr>
        <w:pStyle w:val="ListParagraph"/>
        <w:numPr>
          <w:ilvl w:val="0"/>
          <w:numId w:val="4"/>
        </w:numPr>
        <w:spacing w:line="276" w:lineRule="auto"/>
      </w:pPr>
      <w:r w:rsidRPr="004A5D89">
        <w:t>Resumption of elective and non-essential care (May 26)</w:t>
      </w:r>
    </w:p>
    <w:p w14:paraId="0B5D9540" w14:textId="3C59F22F" w:rsidR="004A5D89" w:rsidRPr="003C5F89" w:rsidRDefault="004A5D89" w:rsidP="00941B6C">
      <w:pPr>
        <w:pStyle w:val="ListParagraph"/>
        <w:numPr>
          <w:ilvl w:val="0"/>
          <w:numId w:val="4"/>
        </w:numPr>
        <w:spacing w:line="276" w:lineRule="auto"/>
      </w:pPr>
      <w:r w:rsidRPr="004A5D89">
        <w:t>Increased limit on social gatherings from 5 to 10 persons, places of worship opened with 30% building capacity, personal care, shopping malls, cultural and recreational activities (June 2, excluding Greater Toronto Area)</w:t>
      </w:r>
    </w:p>
    <w:p w14:paraId="4F596BF3" w14:textId="77777777" w:rsidR="00336DD9" w:rsidRPr="00B30838" w:rsidRDefault="00336DD9" w:rsidP="00941B6C">
      <w:pPr>
        <w:spacing w:line="276" w:lineRule="auto"/>
        <w:ind w:left="360"/>
      </w:pPr>
    </w:p>
    <w:sectPr w:rsidR="00336DD9" w:rsidRPr="00B30838">
      <w:headerReference w:type="default" r:id="rId2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arlene Chu" w:date="2021-02-12T10:50:00Z" w:initials="CC">
    <w:p w14:paraId="5154FB3B" w14:textId="260BEE04" w:rsidR="00366AF3" w:rsidRDefault="00366AF3">
      <w:pPr>
        <w:pStyle w:val="CommentText"/>
      </w:pPr>
      <w:r>
        <w:rPr>
          <w:rStyle w:val="CommentReference"/>
        </w:rPr>
        <w:annotationRef/>
      </w:r>
      <w:r>
        <w:t xml:space="preserve">Could we also cite our editorial from Journal of advance </w:t>
      </w:r>
      <w:proofErr w:type="spellStart"/>
      <w:r>
        <w:t>nurs</w:t>
      </w:r>
      <w:proofErr w:type="spellEnd"/>
      <w:r>
        <w:t>?</w:t>
      </w:r>
    </w:p>
  </w:comment>
  <w:comment w:id="1" w:author="Christopher Dainton" w:date="2021-02-12T12:04:00Z" w:initials="CD">
    <w:p w14:paraId="5FC1240E" w14:textId="0C66B2B9" w:rsidR="00F15446" w:rsidRDefault="00F15446">
      <w:pPr>
        <w:pStyle w:val="CommentText"/>
      </w:pPr>
      <w:r>
        <w:rPr>
          <w:rStyle w:val="CommentReference"/>
        </w:rPr>
        <w:annotationRef/>
      </w:r>
      <w:r>
        <w:t>Normally, I would say yes, but perhaps it’s better in this case to focus on primary literature.</w:t>
      </w:r>
    </w:p>
  </w:comment>
  <w:comment w:id="3" w:author="Christopher Dainton" w:date="2021-02-13T16:13:00Z" w:initials="CD">
    <w:p w14:paraId="0BF7F9AD" w14:textId="2B5722E2" w:rsidR="00BD2079" w:rsidRDefault="00BD2079">
      <w:pPr>
        <w:pStyle w:val="CommentText"/>
      </w:pPr>
      <w:r>
        <w:rPr>
          <w:rStyle w:val="CommentReference"/>
        </w:rPr>
        <w:annotationRef/>
      </w:r>
      <w:r>
        <w:t>Possibly not the correct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54FB3B" w15:done="0"/>
  <w15:commentEx w15:paraId="5FC1240E" w15:paraIdParent="5154FB3B" w15:done="0"/>
  <w15:commentEx w15:paraId="0BF7F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0DBFF" w16cex:dateUtc="2021-02-12T15:50:00Z"/>
  <w16cex:commentExtensible w16cex:durableId="23D0ED5B" w16cex:dateUtc="2021-02-12T17:04:00Z"/>
  <w16cex:commentExtensible w16cex:durableId="23D27940" w16cex:dateUtc="2021-02-13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54FB3B" w16cid:durableId="23D0DBFF"/>
  <w16cid:commentId w16cid:paraId="5FC1240E" w16cid:durableId="23D0ED5B"/>
  <w16cid:commentId w16cid:paraId="0BF7F9AD" w16cid:durableId="23D27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3DE67" w14:textId="77777777" w:rsidR="003D2905" w:rsidRDefault="003D2905" w:rsidP="006B0930">
      <w:pPr>
        <w:spacing w:after="0" w:line="240" w:lineRule="auto"/>
      </w:pPr>
      <w:r>
        <w:separator/>
      </w:r>
    </w:p>
  </w:endnote>
  <w:endnote w:type="continuationSeparator" w:id="0">
    <w:p w14:paraId="7EB3B310" w14:textId="77777777" w:rsidR="003D2905" w:rsidRDefault="003D2905" w:rsidP="006B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Lato">
    <w:altName w:val="Segoe U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5869E" w14:textId="77777777" w:rsidR="003D2905" w:rsidRDefault="003D2905" w:rsidP="006B0930">
      <w:pPr>
        <w:spacing w:after="0" w:line="240" w:lineRule="auto"/>
      </w:pPr>
      <w:r>
        <w:separator/>
      </w:r>
    </w:p>
  </w:footnote>
  <w:footnote w:type="continuationSeparator" w:id="0">
    <w:p w14:paraId="6BD1D671" w14:textId="77777777" w:rsidR="003D2905" w:rsidRDefault="003D2905" w:rsidP="006B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7D19" w14:textId="751E3A37" w:rsidR="006B0930" w:rsidRDefault="006B0930" w:rsidP="006A20C2">
    <w:pPr>
      <w:rPr>
        <w:b/>
        <w:bCs/>
      </w:rPr>
    </w:pPr>
    <w:r>
      <w:rPr>
        <w:b/>
        <w:bCs/>
      </w:rPr>
      <w:t xml:space="preserve">A multicenter study of the </w:t>
    </w:r>
    <w:r w:rsidR="00D62E85">
      <w:rPr>
        <w:b/>
        <w:bCs/>
      </w:rPr>
      <w:t xml:space="preserve">short-term </w:t>
    </w:r>
    <w:r>
      <w:rPr>
        <w:b/>
        <w:bCs/>
      </w:rPr>
      <w:t>mental health and social impact</w:t>
    </w:r>
    <w:r w:rsidR="0092692F">
      <w:rPr>
        <w:b/>
        <w:bCs/>
      </w:rPr>
      <w:t>s</w:t>
    </w:r>
    <w:r>
      <w:rPr>
        <w:b/>
        <w:bCs/>
      </w:rPr>
      <w:t xml:space="preserve"> of </w:t>
    </w:r>
    <w:r w:rsidR="00D62E85">
      <w:rPr>
        <w:b/>
        <w:bCs/>
      </w:rPr>
      <w:t>lockdown</w:t>
    </w:r>
    <w:r w:rsidR="00B56F74">
      <w:rPr>
        <w:b/>
        <w:bCs/>
      </w:rPr>
      <w:t xml:space="preserve"> interventions</w:t>
    </w:r>
    <w:r>
      <w:rPr>
        <w:b/>
        <w:bCs/>
      </w:rPr>
      <w:t xml:space="preserve"> in </w:t>
    </w:r>
    <w:r w:rsidR="00CC40D9">
      <w:rPr>
        <w:b/>
        <w:bCs/>
      </w:rPr>
      <w:t>Kitchener</w:t>
    </w:r>
    <w:r w:rsidR="00B56F74">
      <w:rPr>
        <w:b/>
        <w:bCs/>
      </w:rPr>
      <w:t>-Waterloo</w:t>
    </w:r>
    <w:r>
      <w:rPr>
        <w:b/>
        <w:bCs/>
      </w:rPr>
      <w:t xml:space="preserve"> during the COVID-19 pandemic</w:t>
    </w:r>
  </w:p>
  <w:p w14:paraId="043475D8" w14:textId="62D7F2EC" w:rsidR="006A20C2" w:rsidRPr="006A20C2" w:rsidRDefault="006A20C2" w:rsidP="006A20C2">
    <w:r w:rsidRPr="006A20C2">
      <w:t>Christopher Dainton</w:t>
    </w:r>
    <w:r w:rsidR="00524C68">
      <w:t xml:space="preserve">, </w:t>
    </w:r>
    <w:r w:rsidR="00735FAF">
      <w:t>Simon Donato-Woodger, Charlene Chu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E77D8"/>
    <w:multiLevelType w:val="hybridMultilevel"/>
    <w:tmpl w:val="A5761E12"/>
    <w:lvl w:ilvl="0" w:tplc="9AC027AE">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547EF4"/>
    <w:multiLevelType w:val="hybridMultilevel"/>
    <w:tmpl w:val="B5E0C6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2A0516"/>
    <w:multiLevelType w:val="hybridMultilevel"/>
    <w:tmpl w:val="6E284E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E970323"/>
    <w:multiLevelType w:val="hybridMultilevel"/>
    <w:tmpl w:val="629A0466"/>
    <w:lvl w:ilvl="0" w:tplc="824E55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rlene Chu">
    <w15:presenceInfo w15:providerId="AD" w15:userId="S::charlene.chu@utoronto.ca::24fb7b3a-0a69-48b5-b6ef-bc58de52cb16"/>
  </w15:person>
  <w15:person w15:author="Christopher Dainton">
    <w15:presenceInfo w15:providerId="Windows Live" w15:userId="5379d02aa22dc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0583"/>
    <w:rsid w:val="0000171D"/>
    <w:rsid w:val="00003050"/>
    <w:rsid w:val="00004CBE"/>
    <w:rsid w:val="00014BE5"/>
    <w:rsid w:val="0002130F"/>
    <w:rsid w:val="00025ABC"/>
    <w:rsid w:val="00031013"/>
    <w:rsid w:val="000411DC"/>
    <w:rsid w:val="00042C6E"/>
    <w:rsid w:val="00042CAE"/>
    <w:rsid w:val="000435FA"/>
    <w:rsid w:val="00050420"/>
    <w:rsid w:val="00056D05"/>
    <w:rsid w:val="00060585"/>
    <w:rsid w:val="00061400"/>
    <w:rsid w:val="00061562"/>
    <w:rsid w:val="000648FE"/>
    <w:rsid w:val="00070C7A"/>
    <w:rsid w:val="0007161D"/>
    <w:rsid w:val="000718A5"/>
    <w:rsid w:val="00072FAB"/>
    <w:rsid w:val="00073064"/>
    <w:rsid w:val="00074E77"/>
    <w:rsid w:val="00077AEB"/>
    <w:rsid w:val="000807CB"/>
    <w:rsid w:val="00080F36"/>
    <w:rsid w:val="00086BBD"/>
    <w:rsid w:val="000906E7"/>
    <w:rsid w:val="000914B2"/>
    <w:rsid w:val="000929D7"/>
    <w:rsid w:val="00095EEA"/>
    <w:rsid w:val="000A087C"/>
    <w:rsid w:val="000A179C"/>
    <w:rsid w:val="000B630B"/>
    <w:rsid w:val="000C4BD7"/>
    <w:rsid w:val="000C4ED0"/>
    <w:rsid w:val="000C6067"/>
    <w:rsid w:val="000C79EC"/>
    <w:rsid w:val="000E0B06"/>
    <w:rsid w:val="000E14E2"/>
    <w:rsid w:val="000E4C41"/>
    <w:rsid w:val="000E52F8"/>
    <w:rsid w:val="000F640B"/>
    <w:rsid w:val="000F684F"/>
    <w:rsid w:val="000F6DBB"/>
    <w:rsid w:val="000F7A77"/>
    <w:rsid w:val="00101A5A"/>
    <w:rsid w:val="00102E37"/>
    <w:rsid w:val="00106817"/>
    <w:rsid w:val="00107A1E"/>
    <w:rsid w:val="001158C8"/>
    <w:rsid w:val="0012602F"/>
    <w:rsid w:val="00131F76"/>
    <w:rsid w:val="00133212"/>
    <w:rsid w:val="00133C81"/>
    <w:rsid w:val="0014151B"/>
    <w:rsid w:val="001527A8"/>
    <w:rsid w:val="00161E03"/>
    <w:rsid w:val="001668CF"/>
    <w:rsid w:val="0017418D"/>
    <w:rsid w:val="00174EB5"/>
    <w:rsid w:val="00175874"/>
    <w:rsid w:val="0017660F"/>
    <w:rsid w:val="0018161B"/>
    <w:rsid w:val="00181CE9"/>
    <w:rsid w:val="00184C56"/>
    <w:rsid w:val="00187F8D"/>
    <w:rsid w:val="001A16B9"/>
    <w:rsid w:val="001A3026"/>
    <w:rsid w:val="001B0893"/>
    <w:rsid w:val="001B131E"/>
    <w:rsid w:val="001B2F44"/>
    <w:rsid w:val="001D1165"/>
    <w:rsid w:val="001D466E"/>
    <w:rsid w:val="001E3EE2"/>
    <w:rsid w:val="001E7ADF"/>
    <w:rsid w:val="002057DC"/>
    <w:rsid w:val="00205B4B"/>
    <w:rsid w:val="0020676A"/>
    <w:rsid w:val="00211409"/>
    <w:rsid w:val="00215B05"/>
    <w:rsid w:val="00225AE2"/>
    <w:rsid w:val="00231C41"/>
    <w:rsid w:val="002337BF"/>
    <w:rsid w:val="00233B3E"/>
    <w:rsid w:val="00235028"/>
    <w:rsid w:val="00247379"/>
    <w:rsid w:val="0025110E"/>
    <w:rsid w:val="00262B48"/>
    <w:rsid w:val="00264B98"/>
    <w:rsid w:val="002706CF"/>
    <w:rsid w:val="00275040"/>
    <w:rsid w:val="002773D2"/>
    <w:rsid w:val="00280601"/>
    <w:rsid w:val="00291A03"/>
    <w:rsid w:val="00292E83"/>
    <w:rsid w:val="002941AD"/>
    <w:rsid w:val="002A19B7"/>
    <w:rsid w:val="002B30A7"/>
    <w:rsid w:val="002B383B"/>
    <w:rsid w:val="002B4829"/>
    <w:rsid w:val="002C03BE"/>
    <w:rsid w:val="002C39CA"/>
    <w:rsid w:val="002E2349"/>
    <w:rsid w:val="002F1604"/>
    <w:rsid w:val="002F5D9A"/>
    <w:rsid w:val="0030073A"/>
    <w:rsid w:val="00306042"/>
    <w:rsid w:val="0031439C"/>
    <w:rsid w:val="0032076B"/>
    <w:rsid w:val="00325185"/>
    <w:rsid w:val="00326C50"/>
    <w:rsid w:val="00336DD9"/>
    <w:rsid w:val="0034030C"/>
    <w:rsid w:val="00340C9E"/>
    <w:rsid w:val="003413F8"/>
    <w:rsid w:val="00352591"/>
    <w:rsid w:val="00354613"/>
    <w:rsid w:val="0036037E"/>
    <w:rsid w:val="003644AC"/>
    <w:rsid w:val="00366AF3"/>
    <w:rsid w:val="00370C80"/>
    <w:rsid w:val="003716F7"/>
    <w:rsid w:val="003717A1"/>
    <w:rsid w:val="0037273A"/>
    <w:rsid w:val="00372FA9"/>
    <w:rsid w:val="00376FF4"/>
    <w:rsid w:val="00381733"/>
    <w:rsid w:val="00382865"/>
    <w:rsid w:val="0038684F"/>
    <w:rsid w:val="00390D74"/>
    <w:rsid w:val="00392A04"/>
    <w:rsid w:val="0039349F"/>
    <w:rsid w:val="003945F6"/>
    <w:rsid w:val="003A397B"/>
    <w:rsid w:val="003B293A"/>
    <w:rsid w:val="003B71D1"/>
    <w:rsid w:val="003C5F89"/>
    <w:rsid w:val="003D135A"/>
    <w:rsid w:val="003D2905"/>
    <w:rsid w:val="003D4878"/>
    <w:rsid w:val="003E4793"/>
    <w:rsid w:val="003E6EF0"/>
    <w:rsid w:val="003E7522"/>
    <w:rsid w:val="003E7AB6"/>
    <w:rsid w:val="003F27B0"/>
    <w:rsid w:val="00402985"/>
    <w:rsid w:val="0040687E"/>
    <w:rsid w:val="0041351A"/>
    <w:rsid w:val="00417C12"/>
    <w:rsid w:val="00420C1D"/>
    <w:rsid w:val="0042268C"/>
    <w:rsid w:val="00427E13"/>
    <w:rsid w:val="00434504"/>
    <w:rsid w:val="004358AE"/>
    <w:rsid w:val="00436B0D"/>
    <w:rsid w:val="00440479"/>
    <w:rsid w:val="00454947"/>
    <w:rsid w:val="0045611E"/>
    <w:rsid w:val="00461E91"/>
    <w:rsid w:val="00462E84"/>
    <w:rsid w:val="00462F71"/>
    <w:rsid w:val="00473B12"/>
    <w:rsid w:val="00476EC5"/>
    <w:rsid w:val="00480A50"/>
    <w:rsid w:val="00484329"/>
    <w:rsid w:val="00485F38"/>
    <w:rsid w:val="00492B41"/>
    <w:rsid w:val="004A5D89"/>
    <w:rsid w:val="004B003F"/>
    <w:rsid w:val="004B59AE"/>
    <w:rsid w:val="004B7D06"/>
    <w:rsid w:val="004D308A"/>
    <w:rsid w:val="004D3A65"/>
    <w:rsid w:val="004D3D02"/>
    <w:rsid w:val="004D6C94"/>
    <w:rsid w:val="004E51D4"/>
    <w:rsid w:val="004F7402"/>
    <w:rsid w:val="00501B02"/>
    <w:rsid w:val="005160DA"/>
    <w:rsid w:val="005170B6"/>
    <w:rsid w:val="00517515"/>
    <w:rsid w:val="00524C68"/>
    <w:rsid w:val="00527A4C"/>
    <w:rsid w:val="005327AF"/>
    <w:rsid w:val="00537E36"/>
    <w:rsid w:val="00543BB4"/>
    <w:rsid w:val="00546627"/>
    <w:rsid w:val="0055164A"/>
    <w:rsid w:val="00554111"/>
    <w:rsid w:val="00563FA4"/>
    <w:rsid w:val="0056442F"/>
    <w:rsid w:val="00566832"/>
    <w:rsid w:val="00570A6D"/>
    <w:rsid w:val="00572202"/>
    <w:rsid w:val="00576FF3"/>
    <w:rsid w:val="005809B5"/>
    <w:rsid w:val="005822E2"/>
    <w:rsid w:val="00582B0A"/>
    <w:rsid w:val="00583064"/>
    <w:rsid w:val="00587192"/>
    <w:rsid w:val="005922E7"/>
    <w:rsid w:val="005948BF"/>
    <w:rsid w:val="005A7BF0"/>
    <w:rsid w:val="005C03D8"/>
    <w:rsid w:val="005C0A27"/>
    <w:rsid w:val="005D3495"/>
    <w:rsid w:val="005D75C2"/>
    <w:rsid w:val="005E2E10"/>
    <w:rsid w:val="005F08C8"/>
    <w:rsid w:val="005F1B48"/>
    <w:rsid w:val="005F44DB"/>
    <w:rsid w:val="005F5168"/>
    <w:rsid w:val="006120A9"/>
    <w:rsid w:val="00616347"/>
    <w:rsid w:val="00616C52"/>
    <w:rsid w:val="00620D82"/>
    <w:rsid w:val="00622DBF"/>
    <w:rsid w:val="006238C5"/>
    <w:rsid w:val="00631EAB"/>
    <w:rsid w:val="00641B60"/>
    <w:rsid w:val="006445D7"/>
    <w:rsid w:val="00644DE0"/>
    <w:rsid w:val="00645DE1"/>
    <w:rsid w:val="00650FC1"/>
    <w:rsid w:val="006533E3"/>
    <w:rsid w:val="00653BB7"/>
    <w:rsid w:val="006540F1"/>
    <w:rsid w:val="00655626"/>
    <w:rsid w:val="00655787"/>
    <w:rsid w:val="0066054D"/>
    <w:rsid w:val="00661CA0"/>
    <w:rsid w:val="00662684"/>
    <w:rsid w:val="00666D98"/>
    <w:rsid w:val="00676204"/>
    <w:rsid w:val="00680F93"/>
    <w:rsid w:val="00682807"/>
    <w:rsid w:val="00687AC8"/>
    <w:rsid w:val="0069672C"/>
    <w:rsid w:val="006A20C2"/>
    <w:rsid w:val="006A2169"/>
    <w:rsid w:val="006A32DE"/>
    <w:rsid w:val="006A51A2"/>
    <w:rsid w:val="006A73AB"/>
    <w:rsid w:val="006B0930"/>
    <w:rsid w:val="006B72C9"/>
    <w:rsid w:val="006C39A4"/>
    <w:rsid w:val="006C67B8"/>
    <w:rsid w:val="006E012C"/>
    <w:rsid w:val="006E0143"/>
    <w:rsid w:val="006E2B1F"/>
    <w:rsid w:val="006F317A"/>
    <w:rsid w:val="006F71B0"/>
    <w:rsid w:val="00714E0B"/>
    <w:rsid w:val="00725962"/>
    <w:rsid w:val="007265C6"/>
    <w:rsid w:val="00730842"/>
    <w:rsid w:val="007324F6"/>
    <w:rsid w:val="00734F45"/>
    <w:rsid w:val="00735FAF"/>
    <w:rsid w:val="007417CB"/>
    <w:rsid w:val="00745047"/>
    <w:rsid w:val="0074798D"/>
    <w:rsid w:val="0075087B"/>
    <w:rsid w:val="007516EB"/>
    <w:rsid w:val="007527AF"/>
    <w:rsid w:val="007553B4"/>
    <w:rsid w:val="00762693"/>
    <w:rsid w:val="0076356D"/>
    <w:rsid w:val="00770FBB"/>
    <w:rsid w:val="00772B66"/>
    <w:rsid w:val="00773DC6"/>
    <w:rsid w:val="00774271"/>
    <w:rsid w:val="007743C0"/>
    <w:rsid w:val="007802FD"/>
    <w:rsid w:val="007809E0"/>
    <w:rsid w:val="00782EFA"/>
    <w:rsid w:val="0079036C"/>
    <w:rsid w:val="00792048"/>
    <w:rsid w:val="007A3735"/>
    <w:rsid w:val="007A4F8B"/>
    <w:rsid w:val="007A5C8E"/>
    <w:rsid w:val="007A75DE"/>
    <w:rsid w:val="007B26DD"/>
    <w:rsid w:val="007B62AE"/>
    <w:rsid w:val="007C2351"/>
    <w:rsid w:val="007C7375"/>
    <w:rsid w:val="007C7811"/>
    <w:rsid w:val="007D418F"/>
    <w:rsid w:val="007D66FF"/>
    <w:rsid w:val="007E0E29"/>
    <w:rsid w:val="007E0F1D"/>
    <w:rsid w:val="007E3739"/>
    <w:rsid w:val="007E40E6"/>
    <w:rsid w:val="007E7935"/>
    <w:rsid w:val="007F03FD"/>
    <w:rsid w:val="007F279F"/>
    <w:rsid w:val="007F7343"/>
    <w:rsid w:val="00801702"/>
    <w:rsid w:val="00802D72"/>
    <w:rsid w:val="00810074"/>
    <w:rsid w:val="0081293C"/>
    <w:rsid w:val="00813E50"/>
    <w:rsid w:val="00830819"/>
    <w:rsid w:val="00833652"/>
    <w:rsid w:val="00840F61"/>
    <w:rsid w:val="00851F38"/>
    <w:rsid w:val="00862B33"/>
    <w:rsid w:val="0086397E"/>
    <w:rsid w:val="00870EC4"/>
    <w:rsid w:val="0088164B"/>
    <w:rsid w:val="00882880"/>
    <w:rsid w:val="008916A9"/>
    <w:rsid w:val="008930BA"/>
    <w:rsid w:val="00894AFF"/>
    <w:rsid w:val="0089512C"/>
    <w:rsid w:val="008A01DA"/>
    <w:rsid w:val="008A5092"/>
    <w:rsid w:val="008A6284"/>
    <w:rsid w:val="008B2C92"/>
    <w:rsid w:val="008B553D"/>
    <w:rsid w:val="008B5BE2"/>
    <w:rsid w:val="008C0914"/>
    <w:rsid w:val="008C6069"/>
    <w:rsid w:val="008C73A7"/>
    <w:rsid w:val="008C7A41"/>
    <w:rsid w:val="008E3484"/>
    <w:rsid w:val="008F2771"/>
    <w:rsid w:val="009066B7"/>
    <w:rsid w:val="009127FF"/>
    <w:rsid w:val="00912AF1"/>
    <w:rsid w:val="00912FDB"/>
    <w:rsid w:val="00913B02"/>
    <w:rsid w:val="009227D6"/>
    <w:rsid w:val="00926060"/>
    <w:rsid w:val="0092692F"/>
    <w:rsid w:val="009277B2"/>
    <w:rsid w:val="00927E7F"/>
    <w:rsid w:val="00930B49"/>
    <w:rsid w:val="0093721F"/>
    <w:rsid w:val="00940262"/>
    <w:rsid w:val="009410DC"/>
    <w:rsid w:val="00941B6C"/>
    <w:rsid w:val="00942112"/>
    <w:rsid w:val="00944BDC"/>
    <w:rsid w:val="0094612F"/>
    <w:rsid w:val="009468BB"/>
    <w:rsid w:val="00951D81"/>
    <w:rsid w:val="00952E87"/>
    <w:rsid w:val="00962AF1"/>
    <w:rsid w:val="0096371C"/>
    <w:rsid w:val="00974909"/>
    <w:rsid w:val="00985206"/>
    <w:rsid w:val="009913DD"/>
    <w:rsid w:val="00993848"/>
    <w:rsid w:val="00993D52"/>
    <w:rsid w:val="009A1BA4"/>
    <w:rsid w:val="009A60EE"/>
    <w:rsid w:val="009B1207"/>
    <w:rsid w:val="009C72D4"/>
    <w:rsid w:val="009C743C"/>
    <w:rsid w:val="009D09F5"/>
    <w:rsid w:val="009D63F6"/>
    <w:rsid w:val="009D67F0"/>
    <w:rsid w:val="009E07DE"/>
    <w:rsid w:val="009E26FF"/>
    <w:rsid w:val="009E64DF"/>
    <w:rsid w:val="00A01D1E"/>
    <w:rsid w:val="00A06CFC"/>
    <w:rsid w:val="00A074C1"/>
    <w:rsid w:val="00A12601"/>
    <w:rsid w:val="00A1295E"/>
    <w:rsid w:val="00A23544"/>
    <w:rsid w:val="00A2705B"/>
    <w:rsid w:val="00A4203D"/>
    <w:rsid w:val="00A43923"/>
    <w:rsid w:val="00A441C3"/>
    <w:rsid w:val="00A465F9"/>
    <w:rsid w:val="00A52425"/>
    <w:rsid w:val="00A5506A"/>
    <w:rsid w:val="00A57D54"/>
    <w:rsid w:val="00A60B58"/>
    <w:rsid w:val="00A6459A"/>
    <w:rsid w:val="00A66554"/>
    <w:rsid w:val="00A71A83"/>
    <w:rsid w:val="00A71D35"/>
    <w:rsid w:val="00A73BC0"/>
    <w:rsid w:val="00A76B6F"/>
    <w:rsid w:val="00A7769E"/>
    <w:rsid w:val="00A963EA"/>
    <w:rsid w:val="00AA052C"/>
    <w:rsid w:val="00AA2211"/>
    <w:rsid w:val="00AA4E45"/>
    <w:rsid w:val="00AD7AA0"/>
    <w:rsid w:val="00AE3ABE"/>
    <w:rsid w:val="00AF2716"/>
    <w:rsid w:val="00AF2F3F"/>
    <w:rsid w:val="00AF7229"/>
    <w:rsid w:val="00B007C6"/>
    <w:rsid w:val="00B064A1"/>
    <w:rsid w:val="00B06D39"/>
    <w:rsid w:val="00B1089C"/>
    <w:rsid w:val="00B11E55"/>
    <w:rsid w:val="00B14F75"/>
    <w:rsid w:val="00B1627E"/>
    <w:rsid w:val="00B27ABD"/>
    <w:rsid w:val="00B30838"/>
    <w:rsid w:val="00B35623"/>
    <w:rsid w:val="00B364E6"/>
    <w:rsid w:val="00B42AC0"/>
    <w:rsid w:val="00B43222"/>
    <w:rsid w:val="00B438ED"/>
    <w:rsid w:val="00B5180B"/>
    <w:rsid w:val="00B52117"/>
    <w:rsid w:val="00B53951"/>
    <w:rsid w:val="00B56F74"/>
    <w:rsid w:val="00B61C10"/>
    <w:rsid w:val="00B640C7"/>
    <w:rsid w:val="00B6462B"/>
    <w:rsid w:val="00B82A38"/>
    <w:rsid w:val="00B83260"/>
    <w:rsid w:val="00B84437"/>
    <w:rsid w:val="00B84AFB"/>
    <w:rsid w:val="00B90BD0"/>
    <w:rsid w:val="00B94101"/>
    <w:rsid w:val="00BA16EA"/>
    <w:rsid w:val="00BA34BA"/>
    <w:rsid w:val="00BA66E3"/>
    <w:rsid w:val="00BB5CA6"/>
    <w:rsid w:val="00BB70B4"/>
    <w:rsid w:val="00BC229C"/>
    <w:rsid w:val="00BC545B"/>
    <w:rsid w:val="00BC63B8"/>
    <w:rsid w:val="00BD2079"/>
    <w:rsid w:val="00BD2988"/>
    <w:rsid w:val="00BD38F8"/>
    <w:rsid w:val="00BD4A24"/>
    <w:rsid w:val="00BE0F42"/>
    <w:rsid w:val="00BE19C8"/>
    <w:rsid w:val="00BE5B62"/>
    <w:rsid w:val="00BF3A91"/>
    <w:rsid w:val="00BF48D9"/>
    <w:rsid w:val="00C05538"/>
    <w:rsid w:val="00C068EB"/>
    <w:rsid w:val="00C11E8D"/>
    <w:rsid w:val="00C172F0"/>
    <w:rsid w:val="00C17AF8"/>
    <w:rsid w:val="00C236BE"/>
    <w:rsid w:val="00C24961"/>
    <w:rsid w:val="00C2604F"/>
    <w:rsid w:val="00C26C9C"/>
    <w:rsid w:val="00C30C3F"/>
    <w:rsid w:val="00C3347A"/>
    <w:rsid w:val="00C33876"/>
    <w:rsid w:val="00C340D6"/>
    <w:rsid w:val="00C34C27"/>
    <w:rsid w:val="00C351F3"/>
    <w:rsid w:val="00C4212F"/>
    <w:rsid w:val="00C43851"/>
    <w:rsid w:val="00C46E0E"/>
    <w:rsid w:val="00C54D6E"/>
    <w:rsid w:val="00C55279"/>
    <w:rsid w:val="00C553C6"/>
    <w:rsid w:val="00C612A0"/>
    <w:rsid w:val="00C62AA2"/>
    <w:rsid w:val="00C645B0"/>
    <w:rsid w:val="00C669F8"/>
    <w:rsid w:val="00C675EB"/>
    <w:rsid w:val="00C7226A"/>
    <w:rsid w:val="00C733E9"/>
    <w:rsid w:val="00C74032"/>
    <w:rsid w:val="00C74BCB"/>
    <w:rsid w:val="00C80E2A"/>
    <w:rsid w:val="00C82A0D"/>
    <w:rsid w:val="00C908A3"/>
    <w:rsid w:val="00C9321E"/>
    <w:rsid w:val="00C94FEB"/>
    <w:rsid w:val="00C978B0"/>
    <w:rsid w:val="00CA2CDF"/>
    <w:rsid w:val="00CA7752"/>
    <w:rsid w:val="00CB10C9"/>
    <w:rsid w:val="00CB16A2"/>
    <w:rsid w:val="00CB1889"/>
    <w:rsid w:val="00CB2ED4"/>
    <w:rsid w:val="00CC40D9"/>
    <w:rsid w:val="00CC5CBD"/>
    <w:rsid w:val="00CC5EF0"/>
    <w:rsid w:val="00CC60F1"/>
    <w:rsid w:val="00CD4349"/>
    <w:rsid w:val="00CD5834"/>
    <w:rsid w:val="00CD61B7"/>
    <w:rsid w:val="00CE2482"/>
    <w:rsid w:val="00CE6F07"/>
    <w:rsid w:val="00CE7DFE"/>
    <w:rsid w:val="00CF0169"/>
    <w:rsid w:val="00CF0A0D"/>
    <w:rsid w:val="00CF104C"/>
    <w:rsid w:val="00CF1A84"/>
    <w:rsid w:val="00CF251C"/>
    <w:rsid w:val="00CF2629"/>
    <w:rsid w:val="00CF4687"/>
    <w:rsid w:val="00D01401"/>
    <w:rsid w:val="00D0323F"/>
    <w:rsid w:val="00D03C10"/>
    <w:rsid w:val="00D047BE"/>
    <w:rsid w:val="00D068C4"/>
    <w:rsid w:val="00D06B35"/>
    <w:rsid w:val="00D06EF2"/>
    <w:rsid w:val="00D15821"/>
    <w:rsid w:val="00D15C4A"/>
    <w:rsid w:val="00D165AF"/>
    <w:rsid w:val="00D215F5"/>
    <w:rsid w:val="00D21997"/>
    <w:rsid w:val="00D21DE9"/>
    <w:rsid w:val="00D24BC5"/>
    <w:rsid w:val="00D24D18"/>
    <w:rsid w:val="00D279F0"/>
    <w:rsid w:val="00D314D9"/>
    <w:rsid w:val="00D32F03"/>
    <w:rsid w:val="00D33A9A"/>
    <w:rsid w:val="00D360B6"/>
    <w:rsid w:val="00D36D69"/>
    <w:rsid w:val="00D53E93"/>
    <w:rsid w:val="00D57145"/>
    <w:rsid w:val="00D6194E"/>
    <w:rsid w:val="00D62E85"/>
    <w:rsid w:val="00D63143"/>
    <w:rsid w:val="00D65311"/>
    <w:rsid w:val="00D65D02"/>
    <w:rsid w:val="00D71177"/>
    <w:rsid w:val="00D72E60"/>
    <w:rsid w:val="00D8102A"/>
    <w:rsid w:val="00D81E24"/>
    <w:rsid w:val="00D81E3A"/>
    <w:rsid w:val="00D82B56"/>
    <w:rsid w:val="00D8582A"/>
    <w:rsid w:val="00D864A5"/>
    <w:rsid w:val="00D91B38"/>
    <w:rsid w:val="00D96112"/>
    <w:rsid w:val="00DB3CA7"/>
    <w:rsid w:val="00DB49CD"/>
    <w:rsid w:val="00DC1F34"/>
    <w:rsid w:val="00DC3615"/>
    <w:rsid w:val="00DC364F"/>
    <w:rsid w:val="00DC5341"/>
    <w:rsid w:val="00DC6338"/>
    <w:rsid w:val="00DC6D03"/>
    <w:rsid w:val="00DD7E59"/>
    <w:rsid w:val="00DE11A1"/>
    <w:rsid w:val="00DE19B5"/>
    <w:rsid w:val="00DE5462"/>
    <w:rsid w:val="00DE69A7"/>
    <w:rsid w:val="00DF0C05"/>
    <w:rsid w:val="00DF0C8F"/>
    <w:rsid w:val="00DF0EBB"/>
    <w:rsid w:val="00DF1456"/>
    <w:rsid w:val="00DF2271"/>
    <w:rsid w:val="00DF52C4"/>
    <w:rsid w:val="00E06949"/>
    <w:rsid w:val="00E104F9"/>
    <w:rsid w:val="00E10C87"/>
    <w:rsid w:val="00E1590C"/>
    <w:rsid w:val="00E167C4"/>
    <w:rsid w:val="00E20B0B"/>
    <w:rsid w:val="00E2170A"/>
    <w:rsid w:val="00E30045"/>
    <w:rsid w:val="00E4117A"/>
    <w:rsid w:val="00E43CE4"/>
    <w:rsid w:val="00E47767"/>
    <w:rsid w:val="00E502D5"/>
    <w:rsid w:val="00E53DDA"/>
    <w:rsid w:val="00E5433E"/>
    <w:rsid w:val="00E72F5D"/>
    <w:rsid w:val="00E77F14"/>
    <w:rsid w:val="00E82EF3"/>
    <w:rsid w:val="00E83E34"/>
    <w:rsid w:val="00E83E62"/>
    <w:rsid w:val="00E9721A"/>
    <w:rsid w:val="00E9769D"/>
    <w:rsid w:val="00E978DF"/>
    <w:rsid w:val="00EA0C22"/>
    <w:rsid w:val="00EA70DE"/>
    <w:rsid w:val="00EB1681"/>
    <w:rsid w:val="00EB735B"/>
    <w:rsid w:val="00EB7D7B"/>
    <w:rsid w:val="00EC60EB"/>
    <w:rsid w:val="00EE1995"/>
    <w:rsid w:val="00EE25D5"/>
    <w:rsid w:val="00EE2665"/>
    <w:rsid w:val="00EE2C2B"/>
    <w:rsid w:val="00EE2EBA"/>
    <w:rsid w:val="00EE3442"/>
    <w:rsid w:val="00EE3E5D"/>
    <w:rsid w:val="00EF2D10"/>
    <w:rsid w:val="00EF45AE"/>
    <w:rsid w:val="00F01E61"/>
    <w:rsid w:val="00F04DA9"/>
    <w:rsid w:val="00F06179"/>
    <w:rsid w:val="00F14769"/>
    <w:rsid w:val="00F15446"/>
    <w:rsid w:val="00F15991"/>
    <w:rsid w:val="00F15A20"/>
    <w:rsid w:val="00F16093"/>
    <w:rsid w:val="00F24361"/>
    <w:rsid w:val="00F26C3F"/>
    <w:rsid w:val="00F31093"/>
    <w:rsid w:val="00F416C3"/>
    <w:rsid w:val="00F456DC"/>
    <w:rsid w:val="00F50975"/>
    <w:rsid w:val="00F51493"/>
    <w:rsid w:val="00F52DD6"/>
    <w:rsid w:val="00F55390"/>
    <w:rsid w:val="00F71E7A"/>
    <w:rsid w:val="00F73714"/>
    <w:rsid w:val="00F7542C"/>
    <w:rsid w:val="00F86D2B"/>
    <w:rsid w:val="00F87B92"/>
    <w:rsid w:val="00F923F7"/>
    <w:rsid w:val="00F93A16"/>
    <w:rsid w:val="00F941C5"/>
    <w:rsid w:val="00FA66CE"/>
    <w:rsid w:val="00FA79F1"/>
    <w:rsid w:val="00FB14D8"/>
    <w:rsid w:val="00FB2293"/>
    <w:rsid w:val="00FB6BF3"/>
    <w:rsid w:val="00FC0D16"/>
    <w:rsid w:val="00FC3279"/>
    <w:rsid w:val="00FC607C"/>
    <w:rsid w:val="00FC6FB7"/>
    <w:rsid w:val="00FD4559"/>
    <w:rsid w:val="00FD70A7"/>
    <w:rsid w:val="00FD714C"/>
    <w:rsid w:val="00FD75C4"/>
    <w:rsid w:val="00FD788E"/>
    <w:rsid w:val="00FE2532"/>
    <w:rsid w:val="00FE35D9"/>
    <w:rsid w:val="00FE582D"/>
    <w:rsid w:val="00FE6DE7"/>
    <w:rsid w:val="014FA35C"/>
    <w:rsid w:val="01EC0599"/>
    <w:rsid w:val="0240CC01"/>
    <w:rsid w:val="0293043B"/>
    <w:rsid w:val="030E6730"/>
    <w:rsid w:val="03972426"/>
    <w:rsid w:val="055FBF38"/>
    <w:rsid w:val="057B2C33"/>
    <w:rsid w:val="05942F6E"/>
    <w:rsid w:val="072F9B02"/>
    <w:rsid w:val="090B1126"/>
    <w:rsid w:val="0AA37B0A"/>
    <w:rsid w:val="0BA537CE"/>
    <w:rsid w:val="0BE7AE47"/>
    <w:rsid w:val="0C6D1DCE"/>
    <w:rsid w:val="0D2C7F6C"/>
    <w:rsid w:val="0D6C5ABA"/>
    <w:rsid w:val="0E22DADD"/>
    <w:rsid w:val="11470E7C"/>
    <w:rsid w:val="11CBBAAF"/>
    <w:rsid w:val="131E7D20"/>
    <w:rsid w:val="13299CDB"/>
    <w:rsid w:val="1338C2CE"/>
    <w:rsid w:val="144E2A1F"/>
    <w:rsid w:val="151FF6CC"/>
    <w:rsid w:val="15B9302F"/>
    <w:rsid w:val="16A3BBB3"/>
    <w:rsid w:val="170F8854"/>
    <w:rsid w:val="17290AC0"/>
    <w:rsid w:val="173986E1"/>
    <w:rsid w:val="186CFD79"/>
    <w:rsid w:val="18771544"/>
    <w:rsid w:val="18C24CEE"/>
    <w:rsid w:val="18ECADA4"/>
    <w:rsid w:val="19461130"/>
    <w:rsid w:val="1A8CA152"/>
    <w:rsid w:val="1CDE93C5"/>
    <w:rsid w:val="1CDFA514"/>
    <w:rsid w:val="1D01AB83"/>
    <w:rsid w:val="1D8CFA27"/>
    <w:rsid w:val="1D8FA008"/>
    <w:rsid w:val="1DD25FF7"/>
    <w:rsid w:val="1E747CFA"/>
    <w:rsid w:val="1FCA952D"/>
    <w:rsid w:val="208DFCB1"/>
    <w:rsid w:val="2092F27B"/>
    <w:rsid w:val="2093B783"/>
    <w:rsid w:val="21B204E8"/>
    <w:rsid w:val="2237448E"/>
    <w:rsid w:val="22916DFF"/>
    <w:rsid w:val="234EE698"/>
    <w:rsid w:val="23BC230C"/>
    <w:rsid w:val="257C86CA"/>
    <w:rsid w:val="25BCB85C"/>
    <w:rsid w:val="26D668CA"/>
    <w:rsid w:val="278A7E6D"/>
    <w:rsid w:val="2984898D"/>
    <w:rsid w:val="2AB5ACD4"/>
    <w:rsid w:val="2B39FBFE"/>
    <w:rsid w:val="2CE8725F"/>
    <w:rsid w:val="2DE25364"/>
    <w:rsid w:val="2E8D2DF1"/>
    <w:rsid w:val="2F38AB89"/>
    <w:rsid w:val="2F666A59"/>
    <w:rsid w:val="2F75563D"/>
    <w:rsid w:val="2F7C67F5"/>
    <w:rsid w:val="2F9EA7FC"/>
    <w:rsid w:val="2FA99848"/>
    <w:rsid w:val="2FD36404"/>
    <w:rsid w:val="30D01018"/>
    <w:rsid w:val="31F2C854"/>
    <w:rsid w:val="32C283AD"/>
    <w:rsid w:val="333A58A1"/>
    <w:rsid w:val="3438E75D"/>
    <w:rsid w:val="345194E8"/>
    <w:rsid w:val="3484B8B8"/>
    <w:rsid w:val="34A9320C"/>
    <w:rsid w:val="34FD38C3"/>
    <w:rsid w:val="3563215D"/>
    <w:rsid w:val="383C239C"/>
    <w:rsid w:val="390A2D71"/>
    <w:rsid w:val="396FDA55"/>
    <w:rsid w:val="39AB0D0A"/>
    <w:rsid w:val="39BC5374"/>
    <w:rsid w:val="3AD0ECEB"/>
    <w:rsid w:val="3AF4A7D6"/>
    <w:rsid w:val="3B00A147"/>
    <w:rsid w:val="3BCC05EC"/>
    <w:rsid w:val="3C6ACC2A"/>
    <w:rsid w:val="3CAA4214"/>
    <w:rsid w:val="3D67D64D"/>
    <w:rsid w:val="3E0A4A6D"/>
    <w:rsid w:val="3F03A6AE"/>
    <w:rsid w:val="3F041F80"/>
    <w:rsid w:val="3F1A0B89"/>
    <w:rsid w:val="4053727D"/>
    <w:rsid w:val="409D3E33"/>
    <w:rsid w:val="40DFA7A6"/>
    <w:rsid w:val="424E3906"/>
    <w:rsid w:val="42C1E5E7"/>
    <w:rsid w:val="430A0F3B"/>
    <w:rsid w:val="435F6B81"/>
    <w:rsid w:val="43BDEF74"/>
    <w:rsid w:val="43FBC326"/>
    <w:rsid w:val="4472D71E"/>
    <w:rsid w:val="4627AB4B"/>
    <w:rsid w:val="47076285"/>
    <w:rsid w:val="48ED5F6C"/>
    <w:rsid w:val="49604A47"/>
    <w:rsid w:val="49FD16E0"/>
    <w:rsid w:val="4C4AD2B0"/>
    <w:rsid w:val="4CBCC44C"/>
    <w:rsid w:val="4CF9A705"/>
    <w:rsid w:val="4D2C002F"/>
    <w:rsid w:val="4D787FA1"/>
    <w:rsid w:val="4DB59319"/>
    <w:rsid w:val="4DFC4707"/>
    <w:rsid w:val="4E04988E"/>
    <w:rsid w:val="4E3294DD"/>
    <w:rsid w:val="4EAC5DFB"/>
    <w:rsid w:val="4F32FC72"/>
    <w:rsid w:val="506BDD92"/>
    <w:rsid w:val="50AB4C46"/>
    <w:rsid w:val="50EFFAD8"/>
    <w:rsid w:val="51A57770"/>
    <w:rsid w:val="51E0A4BE"/>
    <w:rsid w:val="52634E4D"/>
    <w:rsid w:val="5437F406"/>
    <w:rsid w:val="546C182A"/>
    <w:rsid w:val="54E757FE"/>
    <w:rsid w:val="55F4344C"/>
    <w:rsid w:val="56338C7A"/>
    <w:rsid w:val="57576985"/>
    <w:rsid w:val="57D950B2"/>
    <w:rsid w:val="594B1683"/>
    <w:rsid w:val="59DB553F"/>
    <w:rsid w:val="5A1D7562"/>
    <w:rsid w:val="5AE2D395"/>
    <w:rsid w:val="5AEEAEF8"/>
    <w:rsid w:val="5B10702E"/>
    <w:rsid w:val="5B2AFFB1"/>
    <w:rsid w:val="5B71B8A6"/>
    <w:rsid w:val="5BF87F56"/>
    <w:rsid w:val="5C292D8A"/>
    <w:rsid w:val="5CD67E16"/>
    <w:rsid w:val="5DA5EE7E"/>
    <w:rsid w:val="5E444AAB"/>
    <w:rsid w:val="5EFB672D"/>
    <w:rsid w:val="5FFA0CB7"/>
    <w:rsid w:val="6077C8C5"/>
    <w:rsid w:val="60FE4BCB"/>
    <w:rsid w:val="62B955FB"/>
    <w:rsid w:val="63A60A62"/>
    <w:rsid w:val="6520D073"/>
    <w:rsid w:val="6538BD6C"/>
    <w:rsid w:val="6585D80F"/>
    <w:rsid w:val="66149366"/>
    <w:rsid w:val="678DC172"/>
    <w:rsid w:val="6893508A"/>
    <w:rsid w:val="690ED47E"/>
    <w:rsid w:val="691C97FF"/>
    <w:rsid w:val="696E3A97"/>
    <w:rsid w:val="6AA9DDFD"/>
    <w:rsid w:val="6B7DD43E"/>
    <w:rsid w:val="6BCF3BD7"/>
    <w:rsid w:val="6BEC6E73"/>
    <w:rsid w:val="6C7B9F63"/>
    <w:rsid w:val="6CB1A08E"/>
    <w:rsid w:val="6D6FAA57"/>
    <w:rsid w:val="6D7226A4"/>
    <w:rsid w:val="6DD73F2D"/>
    <w:rsid w:val="6EC41A22"/>
    <w:rsid w:val="70E9D990"/>
    <w:rsid w:val="71391AEA"/>
    <w:rsid w:val="71AF790A"/>
    <w:rsid w:val="71BC623C"/>
    <w:rsid w:val="71FF0B7A"/>
    <w:rsid w:val="72D9EE11"/>
    <w:rsid w:val="74E16083"/>
    <w:rsid w:val="757F337C"/>
    <w:rsid w:val="764DAA40"/>
    <w:rsid w:val="76E3576A"/>
    <w:rsid w:val="7814BF86"/>
    <w:rsid w:val="795DB9D3"/>
    <w:rsid w:val="7A4A8B5F"/>
    <w:rsid w:val="7A561AE5"/>
    <w:rsid w:val="7C0D64F5"/>
    <w:rsid w:val="7E3DAB08"/>
    <w:rsid w:val="7E69425B"/>
    <w:rsid w:val="7FC869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88A"/>
  <w15:chartTrackingRefBased/>
  <w15:docId w15:val="{7C3F4ADB-B194-4E57-A6C6-7AD92E37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6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1DC"/>
    <w:rPr>
      <w:i/>
      <w:iCs/>
    </w:rPr>
  </w:style>
  <w:style w:type="character" w:styleId="Strong">
    <w:name w:val="Strong"/>
    <w:basedOn w:val="DefaultParagraphFont"/>
    <w:uiPriority w:val="22"/>
    <w:qFormat/>
    <w:rsid w:val="000411DC"/>
    <w:rPr>
      <w:b/>
      <w:bCs/>
    </w:rPr>
  </w:style>
  <w:style w:type="character" w:customStyle="1" w:styleId="highwire-citation-authors">
    <w:name w:val="highwire-citation-authors"/>
    <w:basedOn w:val="DefaultParagraphFont"/>
    <w:rsid w:val="002057DC"/>
  </w:style>
  <w:style w:type="character" w:customStyle="1" w:styleId="highwire-citation-author">
    <w:name w:val="highwire-citation-author"/>
    <w:basedOn w:val="DefaultParagraphFont"/>
    <w:rsid w:val="002057DC"/>
  </w:style>
  <w:style w:type="character" w:customStyle="1" w:styleId="nlm-given-names">
    <w:name w:val="nlm-given-names"/>
    <w:basedOn w:val="DefaultParagraphFont"/>
    <w:rsid w:val="002057DC"/>
  </w:style>
  <w:style w:type="character" w:customStyle="1" w:styleId="nlm-surname">
    <w:name w:val="nlm-surname"/>
    <w:basedOn w:val="DefaultParagraphFont"/>
    <w:rsid w:val="002057DC"/>
  </w:style>
  <w:style w:type="character" w:customStyle="1" w:styleId="highwire-cite-metadata-journal">
    <w:name w:val="highwire-cite-metadata-journal"/>
    <w:basedOn w:val="DefaultParagraphFont"/>
    <w:rsid w:val="002057DC"/>
  </w:style>
  <w:style w:type="character" w:customStyle="1" w:styleId="highwire-cite-metadata-date">
    <w:name w:val="highwire-cite-metadata-date"/>
    <w:basedOn w:val="DefaultParagraphFont"/>
    <w:rsid w:val="002057DC"/>
  </w:style>
  <w:style w:type="character" w:customStyle="1" w:styleId="highwire-cite-metadata-volume">
    <w:name w:val="highwire-cite-metadata-volume"/>
    <w:basedOn w:val="DefaultParagraphFont"/>
    <w:rsid w:val="002057DC"/>
  </w:style>
  <w:style w:type="character" w:customStyle="1" w:styleId="highwire-cite-metadata-issue">
    <w:name w:val="highwire-cite-metadata-issue"/>
    <w:basedOn w:val="DefaultParagraphFont"/>
    <w:rsid w:val="002057DC"/>
  </w:style>
  <w:style w:type="character" w:customStyle="1" w:styleId="highwire-cite-metadata-pages">
    <w:name w:val="highwire-cite-metadata-pages"/>
    <w:basedOn w:val="DefaultParagraphFont"/>
    <w:rsid w:val="002057DC"/>
  </w:style>
  <w:style w:type="character" w:customStyle="1" w:styleId="highwire-cite-metadata-doi">
    <w:name w:val="highwire-cite-metadata-doi"/>
    <w:basedOn w:val="DefaultParagraphFont"/>
    <w:rsid w:val="002057DC"/>
  </w:style>
  <w:style w:type="character" w:customStyle="1" w:styleId="label">
    <w:name w:val="label"/>
    <w:basedOn w:val="DefaultParagraphFont"/>
    <w:rsid w:val="002057DC"/>
  </w:style>
  <w:style w:type="character" w:styleId="Hyperlink">
    <w:name w:val="Hyperlink"/>
    <w:basedOn w:val="DefaultParagraphFont"/>
    <w:uiPriority w:val="99"/>
    <w:unhideWhenUsed/>
    <w:rsid w:val="002B4829"/>
    <w:rPr>
      <w:color w:val="0000FF"/>
      <w:u w:val="single"/>
    </w:rPr>
  </w:style>
  <w:style w:type="character" w:styleId="UnresolvedMention">
    <w:name w:val="Unresolved Mention"/>
    <w:basedOn w:val="DefaultParagraphFont"/>
    <w:uiPriority w:val="99"/>
    <w:semiHidden/>
    <w:unhideWhenUsed/>
    <w:rsid w:val="002B4829"/>
    <w:rPr>
      <w:color w:val="605E5C"/>
      <w:shd w:val="clear" w:color="auto" w:fill="E1DFDD"/>
    </w:rPr>
  </w:style>
  <w:style w:type="character" w:customStyle="1" w:styleId="Heading1Char">
    <w:name w:val="Heading 1 Char"/>
    <w:basedOn w:val="DefaultParagraphFont"/>
    <w:link w:val="Heading1"/>
    <w:uiPriority w:val="9"/>
    <w:rsid w:val="00A06CFC"/>
    <w:rPr>
      <w:rFonts w:ascii="Times New Roman" w:eastAsia="Times New Roman" w:hAnsi="Times New Roman" w:cs="Times New Roman"/>
      <w:b/>
      <w:bCs/>
      <w:kern w:val="36"/>
      <w:sz w:val="48"/>
      <w:szCs w:val="48"/>
      <w:lang w:eastAsia="en-CA"/>
    </w:rPr>
  </w:style>
  <w:style w:type="character" w:styleId="CommentReference">
    <w:name w:val="annotation reference"/>
    <w:basedOn w:val="DefaultParagraphFont"/>
    <w:uiPriority w:val="99"/>
    <w:semiHidden/>
    <w:unhideWhenUsed/>
    <w:rsid w:val="003B293A"/>
    <w:rPr>
      <w:sz w:val="16"/>
      <w:szCs w:val="16"/>
    </w:rPr>
  </w:style>
  <w:style w:type="paragraph" w:styleId="CommentText">
    <w:name w:val="annotation text"/>
    <w:basedOn w:val="Normal"/>
    <w:link w:val="CommentTextChar"/>
    <w:uiPriority w:val="99"/>
    <w:unhideWhenUsed/>
    <w:rsid w:val="003B293A"/>
    <w:pPr>
      <w:spacing w:line="240" w:lineRule="auto"/>
    </w:pPr>
    <w:rPr>
      <w:sz w:val="20"/>
      <w:szCs w:val="20"/>
    </w:rPr>
  </w:style>
  <w:style w:type="character" w:customStyle="1" w:styleId="CommentTextChar">
    <w:name w:val="Comment Text Char"/>
    <w:basedOn w:val="DefaultParagraphFont"/>
    <w:link w:val="CommentText"/>
    <w:uiPriority w:val="99"/>
    <w:rsid w:val="003B293A"/>
    <w:rPr>
      <w:sz w:val="20"/>
      <w:szCs w:val="20"/>
    </w:rPr>
  </w:style>
  <w:style w:type="paragraph" w:styleId="CommentSubject">
    <w:name w:val="annotation subject"/>
    <w:basedOn w:val="CommentText"/>
    <w:next w:val="CommentText"/>
    <w:link w:val="CommentSubjectChar"/>
    <w:uiPriority w:val="99"/>
    <w:semiHidden/>
    <w:unhideWhenUsed/>
    <w:rsid w:val="003B293A"/>
    <w:rPr>
      <w:b/>
      <w:bCs/>
    </w:rPr>
  </w:style>
  <w:style w:type="character" w:customStyle="1" w:styleId="CommentSubjectChar">
    <w:name w:val="Comment Subject Char"/>
    <w:basedOn w:val="CommentTextChar"/>
    <w:link w:val="CommentSubject"/>
    <w:uiPriority w:val="99"/>
    <w:semiHidden/>
    <w:rsid w:val="003B293A"/>
    <w:rPr>
      <w:b/>
      <w:bCs/>
      <w:sz w:val="20"/>
      <w:szCs w:val="20"/>
    </w:rPr>
  </w:style>
  <w:style w:type="paragraph" w:styleId="BalloonText">
    <w:name w:val="Balloon Text"/>
    <w:basedOn w:val="Normal"/>
    <w:link w:val="BalloonTextChar"/>
    <w:uiPriority w:val="99"/>
    <w:semiHidden/>
    <w:unhideWhenUsed/>
    <w:rsid w:val="003B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93A"/>
    <w:rPr>
      <w:rFonts w:ascii="Segoe UI" w:hAnsi="Segoe UI" w:cs="Segoe UI"/>
      <w:sz w:val="18"/>
      <w:szCs w:val="18"/>
    </w:rPr>
  </w:style>
  <w:style w:type="paragraph" w:styleId="ListParagraph">
    <w:name w:val="List Paragraph"/>
    <w:basedOn w:val="Normal"/>
    <w:uiPriority w:val="34"/>
    <w:qFormat/>
    <w:rsid w:val="00131F76"/>
    <w:pPr>
      <w:ind w:left="720"/>
      <w:contextualSpacing/>
    </w:pPr>
  </w:style>
  <w:style w:type="paragraph" w:styleId="Header">
    <w:name w:val="header"/>
    <w:basedOn w:val="Normal"/>
    <w:link w:val="HeaderChar"/>
    <w:uiPriority w:val="99"/>
    <w:unhideWhenUsed/>
    <w:rsid w:val="006B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930"/>
  </w:style>
  <w:style w:type="paragraph" w:styleId="Footer">
    <w:name w:val="footer"/>
    <w:basedOn w:val="Normal"/>
    <w:link w:val="FooterChar"/>
    <w:uiPriority w:val="99"/>
    <w:unhideWhenUsed/>
    <w:rsid w:val="006B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930"/>
  </w:style>
  <w:style w:type="character" w:styleId="FollowedHyperlink">
    <w:name w:val="FollowedHyperlink"/>
    <w:basedOn w:val="DefaultParagraphFont"/>
    <w:uiPriority w:val="99"/>
    <w:semiHidden/>
    <w:unhideWhenUsed/>
    <w:rsid w:val="001A16B9"/>
    <w:rPr>
      <w:color w:val="954F72" w:themeColor="followedHyperlink"/>
      <w:u w:val="single"/>
    </w:rPr>
  </w:style>
  <w:style w:type="paragraph" w:styleId="Revision">
    <w:name w:val="Revision"/>
    <w:hidden/>
    <w:uiPriority w:val="99"/>
    <w:semiHidden/>
    <w:rsid w:val="008930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84206">
      <w:bodyDiv w:val="1"/>
      <w:marLeft w:val="0"/>
      <w:marRight w:val="0"/>
      <w:marTop w:val="0"/>
      <w:marBottom w:val="0"/>
      <w:divBdr>
        <w:top w:val="none" w:sz="0" w:space="0" w:color="auto"/>
        <w:left w:val="none" w:sz="0" w:space="0" w:color="auto"/>
        <w:bottom w:val="none" w:sz="0" w:space="0" w:color="auto"/>
        <w:right w:val="none" w:sz="0" w:space="0" w:color="auto"/>
      </w:divBdr>
      <w:divsChild>
        <w:div w:id="1164128058">
          <w:marLeft w:val="0"/>
          <w:marRight w:val="0"/>
          <w:marTop w:val="0"/>
          <w:marBottom w:val="0"/>
          <w:divBdr>
            <w:top w:val="none" w:sz="0" w:space="0" w:color="auto"/>
            <w:left w:val="none" w:sz="0" w:space="0" w:color="auto"/>
            <w:bottom w:val="none" w:sz="0" w:space="0" w:color="auto"/>
            <w:right w:val="none" w:sz="0" w:space="0" w:color="auto"/>
          </w:divBdr>
        </w:div>
        <w:div w:id="1452478101">
          <w:marLeft w:val="0"/>
          <w:marRight w:val="0"/>
          <w:marTop w:val="0"/>
          <w:marBottom w:val="0"/>
          <w:divBdr>
            <w:top w:val="none" w:sz="0" w:space="0" w:color="auto"/>
            <w:left w:val="none" w:sz="0" w:space="0" w:color="auto"/>
            <w:bottom w:val="none" w:sz="0" w:space="0" w:color="auto"/>
            <w:right w:val="none" w:sz="0" w:space="0" w:color="auto"/>
          </w:divBdr>
        </w:div>
      </w:divsChild>
    </w:div>
    <w:div w:id="134493603">
      <w:bodyDiv w:val="1"/>
      <w:marLeft w:val="0"/>
      <w:marRight w:val="0"/>
      <w:marTop w:val="0"/>
      <w:marBottom w:val="0"/>
      <w:divBdr>
        <w:top w:val="none" w:sz="0" w:space="0" w:color="auto"/>
        <w:left w:val="none" w:sz="0" w:space="0" w:color="auto"/>
        <w:bottom w:val="none" w:sz="0" w:space="0" w:color="auto"/>
        <w:right w:val="none" w:sz="0" w:space="0" w:color="auto"/>
      </w:divBdr>
      <w:divsChild>
        <w:div w:id="1798571991">
          <w:marLeft w:val="0"/>
          <w:marRight w:val="0"/>
          <w:marTop w:val="0"/>
          <w:marBottom w:val="300"/>
          <w:divBdr>
            <w:top w:val="none" w:sz="0" w:space="0" w:color="auto"/>
            <w:left w:val="none" w:sz="0" w:space="0" w:color="auto"/>
            <w:bottom w:val="none" w:sz="0" w:space="0" w:color="auto"/>
            <w:right w:val="none" w:sz="0" w:space="0" w:color="auto"/>
          </w:divBdr>
        </w:div>
        <w:div w:id="1205873414">
          <w:marLeft w:val="0"/>
          <w:marRight w:val="0"/>
          <w:marTop w:val="0"/>
          <w:marBottom w:val="300"/>
          <w:divBdr>
            <w:top w:val="none" w:sz="0" w:space="0" w:color="auto"/>
            <w:left w:val="none" w:sz="0" w:space="0" w:color="auto"/>
            <w:bottom w:val="none" w:sz="0" w:space="0" w:color="auto"/>
            <w:right w:val="none" w:sz="0" w:space="0" w:color="auto"/>
          </w:divBdr>
        </w:div>
      </w:divsChild>
    </w:div>
    <w:div w:id="236139593">
      <w:bodyDiv w:val="1"/>
      <w:marLeft w:val="0"/>
      <w:marRight w:val="0"/>
      <w:marTop w:val="0"/>
      <w:marBottom w:val="0"/>
      <w:divBdr>
        <w:top w:val="none" w:sz="0" w:space="0" w:color="auto"/>
        <w:left w:val="none" w:sz="0" w:space="0" w:color="auto"/>
        <w:bottom w:val="none" w:sz="0" w:space="0" w:color="auto"/>
        <w:right w:val="none" w:sz="0" w:space="0" w:color="auto"/>
      </w:divBdr>
    </w:div>
    <w:div w:id="352924442">
      <w:bodyDiv w:val="1"/>
      <w:marLeft w:val="0"/>
      <w:marRight w:val="0"/>
      <w:marTop w:val="0"/>
      <w:marBottom w:val="0"/>
      <w:divBdr>
        <w:top w:val="none" w:sz="0" w:space="0" w:color="auto"/>
        <w:left w:val="none" w:sz="0" w:space="0" w:color="auto"/>
        <w:bottom w:val="none" w:sz="0" w:space="0" w:color="auto"/>
        <w:right w:val="none" w:sz="0" w:space="0" w:color="auto"/>
      </w:divBdr>
    </w:div>
    <w:div w:id="608202785">
      <w:bodyDiv w:val="1"/>
      <w:marLeft w:val="0"/>
      <w:marRight w:val="0"/>
      <w:marTop w:val="0"/>
      <w:marBottom w:val="0"/>
      <w:divBdr>
        <w:top w:val="none" w:sz="0" w:space="0" w:color="auto"/>
        <w:left w:val="none" w:sz="0" w:space="0" w:color="auto"/>
        <w:bottom w:val="none" w:sz="0" w:space="0" w:color="auto"/>
        <w:right w:val="none" w:sz="0" w:space="0" w:color="auto"/>
      </w:divBdr>
    </w:div>
    <w:div w:id="719596069">
      <w:bodyDiv w:val="1"/>
      <w:marLeft w:val="0"/>
      <w:marRight w:val="0"/>
      <w:marTop w:val="0"/>
      <w:marBottom w:val="0"/>
      <w:divBdr>
        <w:top w:val="none" w:sz="0" w:space="0" w:color="auto"/>
        <w:left w:val="none" w:sz="0" w:space="0" w:color="auto"/>
        <w:bottom w:val="none" w:sz="0" w:space="0" w:color="auto"/>
        <w:right w:val="none" w:sz="0" w:space="0" w:color="auto"/>
      </w:divBdr>
    </w:div>
    <w:div w:id="770931213">
      <w:bodyDiv w:val="1"/>
      <w:marLeft w:val="0"/>
      <w:marRight w:val="0"/>
      <w:marTop w:val="0"/>
      <w:marBottom w:val="0"/>
      <w:divBdr>
        <w:top w:val="none" w:sz="0" w:space="0" w:color="auto"/>
        <w:left w:val="none" w:sz="0" w:space="0" w:color="auto"/>
        <w:bottom w:val="none" w:sz="0" w:space="0" w:color="auto"/>
        <w:right w:val="none" w:sz="0" w:space="0" w:color="auto"/>
      </w:divBdr>
      <w:divsChild>
        <w:div w:id="1969630175">
          <w:marLeft w:val="0"/>
          <w:marRight w:val="0"/>
          <w:marTop w:val="0"/>
          <w:marBottom w:val="0"/>
          <w:divBdr>
            <w:top w:val="none" w:sz="0" w:space="0" w:color="auto"/>
            <w:left w:val="none" w:sz="0" w:space="0" w:color="auto"/>
            <w:bottom w:val="none" w:sz="0" w:space="0" w:color="auto"/>
            <w:right w:val="none" w:sz="0" w:space="0" w:color="auto"/>
          </w:divBdr>
        </w:div>
      </w:divsChild>
    </w:div>
    <w:div w:id="871498459">
      <w:bodyDiv w:val="1"/>
      <w:marLeft w:val="0"/>
      <w:marRight w:val="0"/>
      <w:marTop w:val="0"/>
      <w:marBottom w:val="0"/>
      <w:divBdr>
        <w:top w:val="none" w:sz="0" w:space="0" w:color="auto"/>
        <w:left w:val="none" w:sz="0" w:space="0" w:color="auto"/>
        <w:bottom w:val="none" w:sz="0" w:space="0" w:color="auto"/>
        <w:right w:val="none" w:sz="0" w:space="0" w:color="auto"/>
      </w:divBdr>
    </w:div>
    <w:div w:id="1153372262">
      <w:bodyDiv w:val="1"/>
      <w:marLeft w:val="0"/>
      <w:marRight w:val="0"/>
      <w:marTop w:val="0"/>
      <w:marBottom w:val="0"/>
      <w:divBdr>
        <w:top w:val="none" w:sz="0" w:space="0" w:color="auto"/>
        <w:left w:val="none" w:sz="0" w:space="0" w:color="auto"/>
        <w:bottom w:val="none" w:sz="0" w:space="0" w:color="auto"/>
        <w:right w:val="none" w:sz="0" w:space="0" w:color="auto"/>
      </w:divBdr>
    </w:div>
    <w:div w:id="1511068117">
      <w:bodyDiv w:val="1"/>
      <w:marLeft w:val="0"/>
      <w:marRight w:val="0"/>
      <w:marTop w:val="0"/>
      <w:marBottom w:val="0"/>
      <w:divBdr>
        <w:top w:val="none" w:sz="0" w:space="0" w:color="auto"/>
        <w:left w:val="none" w:sz="0" w:space="0" w:color="auto"/>
        <w:bottom w:val="none" w:sz="0" w:space="0" w:color="auto"/>
        <w:right w:val="none" w:sz="0" w:space="0" w:color="auto"/>
      </w:divBdr>
      <w:divsChild>
        <w:div w:id="1018123910">
          <w:marLeft w:val="0"/>
          <w:marRight w:val="0"/>
          <w:marTop w:val="0"/>
          <w:marBottom w:val="0"/>
          <w:divBdr>
            <w:top w:val="none" w:sz="0" w:space="0" w:color="auto"/>
            <w:left w:val="none" w:sz="0" w:space="0" w:color="auto"/>
            <w:bottom w:val="none" w:sz="0" w:space="0" w:color="auto"/>
            <w:right w:val="none" w:sz="0" w:space="0" w:color="auto"/>
          </w:divBdr>
        </w:div>
        <w:div w:id="109053081">
          <w:marLeft w:val="0"/>
          <w:marRight w:val="0"/>
          <w:marTop w:val="75"/>
          <w:marBottom w:val="75"/>
          <w:divBdr>
            <w:top w:val="none" w:sz="0" w:space="0" w:color="auto"/>
            <w:left w:val="none" w:sz="0" w:space="0" w:color="auto"/>
            <w:bottom w:val="none" w:sz="0" w:space="0" w:color="auto"/>
            <w:right w:val="none" w:sz="0" w:space="0" w:color="auto"/>
          </w:divBdr>
        </w:div>
        <w:div w:id="1923367763">
          <w:marLeft w:val="0"/>
          <w:marRight w:val="0"/>
          <w:marTop w:val="0"/>
          <w:marBottom w:val="0"/>
          <w:divBdr>
            <w:top w:val="none" w:sz="0" w:space="0" w:color="auto"/>
            <w:left w:val="none" w:sz="0" w:space="0" w:color="auto"/>
            <w:bottom w:val="none" w:sz="0" w:space="0" w:color="auto"/>
            <w:right w:val="none" w:sz="0" w:space="0" w:color="auto"/>
          </w:divBdr>
        </w:div>
      </w:divsChild>
    </w:div>
    <w:div w:id="1865900067">
      <w:bodyDiv w:val="1"/>
      <w:marLeft w:val="0"/>
      <w:marRight w:val="0"/>
      <w:marTop w:val="0"/>
      <w:marBottom w:val="0"/>
      <w:divBdr>
        <w:top w:val="none" w:sz="0" w:space="0" w:color="auto"/>
        <w:left w:val="none" w:sz="0" w:space="0" w:color="auto"/>
        <w:bottom w:val="none" w:sz="0" w:space="0" w:color="auto"/>
        <w:right w:val="none" w:sz="0" w:space="0" w:color="auto"/>
      </w:divBdr>
      <w:divsChild>
        <w:div w:id="1031758246">
          <w:marLeft w:val="0"/>
          <w:marRight w:val="0"/>
          <w:marTop w:val="256"/>
          <w:marBottom w:val="256"/>
          <w:divBdr>
            <w:top w:val="none" w:sz="0" w:space="0" w:color="auto"/>
            <w:left w:val="none" w:sz="0" w:space="0" w:color="auto"/>
            <w:bottom w:val="none" w:sz="0" w:space="0" w:color="auto"/>
            <w:right w:val="none" w:sz="0" w:space="0" w:color="auto"/>
          </w:divBdr>
          <w:divsChild>
            <w:div w:id="1326201809">
              <w:marLeft w:val="0"/>
              <w:marRight w:val="0"/>
              <w:marTop w:val="0"/>
              <w:marBottom w:val="0"/>
              <w:divBdr>
                <w:top w:val="none" w:sz="0" w:space="0" w:color="auto"/>
                <w:left w:val="none" w:sz="0" w:space="0" w:color="auto"/>
                <w:bottom w:val="none" w:sz="0" w:space="0" w:color="auto"/>
                <w:right w:val="none" w:sz="0" w:space="0" w:color="auto"/>
              </w:divBdr>
            </w:div>
            <w:div w:id="1508255161">
              <w:marLeft w:val="0"/>
              <w:marRight w:val="0"/>
              <w:marTop w:val="0"/>
              <w:marBottom w:val="0"/>
              <w:divBdr>
                <w:top w:val="none" w:sz="0" w:space="0" w:color="auto"/>
                <w:left w:val="none" w:sz="0" w:space="0" w:color="auto"/>
                <w:bottom w:val="none" w:sz="0" w:space="0" w:color="auto"/>
                <w:right w:val="none" w:sz="0" w:space="0" w:color="auto"/>
              </w:divBdr>
            </w:div>
          </w:divsChild>
        </w:div>
        <w:div w:id="972294411">
          <w:marLeft w:val="0"/>
          <w:marRight w:val="0"/>
          <w:marTop w:val="0"/>
          <w:marBottom w:val="0"/>
          <w:divBdr>
            <w:top w:val="none" w:sz="0" w:space="0" w:color="auto"/>
            <w:left w:val="none" w:sz="0" w:space="0" w:color="auto"/>
            <w:bottom w:val="none" w:sz="0" w:space="0" w:color="auto"/>
            <w:right w:val="none" w:sz="0" w:space="0" w:color="auto"/>
          </w:divBdr>
          <w:divsChild>
            <w:div w:id="1395929066">
              <w:marLeft w:val="0"/>
              <w:marRight w:val="0"/>
              <w:marTop w:val="256"/>
              <w:marBottom w:val="256"/>
              <w:divBdr>
                <w:top w:val="none" w:sz="0" w:space="0" w:color="auto"/>
                <w:left w:val="none" w:sz="0" w:space="0" w:color="auto"/>
                <w:bottom w:val="none" w:sz="0" w:space="0" w:color="auto"/>
                <w:right w:val="none" w:sz="0" w:space="0" w:color="auto"/>
              </w:divBdr>
            </w:div>
            <w:div w:id="751388736">
              <w:marLeft w:val="0"/>
              <w:marRight w:val="0"/>
              <w:marTop w:val="0"/>
              <w:marBottom w:val="0"/>
              <w:divBdr>
                <w:top w:val="none" w:sz="0" w:space="0" w:color="auto"/>
                <w:left w:val="none" w:sz="0" w:space="0" w:color="auto"/>
                <w:bottom w:val="none" w:sz="0" w:space="0" w:color="auto"/>
                <w:right w:val="none" w:sz="0" w:space="0" w:color="auto"/>
              </w:divBdr>
            </w:div>
            <w:div w:id="1515612177">
              <w:marLeft w:val="0"/>
              <w:marRight w:val="0"/>
              <w:marTop w:val="256"/>
              <w:marBottom w:val="256"/>
              <w:divBdr>
                <w:top w:val="none" w:sz="0" w:space="0" w:color="auto"/>
                <w:left w:val="none" w:sz="0" w:space="0" w:color="auto"/>
                <w:bottom w:val="none" w:sz="0" w:space="0" w:color="auto"/>
                <w:right w:val="none" w:sz="0" w:space="0" w:color="auto"/>
              </w:divBdr>
            </w:div>
            <w:div w:id="2071689471">
              <w:marLeft w:val="0"/>
              <w:marRight w:val="0"/>
              <w:marTop w:val="256"/>
              <w:marBottom w:val="256"/>
              <w:divBdr>
                <w:top w:val="none" w:sz="0" w:space="0" w:color="auto"/>
                <w:left w:val="none" w:sz="0" w:space="0" w:color="auto"/>
                <w:bottom w:val="none" w:sz="0" w:space="0" w:color="auto"/>
                <w:right w:val="none" w:sz="0" w:space="0" w:color="auto"/>
              </w:divBdr>
            </w:div>
            <w:div w:id="123937899">
              <w:marLeft w:val="0"/>
              <w:marRight w:val="0"/>
              <w:marTop w:val="256"/>
              <w:marBottom w:val="256"/>
              <w:divBdr>
                <w:top w:val="none" w:sz="0" w:space="0" w:color="auto"/>
                <w:left w:val="none" w:sz="0" w:space="0" w:color="auto"/>
                <w:bottom w:val="none" w:sz="0" w:space="0" w:color="auto"/>
                <w:right w:val="none" w:sz="0" w:space="0" w:color="auto"/>
              </w:divBdr>
            </w:div>
          </w:divsChild>
        </w:div>
      </w:divsChild>
    </w:div>
    <w:div w:id="1937134752">
      <w:bodyDiv w:val="1"/>
      <w:marLeft w:val="0"/>
      <w:marRight w:val="0"/>
      <w:marTop w:val="0"/>
      <w:marBottom w:val="0"/>
      <w:divBdr>
        <w:top w:val="none" w:sz="0" w:space="0" w:color="auto"/>
        <w:left w:val="none" w:sz="0" w:space="0" w:color="auto"/>
        <w:bottom w:val="none" w:sz="0" w:space="0" w:color="auto"/>
        <w:right w:val="none" w:sz="0" w:space="0" w:color="auto"/>
      </w:divBdr>
      <w:divsChild>
        <w:div w:id="245261842">
          <w:marLeft w:val="0"/>
          <w:marRight w:val="0"/>
          <w:marTop w:val="0"/>
          <w:marBottom w:val="0"/>
          <w:divBdr>
            <w:top w:val="none" w:sz="0" w:space="0" w:color="auto"/>
            <w:left w:val="none" w:sz="0" w:space="0" w:color="auto"/>
            <w:bottom w:val="none" w:sz="0" w:space="0" w:color="auto"/>
            <w:right w:val="none" w:sz="0" w:space="0" w:color="auto"/>
          </w:divBdr>
        </w:div>
        <w:div w:id="1555658180">
          <w:marLeft w:val="0"/>
          <w:marRight w:val="0"/>
          <w:marTop w:val="0"/>
          <w:marBottom w:val="0"/>
          <w:divBdr>
            <w:top w:val="none" w:sz="0" w:space="0" w:color="auto"/>
            <w:left w:val="none" w:sz="0" w:space="0" w:color="auto"/>
            <w:bottom w:val="none" w:sz="0" w:space="0" w:color="auto"/>
            <w:right w:val="none" w:sz="0" w:space="0" w:color="auto"/>
          </w:divBdr>
        </w:div>
        <w:div w:id="269052531">
          <w:marLeft w:val="0"/>
          <w:marRight w:val="0"/>
          <w:marTop w:val="0"/>
          <w:marBottom w:val="0"/>
          <w:divBdr>
            <w:top w:val="none" w:sz="0" w:space="0" w:color="auto"/>
            <w:left w:val="none" w:sz="0" w:space="0" w:color="auto"/>
            <w:bottom w:val="none" w:sz="0" w:space="0" w:color="auto"/>
            <w:right w:val="none" w:sz="0" w:space="0" w:color="auto"/>
          </w:divBdr>
        </w:div>
        <w:div w:id="1636910029">
          <w:marLeft w:val="0"/>
          <w:marRight w:val="0"/>
          <w:marTop w:val="0"/>
          <w:marBottom w:val="0"/>
          <w:divBdr>
            <w:top w:val="none" w:sz="0" w:space="0" w:color="auto"/>
            <w:left w:val="none" w:sz="0" w:space="0" w:color="auto"/>
            <w:bottom w:val="none" w:sz="0" w:space="0" w:color="auto"/>
            <w:right w:val="none" w:sz="0" w:space="0" w:color="auto"/>
          </w:divBdr>
        </w:div>
        <w:div w:id="1021249066">
          <w:marLeft w:val="0"/>
          <w:marRight w:val="0"/>
          <w:marTop w:val="0"/>
          <w:marBottom w:val="0"/>
          <w:divBdr>
            <w:top w:val="none" w:sz="0" w:space="0" w:color="auto"/>
            <w:left w:val="none" w:sz="0" w:space="0" w:color="auto"/>
            <w:bottom w:val="none" w:sz="0" w:space="0" w:color="auto"/>
            <w:right w:val="none" w:sz="0" w:space="0" w:color="auto"/>
          </w:divBdr>
        </w:div>
      </w:divsChild>
    </w:div>
    <w:div w:id="1990934631">
      <w:bodyDiv w:val="1"/>
      <w:marLeft w:val="0"/>
      <w:marRight w:val="0"/>
      <w:marTop w:val="0"/>
      <w:marBottom w:val="0"/>
      <w:divBdr>
        <w:top w:val="none" w:sz="0" w:space="0" w:color="auto"/>
        <w:left w:val="none" w:sz="0" w:space="0" w:color="auto"/>
        <w:bottom w:val="none" w:sz="0" w:space="0" w:color="auto"/>
        <w:right w:val="none" w:sz="0" w:space="0" w:color="auto"/>
      </w:divBdr>
    </w:div>
    <w:div w:id="208779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regionofwaterloo.ca/en/health-and-wellness/positive-cases-in-waterloo-region.aspx" TargetMode="External"/><Relationship Id="rId18" Type="http://schemas.openxmlformats.org/officeDocument/2006/relationships/hyperlink" Target="https://doi.org/10.1186/1471-2458-12-679"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imperial.ac.uk/media/imperial-college/medicine/sph/ide/gida-fellowships/Imperial-College-COVID19-NPI-modelling-16-03-2020.pdf" TargetMode="External"/><Relationship Id="rId7" Type="http://schemas.openxmlformats.org/officeDocument/2006/relationships/endnotes" Target="endnotes.xml"/><Relationship Id="rId12" Type="http://schemas.openxmlformats.org/officeDocument/2006/relationships/hyperlink" Target="https://www12.statcan.gc.ca/census-recensement/2016/as-sa/fogs-spg/Facts-cma-eng.cfm?LANG=Eng&amp;GK=CMA&amp;GC=541&amp;TOPIC=1" TargetMode="External"/><Relationship Id="rId17" Type="http://schemas.openxmlformats.org/officeDocument/2006/relationships/hyperlink" Target="https://doi.org/10.3201/eid2605.190995" TargetMode="External"/><Relationship Id="rId25" Type="http://schemas.openxmlformats.org/officeDocument/2006/relationships/hyperlink" Target="http://dx.doi.org/10.15585/mmwr.mm6932a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x.doi.org/10.2105%2FAJPH.2005.07730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bc.ca/news/politics/domestic-violence%20-rates%20rising-due-to-covid19-1.5545851"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25561/77731"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93/jtm/taaa02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www.cdc.gov/sars/guidance/d-quarantine/app1.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1D757-4AA0-4EF0-9349-0C8885C8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11</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 (NIH/NIMH) [F]</cp:lastModifiedBy>
  <cp:revision>22</cp:revision>
  <dcterms:created xsi:type="dcterms:W3CDTF">2021-02-12T17:03:00Z</dcterms:created>
  <dcterms:modified xsi:type="dcterms:W3CDTF">2021-02-19T01:10:00Z</dcterms:modified>
</cp:coreProperties>
</file>