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B02A1E"/>
          <w:spacing w:val="30"/>
          <w:sz w:val="20"/>
          <w:szCs w:val="20"/>
        </w:rPr>
        <w:t xml:space="preserve">BUSHWICK DAILY</w:t>
      </w:r>
      <w:r>
        <w:rPr>
          <w:color w:val="6A6A6A"/>
          <w:sz w:val="18"/>
          <w:szCs w:val="18"/>
        </w:rPr>
        <w:t xml:space="preserve">   ·   Grocery Price Index</w:t>
      </w:r>
    </w:p>
    <w:p>
      <w:pPr>
        <w:spacing w:after="4"/>
      </w:pPr>
      <w:r>
        <w:rPr>
          <w:color w:val="6A6A6A"/>
          <w:sz w:val="18"/>
          <w:szCs w:val="18"/>
        </w:rPr>
        <w:t xml:space="preserve">Phase 5 · Analysis &amp; Findings</w:t>
      </w:r>
    </w:p>
    <w:p>
      <w:pPr>
        <w:spacing w:after="120"/>
      </w:pPr>
      <w:r>
        <w:rPr>
          <w:b/>
          <w:bCs/>
          <w:color w:val="1A1A1A"/>
          <w:sz w:val="34"/>
          <w:szCs w:val="34"/>
        </w:rPr>
        <w:t xml:space="preserve">Findings Memo</w:t>
      </w:r>
    </w:p>
    <w:tbl>
      <w:tblPr>
        <w:tblW w:type="dxa" w:w="9360"/>
        <w:tblBorders>
          <w:top w:val="single" w:color="D3CCC4" w:sz="4"/>
          <w:left w:val="single" w:color="D3CCC4" w:sz="4"/>
          <w:bottom w:val="single" w:color="D3CCC4" w:sz="4"/>
          <w:right w:val="single" w:color="D3CCC4" w:sz="4"/>
          <w:insideH w:val="single" w:color="D3CCC4" w:sz="4"/>
          <w:insideV w:val="single" w:color="D3CCC4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A6A6A"/>
                <w:sz w:val="15"/>
                <w:szCs w:val="15"/>
              </w:rPr>
              <w:t xml:space="preserve">Not started / In progress / Submitted / Approved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A6A6A"/>
                <w:sz w:val="15"/>
                <w:szCs w:val="15"/>
              </w:rPr>
              <w:t xml:space="preserve">05_Analysis_and_Findings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100" w:line="268"/>
      </w:pPr>
      <w:r>
        <w:rPr>
          <w:color w:val="1A1A1A"/>
          <w:sz w:val="21"/>
          <w:szCs w:val="21"/>
        </w:rPr>
        <w:t xml:space="preserve">Once the data is in, the Analysis and Coverage Matrix tabs of the Tracker do the math. This memo is where you turn numbers into findings: the interesting, surprising, sourced points your article will be built on. Pull top-line numbers from the Tracker.</w:t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A. Top-line results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Basket total by store, cheapest to most expensive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Paste from the Analysis tab.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The index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Cheapest store, most expensive store, the spread (e.g., '38% more'), and each store vs. cheapest = 100.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B. Key findings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Aim for 5-8. Each finding needs the numbers behind it, which data it comes from, why it's interesting, and any caveat.</w:t>
      </w:r>
    </w:p>
    <w:tbl>
      <w:tblPr>
        <w:tblW w:type="dxa" w:w="9360"/>
        <w:tblBorders>
          <w:top w:val="single" w:color="D3CCC4" w:sz="4"/>
          <w:left w:val="single" w:color="D3CCC4" w:sz="4"/>
          <w:bottom w:val="single" w:color="D3CCC4" w:sz="4"/>
          <w:right w:val="single" w:color="D3CCC4" w:sz="4"/>
          <w:insideH w:val="single" w:color="D3CCC4" w:sz="4"/>
          <w:insideV w:val="single" w:color="D3CCC4" w:sz="4"/>
        </w:tblBorders>
      </w:tblPr>
      <w:tblGrid>
        <w:gridCol w:w="2700"/>
        <w:gridCol w:w="2200"/>
        <w:gridCol w:w="2360"/>
        <w:gridCol w:w="2100"/>
      </w:tblGrid>
      <w:tr>
        <w:trPr>
          <w:tblHeader/>
        </w:trPr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 numbers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it's interesting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Caveat / limit</w:t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The single most surprising finding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C. Patterns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By category (produce vs. dairy vs. pantry vs. protein): where are the biggest gaps?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Bodega vs. supermarket vs. premium vs. delivery: what's the story?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The Mamdani angle: how would this basket fare vs. what a public store promises on 'core staples'?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Connect your real numbers to the policy claim.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D. Limits &amp; social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Honest limitations of our data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Sample size, one-week snapshot, sales, missing items, one-person-per-store, etc.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3 stats to highlight for social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The punchiest, most shareable numbers.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Findings that need an expert or owner to explain (feeds Phase 6)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Review &amp; Sign-off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Coordinator decision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Approve · Revise (with notes) · Hold. The intern does not move to the next phase until this is approved.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Notes / what to fix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Reviewed by / date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300"/>
      </w:pPr>
      <w:rPr>
        <w:color w:val="B02A1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2026-07-07T10:34:29.291Z</dcterms:created>
  <dcterms:modified xsi:type="dcterms:W3CDTF">2026-07-07T10:34:29.291Z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