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916" w14:textId="480EAA5E" w:rsidR="00FF0949" w:rsidRPr="000A0F1F" w:rsidRDefault="002379F5">
      <w:pPr>
        <w:rPr>
          <w:b/>
          <w:bCs/>
        </w:rPr>
      </w:pPr>
      <w:r>
        <w:rPr>
          <w:b/>
          <w:bCs/>
          <w:sz w:val="28"/>
          <w:szCs w:val="28"/>
        </w:rPr>
        <w:t xml:space="preserve">Redistricting &amp; Congressional Elections </w:t>
      </w:r>
      <w:r w:rsidR="000A0F1F" w:rsidRPr="000A0F1F">
        <w:rPr>
          <w:b/>
          <w:bCs/>
          <w:sz w:val="28"/>
          <w:szCs w:val="28"/>
        </w:rPr>
        <w:t>2012-2020</w:t>
      </w:r>
      <w:r>
        <w:rPr>
          <w:b/>
          <w:bCs/>
          <w:sz w:val="28"/>
          <w:szCs w:val="28"/>
        </w:rPr>
        <w:t>: A Structural Analysis</w:t>
      </w:r>
    </w:p>
    <w:p w14:paraId="745FD564" w14:textId="1B8A5511" w:rsidR="000A0F1F" w:rsidRDefault="000A0F1F"/>
    <w:p w14:paraId="4B558BEC" w14:textId="1A92DC33" w:rsidR="00E36573" w:rsidRDefault="00DE4452" w:rsidP="00E36573">
      <w:r>
        <w:t xml:space="preserve">REDMAP, the </w:t>
      </w:r>
      <w:r w:rsidR="008F0844">
        <w:t xml:space="preserve">Republican </w:t>
      </w:r>
      <w:r w:rsidR="00A8642A">
        <w:t xml:space="preserve">plan to aggressively gerrymander the states where </w:t>
      </w:r>
      <w:r w:rsidR="000953C6">
        <w:t xml:space="preserve">they controlled the </w:t>
      </w:r>
      <w:r w:rsidR="00F859BC">
        <w:t xml:space="preserve">2011 </w:t>
      </w:r>
      <w:r w:rsidR="000953C6">
        <w:t>redistricting process</w:t>
      </w:r>
      <w:r>
        <w:t>,</w:t>
      </w:r>
      <w:r w:rsidR="00A8642A">
        <w:t xml:space="preserve"> </w:t>
      </w:r>
      <w:r w:rsidR="000A0F1F">
        <w:t>is wel</w:t>
      </w:r>
      <w:r w:rsidR="008F0844">
        <w:t xml:space="preserve">l </w:t>
      </w:r>
      <w:r w:rsidR="00A8642A">
        <w:t>documented</w:t>
      </w:r>
      <w:r w:rsidR="000A0F1F">
        <w:t>.</w:t>
      </w:r>
      <w:r w:rsidR="00A8642A">
        <w:rPr>
          <w:rStyle w:val="FootnoteReference"/>
        </w:rPr>
        <w:footnoteReference w:id="1"/>
      </w:r>
      <w:r w:rsidR="000A0F1F">
        <w:t xml:space="preserve"> </w:t>
      </w:r>
      <w:r w:rsidR="00F73D94">
        <w:t>As a result</w:t>
      </w:r>
      <w:r w:rsidR="00E36573">
        <w:t>, Republicans enjoyed an almost 20-seat advantage toward control of the House relative to Democrats</w:t>
      </w:r>
      <w:r>
        <w:t xml:space="preserve"> after the new maps were drawn a decade ago</w:t>
      </w:r>
      <w:r w:rsidR="00E36573">
        <w:t xml:space="preserve">. Where </w:t>
      </w:r>
      <w:r>
        <w:t xml:space="preserve">the </w:t>
      </w:r>
      <w:r w:rsidR="00E36573">
        <w:t>state-by-state vote share suggested R</w:t>
      </w:r>
      <w:r w:rsidR="00F73D94">
        <w:t>epublican</w:t>
      </w:r>
      <w:r w:rsidR="00E36573">
        <w:t>s should have</w:t>
      </w:r>
      <w:r w:rsidR="00F73D94">
        <w:t xml:space="preserve"> only</w:t>
      </w:r>
      <w:r w:rsidR="00E36573">
        <w:t xml:space="preserve"> won 216 seats, they won 234. Even though they garnered less than half the </w:t>
      </w:r>
      <w:r>
        <w:t xml:space="preserve">total </w:t>
      </w:r>
      <w:r w:rsidR="00E36573">
        <w:t>votes, they won more than half the seats</w:t>
      </w:r>
      <w:r>
        <w:t xml:space="preserve"> and controlled the House</w:t>
      </w:r>
      <w:r w:rsidR="00F73D94">
        <w:t xml:space="preserve">—a “wrong winner” </w:t>
      </w:r>
      <w:r w:rsidR="0033323D">
        <w:t>anti-majoritarian</w:t>
      </w:r>
      <w:r w:rsidR="00F73D94">
        <w:t xml:space="preserve"> result</w:t>
      </w:r>
      <w:r w:rsidR="00E36573">
        <w:t>.</w:t>
      </w:r>
    </w:p>
    <w:p w14:paraId="364BA199" w14:textId="77777777" w:rsidR="00E36573" w:rsidRDefault="00E36573" w:rsidP="00A8642A"/>
    <w:p w14:paraId="66101322" w14:textId="306E6805" w:rsidR="00212EB9" w:rsidRDefault="00A8642A" w:rsidP="00860AAE">
      <w:r>
        <w:t>What is not well understood is that it could have been worse</w:t>
      </w:r>
      <w:r w:rsidR="00DE4452">
        <w:t>, on the one hand,</w:t>
      </w:r>
      <w:r>
        <w:t xml:space="preserve"> and </w:t>
      </w:r>
      <w:r w:rsidR="00E36573">
        <w:t xml:space="preserve">that </w:t>
      </w:r>
      <w:r w:rsidR="00F859BC">
        <w:t xml:space="preserve">also </w:t>
      </w:r>
      <w:r>
        <w:t>it got better</w:t>
      </w:r>
      <w:r w:rsidR="00DE4452">
        <w:t>, on the other</w:t>
      </w:r>
      <w:r>
        <w:t>. What follows is a</w:t>
      </w:r>
      <w:r w:rsidR="00A220A4">
        <w:t xml:space="preserve"> structural </w:t>
      </w:r>
      <w:r w:rsidR="00DE4452">
        <w:t>postmortem</w:t>
      </w:r>
      <w:r>
        <w:t xml:space="preserve"> of redistricting and congressional elections 2012-2020 independent of individual candidates and campaigns.</w:t>
      </w:r>
    </w:p>
    <w:p w14:paraId="1B94E26B" w14:textId="77777777" w:rsidR="00212EB9" w:rsidRDefault="00212EB9" w:rsidP="00860AAE"/>
    <w:p w14:paraId="6485D80F" w14:textId="363DAA1B" w:rsidR="00FD0978" w:rsidRPr="00FD0978" w:rsidRDefault="00FD0978" w:rsidP="00860AAE">
      <w:pPr>
        <w:rPr>
          <w:b/>
          <w:bCs/>
        </w:rPr>
      </w:pPr>
      <w:r w:rsidRPr="00FD0978">
        <w:rPr>
          <w:b/>
          <w:bCs/>
        </w:rPr>
        <w:t>Data &amp; Methodology</w:t>
      </w:r>
    </w:p>
    <w:p w14:paraId="05B0AA09" w14:textId="6577D93C" w:rsidR="0016206F" w:rsidRDefault="0016206F"/>
    <w:p w14:paraId="7745494A" w14:textId="704B694B" w:rsidR="003F30A2" w:rsidRDefault="0016206F" w:rsidP="00F86836">
      <w:r>
        <w:t>This analysis uses the concept of unearned seats (UE)</w:t>
      </w:r>
      <w:r w:rsidR="00DE5B43">
        <w:t xml:space="preserve">: </w:t>
      </w:r>
      <w:r>
        <w:t xml:space="preserve">the seats </w:t>
      </w:r>
      <w:r w:rsidR="00EF0F50">
        <w:t>a</w:t>
      </w:r>
      <w:r w:rsidR="0037356E">
        <w:t xml:space="preserve"> party </w:t>
      </w:r>
      <w:r w:rsidR="00DE5B43">
        <w:t>wins</w:t>
      </w:r>
      <w:r>
        <w:t xml:space="preserve"> </w:t>
      </w:r>
      <w:proofErr w:type="gramStart"/>
      <w:r>
        <w:t>in excess of</w:t>
      </w:r>
      <w:proofErr w:type="gramEnd"/>
      <w:r>
        <w:t xml:space="preserve"> </w:t>
      </w:r>
      <w:r w:rsidR="00A06915">
        <w:t>the number of whole seats closest to</w:t>
      </w:r>
      <w:r>
        <w:t xml:space="preserve"> proportional representation (PR) based on</w:t>
      </w:r>
      <w:r w:rsidR="00EF0F50">
        <w:t xml:space="preserve"> the</w:t>
      </w:r>
      <w:r>
        <w:t xml:space="preserve"> two-party vote share</w:t>
      </w:r>
      <w:r w:rsidR="00EF0F50">
        <w:t xml:space="preserve"> for </w:t>
      </w:r>
      <w:r w:rsidR="00DE5B43">
        <w:t>a</w:t>
      </w:r>
      <w:r w:rsidR="00EF0F50">
        <w:t xml:space="preserve"> state</w:t>
      </w:r>
      <w:r>
        <w:t xml:space="preserve">. </w:t>
      </w:r>
      <w:r w:rsidR="0090507E">
        <w:t xml:space="preserve">By convention, UE seats favoring Republicans are positive, and UE </w:t>
      </w:r>
      <w:r w:rsidR="004A515A">
        <w:t xml:space="preserve">seats </w:t>
      </w:r>
      <w:r w:rsidR="0090507E">
        <w:t>favoring Democrats are negative (hereafter simply R’s and D’s).</w:t>
      </w:r>
      <w:r w:rsidR="004007F3">
        <w:t xml:space="preserve"> Because </w:t>
      </w:r>
      <w:r w:rsidR="00F86836">
        <w:t xml:space="preserve">UE seats depend on the </w:t>
      </w:r>
      <w:r w:rsidR="003F30A2">
        <w:t>two-party vote share</w:t>
      </w:r>
      <w:r w:rsidR="004007F3">
        <w:t xml:space="preserve">s, they </w:t>
      </w:r>
      <w:r w:rsidR="00DE5B43">
        <w:t xml:space="preserve">decouple this analysis from </w:t>
      </w:r>
      <w:r w:rsidR="004007F3">
        <w:t>changing vote shares</w:t>
      </w:r>
      <w:r w:rsidR="003F30A2">
        <w:t>.</w:t>
      </w:r>
      <w:r w:rsidR="00A06915">
        <w:t xml:space="preserve"> </w:t>
      </w:r>
    </w:p>
    <w:p w14:paraId="615B1E8C" w14:textId="7FAFD080" w:rsidR="00D42EE4" w:rsidRDefault="00D42EE4"/>
    <w:p w14:paraId="63EFD455" w14:textId="77777777" w:rsidR="00280D89" w:rsidRDefault="00A06915">
      <w:r>
        <w:t xml:space="preserve">The </w:t>
      </w:r>
      <w:r w:rsidR="002B5901">
        <w:t xml:space="preserve">election </w:t>
      </w:r>
      <w:r>
        <w:t xml:space="preserve">data supporting this analysis </w:t>
      </w:r>
      <w:r w:rsidR="002B5901">
        <w:t>is the official data from the Clerk of the House with results for uncontested races imputed.</w:t>
      </w:r>
      <w:r w:rsidR="002B5901">
        <w:rPr>
          <w:rStyle w:val="FootnoteReference"/>
        </w:rPr>
        <w:footnoteReference w:id="2"/>
      </w:r>
      <w:r w:rsidR="00246C94">
        <w:t xml:space="preserve"> </w:t>
      </w:r>
    </w:p>
    <w:p w14:paraId="73584D34" w14:textId="77777777" w:rsidR="00280D89" w:rsidRDefault="00280D89"/>
    <w:p w14:paraId="0B82353A" w14:textId="06C69115" w:rsidR="00A06915" w:rsidRDefault="00246C94">
      <w:r>
        <w:t xml:space="preserve">Table </w:t>
      </w:r>
      <w:r w:rsidR="00B30B01">
        <w:t>1</w:t>
      </w:r>
      <w:r w:rsidR="00BB72A8">
        <w:t xml:space="preserve"> </w:t>
      </w:r>
      <w:r w:rsidR="000B19CC">
        <w:t xml:space="preserve">(at the end and attached) </w:t>
      </w:r>
      <w:r w:rsidR="00A06915">
        <w:t xml:space="preserve">shows UE seats for each state </w:t>
      </w:r>
      <w:r w:rsidR="00741841">
        <w:t>over time</w:t>
      </w:r>
      <w:r w:rsidR="00A06915">
        <w:t>:</w:t>
      </w:r>
    </w:p>
    <w:p w14:paraId="4E14AAB0" w14:textId="09E509CB" w:rsidR="00A06915" w:rsidRDefault="00A06915"/>
    <w:p w14:paraId="32B55AC8" w14:textId="0F9C40CD" w:rsidR="00A06915" w:rsidRDefault="00A06915" w:rsidP="00A06915">
      <w:pPr>
        <w:pStyle w:val="ListParagraph"/>
        <w:numPr>
          <w:ilvl w:val="0"/>
          <w:numId w:val="3"/>
        </w:numPr>
      </w:pPr>
      <w:r>
        <w:t xml:space="preserve">Columns I–M show the results for the 2012-2020 </w:t>
      </w:r>
      <w:proofErr w:type="gramStart"/>
      <w:r>
        <w:t>elections</w:t>
      </w:r>
      <w:proofErr w:type="gramEnd"/>
    </w:p>
    <w:p w14:paraId="6F2D1287" w14:textId="786EBDEE" w:rsidR="00A06915" w:rsidRDefault="00A06915" w:rsidP="00A06915">
      <w:pPr>
        <w:pStyle w:val="ListParagraph"/>
        <w:numPr>
          <w:ilvl w:val="0"/>
          <w:numId w:val="3"/>
        </w:numPr>
      </w:pPr>
      <w:r>
        <w:t xml:space="preserve">Columns D–H show the results for the previous decade for </w:t>
      </w:r>
      <w:proofErr w:type="gramStart"/>
      <w:r>
        <w:t>comparison</w:t>
      </w:r>
      <w:proofErr w:type="gramEnd"/>
    </w:p>
    <w:p w14:paraId="60CB75E1" w14:textId="6F4D9D66" w:rsidR="00A06915" w:rsidRDefault="00A06915" w:rsidP="00A06915">
      <w:pPr>
        <w:pStyle w:val="ListParagraph"/>
        <w:numPr>
          <w:ilvl w:val="0"/>
          <w:numId w:val="3"/>
        </w:numPr>
      </w:pPr>
      <w:r>
        <w:t>Columns N, O, and P show the average UE seats for 2002-10, 2012-16, and 2018-20, respectively</w:t>
      </w:r>
      <w:r w:rsidR="003D7A75">
        <w:t>, and</w:t>
      </w:r>
    </w:p>
    <w:p w14:paraId="3925DBEB" w14:textId="4B793BE9" w:rsidR="00A06915" w:rsidRDefault="00A06915" w:rsidP="00A06915">
      <w:pPr>
        <w:pStyle w:val="ListParagraph"/>
        <w:numPr>
          <w:ilvl w:val="0"/>
          <w:numId w:val="3"/>
        </w:numPr>
      </w:pPr>
      <w:r>
        <w:t>Column Q names the entity that controlled the initial redistricting in the 2010 cycle</w:t>
      </w:r>
    </w:p>
    <w:p w14:paraId="3CCD0232" w14:textId="159691C1" w:rsidR="00BD2429" w:rsidRDefault="00BD2429"/>
    <w:p w14:paraId="72016FF2" w14:textId="28CF0E52" w:rsidR="00281E72" w:rsidRDefault="00741841" w:rsidP="00281E72">
      <w:r>
        <w:t>The states are</w:t>
      </w:r>
      <w:r w:rsidR="00281E72">
        <w:t xml:space="preserve"> sort</w:t>
      </w:r>
      <w:r w:rsidR="00316F9F">
        <w:t>ed</w:t>
      </w:r>
      <w:r w:rsidR="00281E72">
        <w:t xml:space="preserve"> by their average UE </w:t>
      </w:r>
      <w:r w:rsidR="009836A6">
        <w:t xml:space="preserve">seats </w:t>
      </w:r>
      <w:r w:rsidR="00281E72">
        <w:t>for 2012-16</w:t>
      </w:r>
      <w:r w:rsidR="009836A6">
        <w:t>, from most R favoring (+) to most D favoring (–). This</w:t>
      </w:r>
      <w:r w:rsidR="00281E72">
        <w:t xml:space="preserve"> highlight</w:t>
      </w:r>
      <w:r w:rsidR="009836A6">
        <w:t>s</w:t>
      </w:r>
      <w:r w:rsidR="00281E72">
        <w:t xml:space="preserve"> four distinct groups:</w:t>
      </w:r>
    </w:p>
    <w:p w14:paraId="3C309DA3" w14:textId="77777777" w:rsidR="00281E72" w:rsidRDefault="00281E72" w:rsidP="00281E72"/>
    <w:p w14:paraId="301C4078" w14:textId="1F77B87E" w:rsidR="00281E72" w:rsidRDefault="00281E72" w:rsidP="00281E72">
      <w:pPr>
        <w:pStyle w:val="ListParagraph"/>
        <w:numPr>
          <w:ilvl w:val="0"/>
          <w:numId w:val="1"/>
        </w:numPr>
      </w:pPr>
      <w:r>
        <w:t>The first 14 states</w:t>
      </w:r>
      <w:r w:rsidR="007F7799">
        <w:t xml:space="preserve"> </w:t>
      </w:r>
      <w:r>
        <w:t xml:space="preserve">– </w:t>
      </w:r>
      <w:r w:rsidRPr="00951BB7">
        <w:t xml:space="preserve">AL, AR, </w:t>
      </w:r>
      <w:r>
        <w:t xml:space="preserve">FL, </w:t>
      </w:r>
      <w:r w:rsidRPr="00951BB7">
        <w:t xml:space="preserve">GA, IN, </w:t>
      </w:r>
      <w:r>
        <w:t xml:space="preserve">MI, NC, </w:t>
      </w:r>
      <w:r w:rsidRPr="00951BB7">
        <w:t>OH,</w:t>
      </w:r>
      <w:r>
        <w:t xml:space="preserve"> </w:t>
      </w:r>
      <w:r w:rsidRPr="00951BB7">
        <w:t>OK,</w:t>
      </w:r>
      <w:r>
        <w:t xml:space="preserve"> PA,</w:t>
      </w:r>
      <w:r w:rsidRPr="00951BB7">
        <w:t xml:space="preserve"> SC, TN, TX</w:t>
      </w:r>
      <w:r>
        <w:t>, and VA</w:t>
      </w:r>
      <w:r w:rsidR="00A52190">
        <w:t xml:space="preserve"> </w:t>
      </w:r>
      <w:r>
        <w:t xml:space="preserve">– </w:t>
      </w:r>
      <w:r w:rsidR="007F7799">
        <w:t xml:space="preserve">produced large R-favoring UE seats. </w:t>
      </w:r>
      <w:r>
        <w:t xml:space="preserve">Not surprisingly, 13 of the 14 maps were drawn by R-controlled redistricting processes. </w:t>
      </w:r>
      <w:r>
        <w:br/>
      </w:r>
    </w:p>
    <w:p w14:paraId="46E215A8" w14:textId="1A39E89F" w:rsidR="00281E72" w:rsidRDefault="00281E72" w:rsidP="00281E72">
      <w:pPr>
        <w:pStyle w:val="ListParagraph"/>
        <w:numPr>
          <w:ilvl w:val="0"/>
          <w:numId w:val="1"/>
        </w:numPr>
      </w:pPr>
      <w:r>
        <w:lastRenderedPageBreak/>
        <w:t xml:space="preserve">The next 16 states </w:t>
      </w:r>
      <w:r w:rsidR="00080E9B">
        <w:t xml:space="preserve">– </w:t>
      </w:r>
      <w:r w:rsidR="00080E9B" w:rsidRPr="00951BB7">
        <w:t xml:space="preserve">AK, IA, ID, KS, KY, LA, MO, MS, MT, ND, NE, SD, UT, WI, WV, </w:t>
      </w:r>
      <w:r w:rsidR="00080E9B">
        <w:t xml:space="preserve">and </w:t>
      </w:r>
      <w:r w:rsidR="00080E9B" w:rsidRPr="00951BB7">
        <w:t>WY</w:t>
      </w:r>
      <w:r w:rsidR="00080E9B">
        <w:t xml:space="preserve"> – </w:t>
      </w:r>
      <w:r>
        <w:t xml:space="preserve">yielded smaller R-favoring UE </w:t>
      </w:r>
      <w:r w:rsidR="00991C1B">
        <w:t xml:space="preserve">seats, </w:t>
      </w:r>
      <w:r w:rsidR="00502A4E">
        <w:t>but</w:t>
      </w:r>
      <w:r>
        <w:t xml:space="preserve"> they didn’t </w:t>
      </w:r>
      <w:r w:rsidR="00502A4E">
        <w:t xml:space="preserve">subsequently </w:t>
      </w:r>
      <w:r>
        <w:t>change much in 2018-2020</w:t>
      </w:r>
      <w:r w:rsidR="00502A4E">
        <w:t xml:space="preserve">. This </w:t>
      </w:r>
      <w:r w:rsidR="00291094">
        <w:t>becomes important later</w:t>
      </w:r>
      <w:r w:rsidR="00502A4E">
        <w:t xml:space="preserve"> in the analysis</w:t>
      </w:r>
      <w:r w:rsidR="00080E9B">
        <w:t xml:space="preserve">. </w:t>
      </w:r>
      <w:r>
        <w:t xml:space="preserve">These maps were drawn by a mix of commissions, courts, split processes, or processes controlled by one party or the other. </w:t>
      </w:r>
      <w:r>
        <w:br/>
      </w:r>
    </w:p>
    <w:p w14:paraId="6A65B49B" w14:textId="61776694" w:rsidR="00281E72" w:rsidRDefault="00991C1B" w:rsidP="00281E72">
      <w:pPr>
        <w:pStyle w:val="ListParagraph"/>
        <w:numPr>
          <w:ilvl w:val="0"/>
          <w:numId w:val="1"/>
        </w:numPr>
      </w:pPr>
      <w:r>
        <w:t>Next, th</w:t>
      </w:r>
      <w:r w:rsidR="00281E72">
        <w:t>ree states</w:t>
      </w:r>
      <w:r>
        <w:t xml:space="preserve"> </w:t>
      </w:r>
      <w:r w:rsidR="00281E72">
        <w:t>yielded proportional state delegations</w:t>
      </w:r>
      <w:r w:rsidR="00484A82">
        <w:t xml:space="preserve"> </w:t>
      </w:r>
      <w:r w:rsidR="00281E72">
        <w:t>– CO, NM, and NV.</w:t>
      </w:r>
      <w:r w:rsidR="00281E72">
        <w:br/>
      </w:r>
    </w:p>
    <w:p w14:paraId="5ACE91B2" w14:textId="4C0D98CE" w:rsidR="00281E72" w:rsidRDefault="00382721" w:rsidP="00281E72">
      <w:pPr>
        <w:pStyle w:val="ListParagraph"/>
        <w:numPr>
          <w:ilvl w:val="0"/>
          <w:numId w:val="1"/>
        </w:numPr>
      </w:pPr>
      <w:r>
        <w:t>Finally, the</w:t>
      </w:r>
      <w:r w:rsidR="00A217F5">
        <w:t xml:space="preserve"> last 17</w:t>
      </w:r>
      <w:r w:rsidR="00281E72">
        <w:t xml:space="preserve"> states </w:t>
      </w:r>
      <w:r>
        <w:t xml:space="preserve">– </w:t>
      </w:r>
      <w:r w:rsidRPr="00951BB7">
        <w:t xml:space="preserve">AZ, </w:t>
      </w:r>
      <w:r>
        <w:t xml:space="preserve">CA, </w:t>
      </w:r>
      <w:r w:rsidRPr="00951BB7">
        <w:t>CT, DE, HI, IL, MA, MD, ME, MN, NH,</w:t>
      </w:r>
      <w:r>
        <w:t xml:space="preserve"> NJ,</w:t>
      </w:r>
      <w:r w:rsidRPr="00951BB7">
        <w:t xml:space="preserve"> NY, OR, RI, VT, </w:t>
      </w:r>
      <w:r>
        <w:t xml:space="preserve">and </w:t>
      </w:r>
      <w:r w:rsidRPr="00951BB7">
        <w:t>WA</w:t>
      </w:r>
      <w:r>
        <w:t xml:space="preserve"> – </w:t>
      </w:r>
      <w:r w:rsidR="00A217F5">
        <w:t xml:space="preserve">produced large </w:t>
      </w:r>
      <w:r w:rsidR="00281E72">
        <w:t>UE</w:t>
      </w:r>
      <w:r w:rsidR="00C569FB">
        <w:t xml:space="preserve"> seats</w:t>
      </w:r>
      <w:r w:rsidR="00281E72">
        <w:t xml:space="preserve"> favor</w:t>
      </w:r>
      <w:r w:rsidR="00A217F5">
        <w:t>ing</w:t>
      </w:r>
      <w:r w:rsidR="00281E72">
        <w:t xml:space="preserve"> D’s</w:t>
      </w:r>
      <w:r>
        <w:t xml:space="preserve">. </w:t>
      </w:r>
      <w:proofErr w:type="gramStart"/>
      <w:r w:rsidR="00281E72">
        <w:t>Again</w:t>
      </w:r>
      <w:proofErr w:type="gramEnd"/>
      <w:r w:rsidR="00281E72">
        <w:t xml:space="preserve"> not surprisingly, these maps tended to be drawn by commissions or D-controlled redistricting processes. </w:t>
      </w:r>
    </w:p>
    <w:p w14:paraId="38388E1A" w14:textId="07A25BB0" w:rsidR="00484A82" w:rsidRDefault="00484A82" w:rsidP="00484A82"/>
    <w:p w14:paraId="7AA4306C" w14:textId="6029B3A2" w:rsidR="009D4B82" w:rsidRDefault="009D4B82" w:rsidP="00484A82">
      <w:r>
        <w:t xml:space="preserve">Organizing the data this way makes it easier to see </w:t>
      </w:r>
      <w:r w:rsidR="00291094">
        <w:t>the</w:t>
      </w:r>
      <w:r w:rsidR="00E904EB">
        <w:t xml:space="preserve"> macro</w:t>
      </w:r>
      <w:r w:rsidR="00291094">
        <w:t xml:space="preserve"> dynamics over time</w:t>
      </w:r>
      <w:r>
        <w:t>.</w:t>
      </w:r>
    </w:p>
    <w:p w14:paraId="5B42393A" w14:textId="169A43CF" w:rsidR="00DC5B5C" w:rsidRDefault="00DC5B5C"/>
    <w:p w14:paraId="37281898" w14:textId="30F9DE5E" w:rsidR="00DC5B5C" w:rsidRDefault="001F186E">
      <w:r>
        <w:rPr>
          <w:b/>
          <w:bCs/>
        </w:rPr>
        <w:t>It Could Have Been Worse</w:t>
      </w:r>
    </w:p>
    <w:p w14:paraId="7CD47ED5" w14:textId="7F12A48A" w:rsidR="00197A94" w:rsidRDefault="00197A94"/>
    <w:p w14:paraId="5CD70476" w14:textId="1CE05736" w:rsidR="0081015F" w:rsidRDefault="00633B3E" w:rsidP="004E6732">
      <w:pPr>
        <w:keepNext/>
      </w:pPr>
      <w:r>
        <w:t xml:space="preserve">During the decade </w:t>
      </w:r>
      <w:r w:rsidR="00AE1309">
        <w:t>before REDMAP, 2002-2010</w:t>
      </w:r>
      <w:r>
        <w:t xml:space="preserve">, R’s enjoyed a small average national net </w:t>
      </w:r>
      <w:r w:rsidR="00AE1309">
        <w:t xml:space="preserve">UE </w:t>
      </w:r>
      <w:r>
        <w:t xml:space="preserve">seat advantage of 3.2 seats compared to what they should have won based on the two-party vote share (Table 2). With REDMAP redistricting, the R advantage in states where they controlled the redistricting process more than doubled from 18.4 seats to 46.33 seats. As a result, R’s enjoyed a new post-redistricting national advantage that averaged 21.67 seats. This is REDMAP, in a nutshell. </w:t>
      </w:r>
    </w:p>
    <w:p w14:paraId="657E6F88" w14:textId="77777777" w:rsidR="004E6732" w:rsidRDefault="004E6732" w:rsidP="004E6732">
      <w:pPr>
        <w:keepNext/>
      </w:pPr>
    </w:p>
    <w:p w14:paraId="29CCA1CF" w14:textId="1C15D868" w:rsidR="00197A94" w:rsidRDefault="000B19CC" w:rsidP="00197A94">
      <w:pPr>
        <w:jc w:val="center"/>
      </w:pPr>
      <w:r>
        <w:rPr>
          <w:noProof/>
        </w:rPr>
        <w:drawing>
          <wp:inline distT="0" distB="0" distL="0" distR="0" wp14:anchorId="0D1BE17B" wp14:editId="580144F5">
            <wp:extent cx="1929384" cy="1106424"/>
            <wp:effectExtent l="0" t="0" r="1270" b="0"/>
            <wp:docPr id="1407191966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1966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496" w14:textId="5E149C5D" w:rsidR="00197A94" w:rsidRPr="004E45BB" w:rsidRDefault="00197A94" w:rsidP="00197A94">
      <w:pPr>
        <w:jc w:val="center"/>
        <w:rPr>
          <w:sz w:val="20"/>
          <w:szCs w:val="20"/>
        </w:rPr>
      </w:pPr>
      <w:r w:rsidRPr="004E45BB">
        <w:rPr>
          <w:sz w:val="20"/>
          <w:szCs w:val="20"/>
        </w:rPr>
        <w:t xml:space="preserve">Table </w:t>
      </w:r>
      <w:r w:rsidR="00633B3E">
        <w:rPr>
          <w:sz w:val="20"/>
          <w:szCs w:val="20"/>
        </w:rPr>
        <w:t>2</w:t>
      </w:r>
      <w:r w:rsidRPr="004E45B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R/D </w:t>
      </w:r>
      <w:r w:rsidRPr="004E45BB">
        <w:rPr>
          <w:sz w:val="20"/>
          <w:szCs w:val="20"/>
        </w:rPr>
        <w:t>Seat</w:t>
      </w:r>
      <w:r>
        <w:rPr>
          <w:sz w:val="20"/>
          <w:szCs w:val="20"/>
        </w:rPr>
        <w:t xml:space="preserve"> Advantage</w:t>
      </w:r>
      <w:r w:rsidRPr="004E45BB">
        <w:rPr>
          <w:sz w:val="20"/>
          <w:szCs w:val="20"/>
        </w:rPr>
        <w:t xml:space="preserve"> 2010-2020</w:t>
      </w:r>
    </w:p>
    <w:p w14:paraId="017AA753" w14:textId="5971C975" w:rsidR="00197A94" w:rsidRDefault="00197A94"/>
    <w:p w14:paraId="3245F940" w14:textId="7B9689C0" w:rsidR="001C2C44" w:rsidRDefault="00AE1309">
      <w:r>
        <w:t>That advantage wasn’t bigger</w:t>
      </w:r>
      <w:r w:rsidR="000C099E">
        <w:t>,</w:t>
      </w:r>
      <w:r>
        <w:t xml:space="preserve"> because D </w:t>
      </w:r>
      <w:r w:rsidR="003A0851">
        <w:t>UE seat</w:t>
      </w:r>
      <w:r>
        <w:t xml:space="preserve"> in other states increased -8.47 seats to -24.67 seats</w:t>
      </w:r>
      <w:r w:rsidR="003A0851">
        <w:t xml:space="preserve"> at the same time</w:t>
      </w:r>
      <w:r>
        <w:t xml:space="preserve">. </w:t>
      </w:r>
      <w:r w:rsidR="001C2C44">
        <w:t xml:space="preserve">I wasn’t aware of this, and I did not expect to </w:t>
      </w:r>
      <w:r w:rsidR="00055970">
        <w:t>discover</w:t>
      </w:r>
      <w:r w:rsidR="001C2C44">
        <w:t xml:space="preserve"> it.</w:t>
      </w:r>
    </w:p>
    <w:p w14:paraId="2DD18867" w14:textId="77777777" w:rsidR="001C2C44" w:rsidRDefault="001C2C44"/>
    <w:p w14:paraId="34A43ADC" w14:textId="4F88BF47" w:rsidR="00AE1309" w:rsidRDefault="00196102">
      <w:r>
        <w:t>Three</w:t>
      </w:r>
      <w:r w:rsidR="00DA0174">
        <w:t xml:space="preserve"> factors </w:t>
      </w:r>
      <w:r>
        <w:t>contributed to</w:t>
      </w:r>
      <w:r w:rsidR="00DA0174">
        <w:t xml:space="preserve"> this countervailing change</w:t>
      </w:r>
      <w:r w:rsidR="00AE1309">
        <w:t>:</w:t>
      </w:r>
    </w:p>
    <w:p w14:paraId="1DCCC65E" w14:textId="77777777" w:rsidR="00AE1309" w:rsidRDefault="00AE1309" w:rsidP="00AE1309"/>
    <w:p w14:paraId="541E22D4" w14:textId="1EBEBEF9" w:rsidR="00DA0174" w:rsidRDefault="00DA0174" w:rsidP="00DA0174">
      <w:pPr>
        <w:pStyle w:val="ListParagraph"/>
        <w:numPr>
          <w:ilvl w:val="0"/>
          <w:numId w:val="1"/>
        </w:numPr>
      </w:pPr>
      <w:r>
        <w:t>First, D’s drew maps to their advantage in two states: IL and MD. Where redistricting control was split the previous decade, IL D’s controlled the 2011 process and drew a map with a solid 2-seat D advantage.</w:t>
      </w:r>
      <w:r>
        <w:tab/>
        <w:t xml:space="preserve"> Similarly, where the previous MD was drawn by a court, MD D’s controlled the 2011 process and drew map with a solid 7-1 split.</w:t>
      </w:r>
      <w:r w:rsidR="00B8231F">
        <w:t xml:space="preserve"> This map was later challenged in court.</w:t>
      </w:r>
    </w:p>
    <w:p w14:paraId="232AF4E3" w14:textId="77777777" w:rsidR="00DA0174" w:rsidRDefault="00DA0174" w:rsidP="00DA0174">
      <w:pPr>
        <w:ind w:left="360"/>
      </w:pPr>
    </w:p>
    <w:p w14:paraId="4A239521" w14:textId="6E53ED62" w:rsidR="00DA0174" w:rsidRDefault="00DA0174" w:rsidP="00DA0174">
      <w:pPr>
        <w:pStyle w:val="ListParagraph"/>
        <w:numPr>
          <w:ilvl w:val="0"/>
          <w:numId w:val="1"/>
        </w:numPr>
      </w:pPr>
      <w:r>
        <w:t>Second, even though they were drawn by commissions, the maps in AZ and CA favored D’s more than in the previous decade. In AZ an additional apportioned representative</w:t>
      </w:r>
      <w:r w:rsidR="00346919">
        <w:t xml:space="preserve"> </w:t>
      </w:r>
      <w:r>
        <w:lastRenderedPageBreak/>
        <w:t xml:space="preserve">allowed a 4-5 </w:t>
      </w:r>
      <w:r w:rsidR="00346919">
        <w:t xml:space="preserve">D-R </w:t>
      </w:r>
      <w:r>
        <w:t>map instead of</w:t>
      </w:r>
      <w:r w:rsidR="00346919">
        <w:t xml:space="preserve"> the previous</w:t>
      </w:r>
      <w:r>
        <w:t xml:space="preserve"> </w:t>
      </w:r>
      <w:r w:rsidR="00C3003F">
        <w:t xml:space="preserve">typical </w:t>
      </w:r>
      <w:r>
        <w:t>3-5</w:t>
      </w:r>
      <w:r w:rsidR="00C3003F">
        <w:t xml:space="preserve"> split</w:t>
      </w:r>
      <w:r>
        <w:t>.</w:t>
      </w:r>
      <w:r w:rsidR="00346919">
        <w:rPr>
          <w:rStyle w:val="FootnoteReference"/>
        </w:rPr>
        <w:footnoteReference w:id="3"/>
      </w:r>
      <w:r>
        <w:t xml:space="preserve"> The CA map was the first drawn by a commission and was </w:t>
      </w:r>
      <w:r w:rsidR="00D23D0C">
        <w:t xml:space="preserve">nonetheless </w:t>
      </w:r>
      <w:r>
        <w:t>more advantageous to D’s than the previous map – unpacking them somewhat – which yielded another 3-4 D seats.</w:t>
      </w:r>
      <w:r>
        <w:rPr>
          <w:rStyle w:val="FootnoteReference"/>
        </w:rPr>
        <w:footnoteReference w:id="4"/>
      </w:r>
    </w:p>
    <w:p w14:paraId="57B27D72" w14:textId="77777777" w:rsidR="00DA0174" w:rsidRDefault="00DA0174" w:rsidP="00DA0174"/>
    <w:p w14:paraId="68625F95" w14:textId="3FA5FD5F" w:rsidR="00AE1309" w:rsidRDefault="005C1F6E" w:rsidP="005C1F6E">
      <w:pPr>
        <w:pStyle w:val="ListParagraph"/>
        <w:numPr>
          <w:ilvl w:val="0"/>
          <w:numId w:val="1"/>
        </w:numPr>
      </w:pPr>
      <w:r>
        <w:t>Third, two small</w:t>
      </w:r>
      <w:r w:rsidR="00434EFE">
        <w:t>-</w:t>
      </w:r>
      <w:r>
        <w:t>state changes favored D’s. One seat DE</w:t>
      </w:r>
      <w:r w:rsidR="007B1718">
        <w:t xml:space="preserve"> flipped to become</w:t>
      </w:r>
      <w:r w:rsidR="003401CA">
        <w:t xml:space="preserve"> a reliable D stat</w:t>
      </w:r>
      <w:r w:rsidR="00574874">
        <w:t>e</w:t>
      </w:r>
      <w:r>
        <w:t xml:space="preserve">, and the </w:t>
      </w:r>
      <w:r w:rsidR="00AE1309">
        <w:t xml:space="preserve">typical two-party D vote share in </w:t>
      </w:r>
      <w:r>
        <w:t xml:space="preserve">2-seat </w:t>
      </w:r>
      <w:r w:rsidR="00AE1309">
        <w:t xml:space="preserve">NH increased </w:t>
      </w:r>
      <w:r w:rsidR="00CC2B41">
        <w:t xml:space="preserve">enough that the second </w:t>
      </w:r>
      <w:r w:rsidR="00AE1309">
        <w:t xml:space="preserve">seat </w:t>
      </w:r>
      <w:r w:rsidR="00CC2B41">
        <w:t>was reliably won by D</w:t>
      </w:r>
      <w:r w:rsidR="00A14B39">
        <w:t>’s</w:t>
      </w:r>
      <w:r w:rsidR="00CC2B41">
        <w:t>.</w:t>
      </w:r>
      <w:r w:rsidR="00574874">
        <w:rPr>
          <w:rStyle w:val="FootnoteReference"/>
        </w:rPr>
        <w:footnoteReference w:id="5"/>
      </w:r>
      <w:r w:rsidR="00CC2B41">
        <w:br/>
      </w:r>
      <w:r w:rsidR="00AE1309">
        <w:tab/>
      </w:r>
    </w:p>
    <w:p w14:paraId="3AE063F1" w14:textId="3094EA06" w:rsidR="00CC2B41" w:rsidRDefault="00F8465C" w:rsidP="00AE1309">
      <w:r>
        <w:t xml:space="preserve">Without these </w:t>
      </w:r>
      <w:r w:rsidR="00FC0446">
        <w:t>offsetting changes, the R advantage due to REDMAP would have been roughly 30 seats instead of 20.</w:t>
      </w:r>
    </w:p>
    <w:p w14:paraId="7FE9AFF9" w14:textId="77777777" w:rsidR="00F8465C" w:rsidRDefault="00F8465C" w:rsidP="00AE1309"/>
    <w:p w14:paraId="44F82AA8" w14:textId="47D492C7" w:rsidR="001F186E" w:rsidRPr="001F186E" w:rsidRDefault="001F186E" w:rsidP="001F186E">
      <w:pPr>
        <w:keepNext/>
        <w:rPr>
          <w:b/>
          <w:bCs/>
        </w:rPr>
      </w:pPr>
      <w:r>
        <w:rPr>
          <w:b/>
          <w:bCs/>
        </w:rPr>
        <w:t>It Got Better</w:t>
      </w:r>
    </w:p>
    <w:p w14:paraId="7F8949C4" w14:textId="47DA7628" w:rsidR="001F186E" w:rsidRDefault="001F186E" w:rsidP="001F186E">
      <w:pPr>
        <w:keepNext/>
      </w:pPr>
    </w:p>
    <w:p w14:paraId="711A9FA9" w14:textId="5F5AF865" w:rsidR="00C32A74" w:rsidRDefault="00D31BE1" w:rsidP="00C32A74">
      <w:r>
        <w:t xml:space="preserve">The </w:t>
      </w:r>
      <w:r w:rsidR="005875E3">
        <w:t>other dynamic</w:t>
      </w:r>
      <w:r>
        <w:t xml:space="preserve"> that I wasn’t aware of and didn’t expect to find </w:t>
      </w:r>
      <w:r w:rsidR="00175AD9">
        <w:t>was</w:t>
      </w:r>
      <w:r>
        <w:t xml:space="preserve"> that the early R advantage due to REDMAP disappeared in 2018 and 2020.</w:t>
      </w:r>
      <w:r w:rsidR="00C32A74">
        <w:t xml:space="preserve"> You can this see numerically in Table </w:t>
      </w:r>
      <w:r w:rsidR="00293BEE">
        <w:t>2</w:t>
      </w:r>
      <w:r w:rsidR="00C32A74">
        <w:t xml:space="preserve"> and visually in Figure 1.</w:t>
      </w:r>
      <w:r w:rsidR="00FA2716">
        <w:t xml:space="preserve"> For 2018 and 2020, net UE seats averaged just -0.50, i.e., </w:t>
      </w:r>
      <w:r w:rsidR="005875E3">
        <w:t xml:space="preserve">was </w:t>
      </w:r>
      <w:r w:rsidR="00FA2716">
        <w:t>almost</w:t>
      </w:r>
      <w:r w:rsidR="005875E3">
        <w:t xml:space="preserve"> </w:t>
      </w:r>
      <w:r w:rsidR="00FA2716">
        <w:t>proportional nationally.</w:t>
      </w:r>
    </w:p>
    <w:p w14:paraId="256C1BEB" w14:textId="77777777" w:rsidR="00C32A74" w:rsidRDefault="00C32A74" w:rsidP="00C32A74"/>
    <w:p w14:paraId="3F77D439" w14:textId="36EFB8B3" w:rsidR="00C32A74" w:rsidRDefault="00433D04" w:rsidP="00C32A74">
      <w:pPr>
        <w:jc w:val="center"/>
      </w:pPr>
      <w:r>
        <w:rPr>
          <w:noProof/>
        </w:rPr>
        <w:drawing>
          <wp:inline distT="0" distB="0" distL="0" distR="0" wp14:anchorId="258D6ECD" wp14:editId="68AC6450">
            <wp:extent cx="3187700" cy="1905000"/>
            <wp:effectExtent l="0" t="0" r="0" b="0"/>
            <wp:docPr id="2006921457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1457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5DFA" w14:textId="77777777" w:rsidR="00C32A74" w:rsidRPr="00582FA2" w:rsidRDefault="00C32A74" w:rsidP="00C32A74">
      <w:pPr>
        <w:jc w:val="center"/>
        <w:rPr>
          <w:sz w:val="20"/>
          <w:szCs w:val="20"/>
        </w:rPr>
      </w:pPr>
      <w:r w:rsidRPr="00582FA2">
        <w:rPr>
          <w:sz w:val="20"/>
          <w:szCs w:val="20"/>
        </w:rPr>
        <w:t xml:space="preserve">Figure 1: </w:t>
      </w:r>
      <w:r>
        <w:rPr>
          <w:sz w:val="20"/>
          <w:szCs w:val="20"/>
        </w:rPr>
        <w:t>R/D</w:t>
      </w:r>
      <w:r w:rsidRPr="00582FA2">
        <w:rPr>
          <w:sz w:val="20"/>
          <w:szCs w:val="20"/>
        </w:rPr>
        <w:t xml:space="preserve"> Seat</w:t>
      </w:r>
      <w:r>
        <w:rPr>
          <w:sz w:val="20"/>
          <w:szCs w:val="20"/>
        </w:rPr>
        <w:t xml:space="preserve"> Advantage</w:t>
      </w:r>
      <w:r w:rsidRPr="00582FA2">
        <w:rPr>
          <w:sz w:val="20"/>
          <w:szCs w:val="20"/>
        </w:rPr>
        <w:t xml:space="preserve"> 2010-2020</w:t>
      </w:r>
    </w:p>
    <w:p w14:paraId="6AD6479B" w14:textId="77777777" w:rsidR="00D31BE1" w:rsidRDefault="00D31BE1" w:rsidP="001F186E">
      <w:pPr>
        <w:keepNext/>
      </w:pPr>
    </w:p>
    <w:p w14:paraId="50DFE322" w14:textId="6707F28D" w:rsidR="001F186E" w:rsidRDefault="001F186E" w:rsidP="001F186E">
      <w:r>
        <w:t xml:space="preserve">The average UE seats for the first R group </w:t>
      </w:r>
      <w:r w:rsidR="000C424C">
        <w:t xml:space="preserve">in Table 1 </w:t>
      </w:r>
      <w:r>
        <w:t xml:space="preserve">declined an average of -11.17 seats from the 2012-2016 average to </w:t>
      </w:r>
      <w:r w:rsidR="000C424C">
        <w:t xml:space="preserve">an </w:t>
      </w:r>
      <w:r>
        <w:t>average</w:t>
      </w:r>
      <w:r w:rsidR="00C32A74">
        <w:t xml:space="preserve"> of 35.5 seats</w:t>
      </w:r>
      <w:r w:rsidR="000C424C">
        <w:t xml:space="preserve"> the 2018-2020</w:t>
      </w:r>
      <w:r>
        <w:t>, with the bulk of the change (84%) coming from five state</w:t>
      </w:r>
      <w:r w:rsidR="00C32A74">
        <w:t>s. The first three were states in which R gerrymanders were redrawn mid-decade:</w:t>
      </w:r>
    </w:p>
    <w:p w14:paraId="1E9EEE18" w14:textId="5220C5DD" w:rsidR="00C32A74" w:rsidRDefault="00C32A74" w:rsidP="001F186E"/>
    <w:p w14:paraId="4E53A380" w14:textId="78F47687" w:rsidR="00C32A74" w:rsidRDefault="000C424C" w:rsidP="00C32A74">
      <w:pPr>
        <w:pStyle w:val="ListParagraph"/>
        <w:numPr>
          <w:ilvl w:val="0"/>
          <w:numId w:val="1"/>
        </w:numPr>
      </w:pPr>
      <w:r>
        <w:t xml:space="preserve">In </w:t>
      </w:r>
      <w:r w:rsidR="00C32A74">
        <w:t xml:space="preserve">PA </w:t>
      </w:r>
      <w:r>
        <w:t>a n</w:t>
      </w:r>
      <w:r w:rsidR="00C32A74" w:rsidRPr="00C32A74">
        <w:t xml:space="preserve">ew map </w:t>
      </w:r>
      <w:r w:rsidR="00C32A74">
        <w:t xml:space="preserve">was </w:t>
      </w:r>
      <w:r w:rsidR="00C32A74" w:rsidRPr="00C32A74">
        <w:t>adopted 02/19/18. This affected the 2018 and 2020 elections.</w:t>
      </w:r>
      <w:r w:rsidR="00C32A74">
        <w:t xml:space="preserve"> This contributed an average of -2.83 seats favoring D’s.</w:t>
      </w:r>
    </w:p>
    <w:p w14:paraId="1641D0BF" w14:textId="77777777" w:rsidR="00C32A74" w:rsidRDefault="00C32A74" w:rsidP="00C32A74"/>
    <w:p w14:paraId="15CCC4FF" w14:textId="5011ECEA" w:rsidR="00C32A74" w:rsidRDefault="00BC52F1" w:rsidP="00C32A74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="00C32A74">
        <w:t xml:space="preserve">NC </w:t>
      </w:r>
      <w:r>
        <w:t>t</w:t>
      </w:r>
      <w:r w:rsidR="00C32A74">
        <w:t>he original map was</w:t>
      </w:r>
      <w:r w:rsidR="00C32A74" w:rsidRPr="00C32A74">
        <w:t xml:space="preserve"> struck down 09/03/19. This affected the 2020 election</w:t>
      </w:r>
      <w:r w:rsidR="00C32A74">
        <w:t xml:space="preserve"> and </w:t>
      </w:r>
      <w:r>
        <w:t xml:space="preserve">the new map </w:t>
      </w:r>
      <w:r w:rsidR="00C32A74">
        <w:t>netted D’s another seat.</w:t>
      </w:r>
    </w:p>
    <w:p w14:paraId="59354652" w14:textId="77777777" w:rsidR="00C32A74" w:rsidRDefault="00C32A74" w:rsidP="00C32A74"/>
    <w:p w14:paraId="381A28FF" w14:textId="1851409E" w:rsidR="00C32A74" w:rsidRDefault="00164357" w:rsidP="00C32A74">
      <w:pPr>
        <w:pStyle w:val="ListParagraph"/>
        <w:numPr>
          <w:ilvl w:val="0"/>
          <w:numId w:val="1"/>
        </w:numPr>
      </w:pPr>
      <w:r>
        <w:t xml:space="preserve">In </w:t>
      </w:r>
      <w:r w:rsidR="00C32A74">
        <w:t xml:space="preserve">FL </w:t>
      </w:r>
      <w:r>
        <w:t>t</w:t>
      </w:r>
      <w:r w:rsidR="00C32A74">
        <w:t xml:space="preserve">he initial map was </w:t>
      </w:r>
      <w:r w:rsidR="00C32A74" w:rsidRPr="00165E77">
        <w:t>redrawn 12/02/15</w:t>
      </w:r>
      <w:r w:rsidR="00C32A74">
        <w:t>. This a</w:t>
      </w:r>
      <w:r w:rsidR="00C32A74" w:rsidRPr="00165E77">
        <w:t>ffected the 2016, 2018, and 2020 elections.</w:t>
      </w:r>
      <w:r w:rsidR="00C32A74">
        <w:t xml:space="preserve"> The average change in UE seats was -0.83 favoring D’s.</w:t>
      </w:r>
    </w:p>
    <w:p w14:paraId="420C954C" w14:textId="77777777" w:rsidR="00C32A74" w:rsidRDefault="00C32A74" w:rsidP="00C32A74">
      <w:pPr>
        <w:pStyle w:val="ListParagraph"/>
      </w:pPr>
    </w:p>
    <w:p w14:paraId="3B9DEC5B" w14:textId="10195B21" w:rsidR="00C32A74" w:rsidRDefault="00C32A74" w:rsidP="004D54FD">
      <w:r>
        <w:t xml:space="preserve">In addition, </w:t>
      </w:r>
      <w:r w:rsidR="000E3462">
        <w:t>while the plans didn’t change in MI and VA, how they performed did. F</w:t>
      </w:r>
      <w:r w:rsidR="004D54FD">
        <w:t xml:space="preserve">ive competitive districts in </w:t>
      </w:r>
      <w:r w:rsidR="000E3462">
        <w:t xml:space="preserve">these </w:t>
      </w:r>
      <w:r w:rsidR="004D54FD">
        <w:t>two</w:t>
      </w:r>
      <w:r>
        <w:t xml:space="preserve"> R-drawn maps </w:t>
      </w:r>
      <w:r w:rsidR="004D54FD">
        <w:t>flipped blue:</w:t>
      </w:r>
    </w:p>
    <w:p w14:paraId="487ACC7F" w14:textId="77777777" w:rsidR="00C32A74" w:rsidRDefault="00C32A74" w:rsidP="00C32A74"/>
    <w:p w14:paraId="0E1EED7A" w14:textId="046E2A41" w:rsidR="00E64CF6" w:rsidRDefault="00C32A74" w:rsidP="00E64CF6">
      <w:pPr>
        <w:pStyle w:val="ListParagraph"/>
        <w:numPr>
          <w:ilvl w:val="0"/>
          <w:numId w:val="1"/>
        </w:numPr>
      </w:pPr>
      <w:r>
        <w:t>MI – 8</w:t>
      </w:r>
      <w:r w:rsidRPr="00C32A74">
        <w:rPr>
          <w:vertAlign w:val="superscript"/>
        </w:rPr>
        <w:t>th</w:t>
      </w:r>
      <w:r>
        <w:t xml:space="preserve"> and 11</w:t>
      </w:r>
      <w:r w:rsidRPr="00C32A74">
        <w:rPr>
          <w:vertAlign w:val="superscript"/>
        </w:rPr>
        <w:t>th</w:t>
      </w:r>
    </w:p>
    <w:p w14:paraId="542570CF" w14:textId="4328379B" w:rsidR="001F186E" w:rsidRDefault="00C32A74" w:rsidP="001F186E">
      <w:pPr>
        <w:pStyle w:val="ListParagraph"/>
        <w:numPr>
          <w:ilvl w:val="0"/>
          <w:numId w:val="1"/>
        </w:numPr>
      </w:pPr>
      <w:r>
        <w:t>VA – 2</w:t>
      </w:r>
      <w:r w:rsidRPr="00F31C86">
        <w:rPr>
          <w:vertAlign w:val="superscript"/>
        </w:rPr>
        <w:t>nd</w:t>
      </w:r>
      <w:r>
        <w:t>, 7</w:t>
      </w:r>
      <w:r w:rsidRPr="00F31C86">
        <w:rPr>
          <w:vertAlign w:val="superscript"/>
        </w:rPr>
        <w:t>th</w:t>
      </w:r>
      <w:r>
        <w:t>, and 10</w:t>
      </w:r>
      <w:r w:rsidRPr="00F31C86">
        <w:rPr>
          <w:vertAlign w:val="superscript"/>
        </w:rPr>
        <w:t>th</w:t>
      </w:r>
      <w:r>
        <w:t xml:space="preserve"> </w:t>
      </w:r>
    </w:p>
    <w:p w14:paraId="78EA1E5B" w14:textId="2E55BA44" w:rsidR="00F31C86" w:rsidRDefault="00F31C86" w:rsidP="00F31C86"/>
    <w:p w14:paraId="34887EA8" w14:textId="77777777" w:rsidR="00957CFA" w:rsidRDefault="004C410B" w:rsidP="001F186E">
      <w:r>
        <w:t xml:space="preserve">To eke out extra R wins, both maps </w:t>
      </w:r>
      <w:r w:rsidR="008F4DE8">
        <w:t>had been</w:t>
      </w:r>
      <w:r>
        <w:t xml:space="preserve"> drawn with significant R/D asymmetries </w:t>
      </w:r>
      <w:r w:rsidR="001F4BEF">
        <w:t>that “packed” D’s and created</w:t>
      </w:r>
      <w:r>
        <w:t xml:space="preserve"> some thin-margin </w:t>
      </w:r>
      <w:r w:rsidR="001F4BEF">
        <w:t xml:space="preserve">semi-competitive </w:t>
      </w:r>
      <w:r>
        <w:t>districts</w:t>
      </w:r>
      <w:r w:rsidR="00762796">
        <w:t xml:space="preserve"> that R’s would win</w:t>
      </w:r>
      <w:r>
        <w:t>.</w:t>
      </w:r>
      <w:r w:rsidR="001F4BEF">
        <w:rPr>
          <w:rStyle w:val="FootnoteReference"/>
        </w:rPr>
        <w:footnoteReference w:id="6"/>
      </w:r>
      <w:r>
        <w:t xml:space="preserve"> W</w:t>
      </w:r>
      <w:r w:rsidR="00F31C86">
        <w:t xml:space="preserve">ith </w:t>
      </w:r>
      <w:r w:rsidR="006D0094">
        <w:t>significantly greater</w:t>
      </w:r>
      <w:r w:rsidR="00F31C86">
        <w:t xml:space="preserve"> two-party D vote share</w:t>
      </w:r>
      <w:r w:rsidR="001F4BEF">
        <w:t>s</w:t>
      </w:r>
      <w:r w:rsidR="006D0094">
        <w:t xml:space="preserve"> in 2018 and 2020</w:t>
      </w:r>
      <w:r w:rsidR="001F4BEF">
        <w:t>,</w:t>
      </w:r>
      <w:r w:rsidR="00F31C86">
        <w:t xml:space="preserve"> </w:t>
      </w:r>
      <w:r w:rsidR="00A0031C">
        <w:t xml:space="preserve">however, </w:t>
      </w:r>
      <w:r w:rsidR="00F31C86">
        <w:t xml:space="preserve">D’s were able to </w:t>
      </w:r>
      <w:r w:rsidR="00AD78F8">
        <w:t>flip</w:t>
      </w:r>
      <w:r w:rsidR="00F31C86">
        <w:t xml:space="preserve"> them.</w:t>
      </w:r>
      <w:r w:rsidR="00F31C86">
        <w:rPr>
          <w:rStyle w:val="FootnoteReference"/>
        </w:rPr>
        <w:footnoteReference w:id="7"/>
      </w:r>
      <w:r w:rsidR="004B05E9">
        <w:t xml:space="preserve"> </w:t>
      </w:r>
    </w:p>
    <w:p w14:paraId="21728B70" w14:textId="77777777" w:rsidR="00957CFA" w:rsidRDefault="00957CFA" w:rsidP="001F186E"/>
    <w:p w14:paraId="3B65A212" w14:textId="736FC201" w:rsidR="001F186E" w:rsidRDefault="001F186E" w:rsidP="001F186E">
      <w:r>
        <w:t>The changes to UE seats in the second R-leaning group, were much smaller, just 0.33 in aggregate.</w:t>
      </w:r>
    </w:p>
    <w:p w14:paraId="7EFA4742" w14:textId="77777777" w:rsidR="004B05E9" w:rsidRDefault="004B05E9" w:rsidP="001F186E"/>
    <w:p w14:paraId="477F4DF4" w14:textId="7A223186" w:rsidR="001F186E" w:rsidRDefault="004A3CD6" w:rsidP="001F186E">
      <w:r>
        <w:t>At the same time, the</w:t>
      </w:r>
      <w:r w:rsidR="004B05E9">
        <w:t xml:space="preserve"> aggregate </w:t>
      </w:r>
      <w:r w:rsidR="001F186E">
        <w:t>UE seats for the D group increased an average of -9.83 seats</w:t>
      </w:r>
      <w:r w:rsidR="004B05E9">
        <w:t xml:space="preserve"> in 2018 and 2020</w:t>
      </w:r>
      <w:r w:rsidR="00E537C6">
        <w:t>—the blue-leaning states got bluer.</w:t>
      </w:r>
      <w:r w:rsidR="001F186E">
        <w:t xml:space="preserve"> </w:t>
      </w:r>
      <w:r w:rsidR="00E537C6">
        <w:t>M</w:t>
      </w:r>
      <w:r w:rsidR="001F186E">
        <w:t>uch of that change (</w:t>
      </w:r>
      <w:r w:rsidR="004B05E9">
        <w:t xml:space="preserve">-6.67 seats, </w:t>
      </w:r>
      <w:r w:rsidR="001F186E">
        <w:t xml:space="preserve">68%) came from </w:t>
      </w:r>
      <w:r w:rsidR="004B05E9">
        <w:t>competitive districts flipp</w:t>
      </w:r>
      <w:r w:rsidR="0001439D">
        <w:t>ing</w:t>
      </w:r>
      <w:r w:rsidR="004B05E9">
        <w:t xml:space="preserve"> blue in the face of increased two-party D vote share</w:t>
      </w:r>
      <w:r w:rsidR="0001439D">
        <w:t xml:space="preserve"> in two states</w:t>
      </w:r>
      <w:r w:rsidR="004B05E9">
        <w:t>:</w:t>
      </w:r>
    </w:p>
    <w:p w14:paraId="4A04BED4" w14:textId="3319956C" w:rsidR="004B05E9" w:rsidRDefault="004B05E9" w:rsidP="001F186E"/>
    <w:p w14:paraId="778611DE" w14:textId="0DDC3DA8" w:rsidR="004B05E9" w:rsidRDefault="004B05E9" w:rsidP="004B05E9">
      <w:pPr>
        <w:pStyle w:val="ListParagraph"/>
        <w:numPr>
          <w:ilvl w:val="0"/>
          <w:numId w:val="1"/>
        </w:numPr>
      </w:pPr>
      <w:r>
        <w:t>NJ – 2</w:t>
      </w:r>
      <w:r w:rsidRPr="00ED6106">
        <w:rPr>
          <w:vertAlign w:val="superscript"/>
        </w:rPr>
        <w:t>nd</w:t>
      </w:r>
      <w:r>
        <w:t>, 3</w:t>
      </w:r>
      <w:r w:rsidRPr="00ED6106">
        <w:rPr>
          <w:vertAlign w:val="superscript"/>
        </w:rPr>
        <w:t>rd</w:t>
      </w:r>
      <w:r>
        <w:t>, 7</w:t>
      </w:r>
      <w:r w:rsidRPr="00317C21">
        <w:rPr>
          <w:vertAlign w:val="superscript"/>
        </w:rPr>
        <w:t>th</w:t>
      </w:r>
      <w:r>
        <w:t>, and 11</w:t>
      </w:r>
      <w:r w:rsidRPr="00317C21">
        <w:rPr>
          <w:vertAlign w:val="superscript"/>
        </w:rPr>
        <w:t>th</w:t>
      </w:r>
      <w:r>
        <w:t xml:space="preserve">  </w:t>
      </w:r>
    </w:p>
    <w:p w14:paraId="4B0298A7" w14:textId="0831916A" w:rsidR="001F186E" w:rsidRDefault="004B05E9" w:rsidP="001F186E">
      <w:pPr>
        <w:pStyle w:val="ListParagraph"/>
        <w:numPr>
          <w:ilvl w:val="0"/>
          <w:numId w:val="1"/>
        </w:numPr>
      </w:pPr>
      <w:r>
        <w:t>CA – 10</w:t>
      </w:r>
      <w:r w:rsidRPr="00E65FE0">
        <w:rPr>
          <w:vertAlign w:val="superscript"/>
        </w:rPr>
        <w:t>th</w:t>
      </w:r>
      <w:r>
        <w:t>, 21</w:t>
      </w:r>
      <w:r w:rsidRPr="00CC5D1F">
        <w:rPr>
          <w:vertAlign w:val="superscript"/>
        </w:rPr>
        <w:t>st</w:t>
      </w:r>
      <w:r>
        <w:t>, 45</w:t>
      </w:r>
      <w:r w:rsidRPr="00E65FE0">
        <w:rPr>
          <w:vertAlign w:val="superscript"/>
        </w:rPr>
        <w:t>th</w:t>
      </w:r>
      <w:r>
        <w:t>, and 49</w:t>
      </w:r>
      <w:r w:rsidRPr="00E65FE0">
        <w:rPr>
          <w:vertAlign w:val="superscript"/>
        </w:rPr>
        <w:t>th</w:t>
      </w:r>
      <w:r>
        <w:t xml:space="preserve">  </w:t>
      </w:r>
    </w:p>
    <w:p w14:paraId="2C7CA5FA" w14:textId="7720F101" w:rsidR="001F186E" w:rsidRDefault="001F186E"/>
    <w:p w14:paraId="54BC0515" w14:textId="5896A06A" w:rsidR="00602DC1" w:rsidRDefault="00353DCD">
      <w:r>
        <w:t>While</w:t>
      </w:r>
      <w:r w:rsidR="00902FF2">
        <w:t xml:space="preserve"> b</w:t>
      </w:r>
      <w:r w:rsidR="0001439D">
        <w:t xml:space="preserve">oth plans were drawn by commissions – NJ’s political, CA’s independent </w:t>
      </w:r>
      <w:r w:rsidR="00914860">
        <w:t xml:space="preserve">– </w:t>
      </w:r>
      <w:r>
        <w:t xml:space="preserve">both also </w:t>
      </w:r>
      <w:r w:rsidR="00914860">
        <w:t xml:space="preserve">included </w:t>
      </w:r>
      <w:r w:rsidR="00747AB1">
        <w:t>semi-</w:t>
      </w:r>
      <w:r w:rsidR="00914860">
        <w:t xml:space="preserve">competitive seats with relatively thin </w:t>
      </w:r>
      <w:r w:rsidR="001B2911">
        <w:t xml:space="preserve">R </w:t>
      </w:r>
      <w:r w:rsidR="00914860">
        <w:t>margins.</w:t>
      </w:r>
      <w:r w:rsidR="005E3846">
        <w:rPr>
          <w:rStyle w:val="FootnoteReference"/>
        </w:rPr>
        <w:footnoteReference w:id="8"/>
      </w:r>
      <w:r w:rsidR="00914860">
        <w:t xml:space="preserve"> In the face of increase</w:t>
      </w:r>
      <w:r w:rsidR="00DF2685">
        <w:t>d</w:t>
      </w:r>
      <w:r w:rsidR="00914860">
        <w:t xml:space="preserve"> D two-party vote share</w:t>
      </w:r>
      <w:r w:rsidR="00902FF2">
        <w:t>s</w:t>
      </w:r>
      <w:r w:rsidR="00914860">
        <w:t xml:space="preserve"> in 2018 and 2020, these </w:t>
      </w:r>
      <w:r w:rsidR="00DF2685">
        <w:t xml:space="preserve">districts </w:t>
      </w:r>
      <w:r w:rsidR="00914860">
        <w:t>elected D’s.</w:t>
      </w:r>
      <w:r w:rsidR="00E537C6">
        <w:t xml:space="preserve"> </w:t>
      </w:r>
    </w:p>
    <w:p w14:paraId="1D4A9828" w14:textId="77777777" w:rsidR="0001439D" w:rsidRDefault="0001439D"/>
    <w:p w14:paraId="00629FDF" w14:textId="404D685C" w:rsidR="001F186E" w:rsidRDefault="001F186E" w:rsidP="00353DCD">
      <w:pPr>
        <w:keepNext/>
      </w:pPr>
      <w:r>
        <w:rPr>
          <w:b/>
          <w:bCs/>
        </w:rPr>
        <w:t>Conclusion</w:t>
      </w:r>
    </w:p>
    <w:p w14:paraId="74A96A6F" w14:textId="1B220045" w:rsidR="001F186E" w:rsidRDefault="001F186E" w:rsidP="00353DCD">
      <w:pPr>
        <w:keepNext/>
      </w:pPr>
    </w:p>
    <w:p w14:paraId="02711C14" w14:textId="798811B8" w:rsidR="00056D3D" w:rsidRDefault="00056D3D" w:rsidP="00353DCD">
      <w:pPr>
        <w:keepNext/>
      </w:pPr>
      <w:r>
        <w:t xml:space="preserve">REDMAP </w:t>
      </w:r>
      <w:r w:rsidR="00FE23A4">
        <w:t>c</w:t>
      </w:r>
      <w:r>
        <w:t>ould not have happened</w:t>
      </w:r>
      <w:r w:rsidR="007B7E75">
        <w:t xml:space="preserve"> to begin </w:t>
      </w:r>
      <w:r w:rsidR="00B37198">
        <w:t>with if</w:t>
      </w:r>
      <w:r>
        <w:t xml:space="preserve"> </w:t>
      </w:r>
      <w:r w:rsidR="00FE23A4">
        <w:t>redistricting maps</w:t>
      </w:r>
      <w:r>
        <w:t xml:space="preserve"> had been drawn by </w:t>
      </w:r>
      <w:r w:rsidR="00840EC6">
        <w:t xml:space="preserve">independent </w:t>
      </w:r>
      <w:r>
        <w:t>commissions</w:t>
      </w:r>
      <w:r w:rsidR="007B7E75">
        <w:t>. I</w:t>
      </w:r>
      <w:r>
        <w:t xml:space="preserve">t </w:t>
      </w:r>
      <w:r w:rsidR="00B37198">
        <w:t>was</w:t>
      </w:r>
      <w:r>
        <w:t xml:space="preserve"> </w:t>
      </w:r>
      <w:r w:rsidR="00B37198">
        <w:t xml:space="preserve">partially </w:t>
      </w:r>
      <w:r>
        <w:t>redressed</w:t>
      </w:r>
      <w:r w:rsidR="007B7E75">
        <w:t xml:space="preserve"> </w:t>
      </w:r>
      <w:r w:rsidR="00B37198">
        <w:t xml:space="preserve">by </w:t>
      </w:r>
      <w:r>
        <w:t xml:space="preserve">courts </w:t>
      </w:r>
      <w:r w:rsidR="00FE23A4">
        <w:t>overturn</w:t>
      </w:r>
      <w:r w:rsidR="00B37198">
        <w:t xml:space="preserve">ing </w:t>
      </w:r>
      <w:r w:rsidR="001509D2">
        <w:t xml:space="preserve">a few </w:t>
      </w:r>
      <w:r>
        <w:t>egregious partisan gerrymanders</w:t>
      </w:r>
      <w:r w:rsidR="00B37198">
        <w:t xml:space="preserve">. </w:t>
      </w:r>
      <w:r w:rsidR="001509D2">
        <w:t xml:space="preserve">More importantly though, a dozen </w:t>
      </w:r>
      <w:r>
        <w:t xml:space="preserve">competitive </w:t>
      </w:r>
      <w:r w:rsidR="001509D2">
        <w:t>districts in five states</w:t>
      </w:r>
      <w:r w:rsidR="00FE23A4">
        <w:t xml:space="preserve"> </w:t>
      </w:r>
      <w:r w:rsidR="001509D2">
        <w:lastRenderedPageBreak/>
        <w:t>acted</w:t>
      </w:r>
      <w:r w:rsidR="00B37198">
        <w:t xml:space="preserve"> as feedback mechanisms</w:t>
      </w:r>
      <w:r w:rsidR="001509D2">
        <w:t xml:space="preserve"> </w:t>
      </w:r>
      <w:r w:rsidR="00F93F75">
        <w:t>that enabled</w:t>
      </w:r>
      <w:r w:rsidR="001509D2">
        <w:t xml:space="preserve"> the system </w:t>
      </w:r>
      <w:r w:rsidR="00F93F75">
        <w:t>to autocorrect</w:t>
      </w:r>
      <w:r w:rsidR="001509D2">
        <w:t xml:space="preserve"> to near national proportionality.</w:t>
      </w:r>
    </w:p>
    <w:p w14:paraId="741CC1D7" w14:textId="0E455B01" w:rsidR="00F77395" w:rsidRDefault="00F77395" w:rsidP="00353DCD">
      <w:pPr>
        <w:keepNext/>
      </w:pPr>
    </w:p>
    <w:p w14:paraId="15C0FF9F" w14:textId="3538D772" w:rsidR="00F77395" w:rsidRDefault="00F77395" w:rsidP="00353DCD">
      <w:pPr>
        <w:keepNext/>
      </w:pPr>
      <w:r>
        <w:rPr>
          <w:noProof/>
        </w:rPr>
        <w:drawing>
          <wp:inline distT="0" distB="0" distL="0" distR="0" wp14:anchorId="60ADFD70" wp14:editId="27BAF8BE">
            <wp:extent cx="3340100" cy="6045200"/>
            <wp:effectExtent l="0" t="0" r="0" b="0"/>
            <wp:docPr id="921461118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1118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25F" w14:textId="77777777" w:rsidR="001F186E" w:rsidRPr="001F186E" w:rsidRDefault="001F186E"/>
    <w:p w14:paraId="1F410559" w14:textId="72E8822E" w:rsidR="000A0F1F" w:rsidRPr="000A0F1F" w:rsidRDefault="000A0F1F">
      <w:pPr>
        <w:rPr>
          <w:sz w:val="20"/>
          <w:szCs w:val="20"/>
        </w:rPr>
      </w:pPr>
      <w:r w:rsidRPr="000A0F1F">
        <w:rPr>
          <w:sz w:val="20"/>
          <w:szCs w:val="20"/>
        </w:rPr>
        <w:t>[end]</w:t>
      </w:r>
    </w:p>
    <w:sectPr w:rsidR="000A0F1F" w:rsidRPr="000A0F1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A17B" w14:textId="77777777" w:rsidR="00502016" w:rsidRDefault="00502016" w:rsidP="00A93BDF">
      <w:r>
        <w:separator/>
      </w:r>
    </w:p>
  </w:endnote>
  <w:endnote w:type="continuationSeparator" w:id="0">
    <w:p w14:paraId="594BA809" w14:textId="77777777" w:rsidR="00502016" w:rsidRDefault="00502016" w:rsidP="00A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80257"/>
      <w:docPartObj>
        <w:docPartGallery w:val="Page Numbers (Bottom of Page)"/>
        <w:docPartUnique/>
      </w:docPartObj>
    </w:sdtPr>
    <w:sdtContent>
      <w:p w14:paraId="3EFAC7A2" w14:textId="350363DE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77C62" w14:textId="77777777" w:rsidR="00A93BDF" w:rsidRDefault="00A9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9166"/>
      <w:docPartObj>
        <w:docPartGallery w:val="Page Numbers (Bottom of Page)"/>
        <w:docPartUnique/>
      </w:docPartObj>
    </w:sdtPr>
    <w:sdtContent>
      <w:p w14:paraId="18F461F5" w14:textId="149B7444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DDC7F" w14:textId="55ACACDE" w:rsidR="00A93BDF" w:rsidRPr="00A93BDF" w:rsidRDefault="00A93BDF">
    <w:pPr>
      <w:pStyle w:val="Footer"/>
      <w:rPr>
        <w:sz w:val="20"/>
        <w:szCs w:val="20"/>
      </w:rPr>
    </w:pPr>
    <w:r w:rsidRPr="00A93BDF">
      <w:rPr>
        <w:sz w:val="20"/>
        <w:szCs w:val="20"/>
      </w:rPr>
      <w:t>Alec Ramsay</w:t>
    </w:r>
    <w:r w:rsidRPr="00A93BDF">
      <w:rPr>
        <w:sz w:val="20"/>
        <w:szCs w:val="20"/>
      </w:rPr>
      <w:tab/>
    </w:r>
    <w:r w:rsidRPr="00A93BDF">
      <w:rPr>
        <w:sz w:val="20"/>
        <w:szCs w:val="20"/>
      </w:rPr>
      <w:tab/>
      <w:t>1/10/23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7D2A" w14:textId="77777777" w:rsidR="00502016" w:rsidRDefault="00502016" w:rsidP="00A93BDF">
      <w:r>
        <w:separator/>
      </w:r>
    </w:p>
  </w:footnote>
  <w:footnote w:type="continuationSeparator" w:id="0">
    <w:p w14:paraId="79D3FF44" w14:textId="77777777" w:rsidR="00502016" w:rsidRDefault="00502016" w:rsidP="00A93BDF">
      <w:r>
        <w:continuationSeparator/>
      </w:r>
    </w:p>
  </w:footnote>
  <w:footnote w:id="1">
    <w:p w14:paraId="509049F3" w14:textId="7D409E32" w:rsidR="00A8642A" w:rsidRDefault="00A8642A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 w:rsidRPr="00A8642A">
        <w:rPr>
          <w:i/>
          <w:iCs/>
        </w:rPr>
        <w:t>Ratf</w:t>
      </w:r>
      <w:proofErr w:type="spellEnd"/>
      <w:r w:rsidRPr="00A8642A">
        <w:rPr>
          <w:i/>
          <w:iCs/>
        </w:rPr>
        <w:t>**</w:t>
      </w:r>
      <w:proofErr w:type="spellStart"/>
      <w:r w:rsidRPr="00A8642A">
        <w:rPr>
          <w:i/>
          <w:iCs/>
        </w:rPr>
        <w:t>cked</w:t>
      </w:r>
      <w:proofErr w:type="spellEnd"/>
      <w:r w:rsidRPr="00A8642A">
        <w:rPr>
          <w:i/>
          <w:iCs/>
        </w:rPr>
        <w:t>: The True Story Behind the Secret Plan to Steal America's Democracy</w:t>
      </w:r>
      <w:r>
        <w:t>, Dave Daley (2016).</w:t>
      </w:r>
    </w:p>
  </w:footnote>
  <w:footnote w:id="2">
    <w:p w14:paraId="78D9AAF6" w14:textId="3F78DABA" w:rsidR="002B5901" w:rsidRDefault="002B5901">
      <w:pPr>
        <w:pStyle w:val="FootnoteText"/>
      </w:pPr>
      <w:r>
        <w:rPr>
          <w:rStyle w:val="FootnoteReference"/>
        </w:rPr>
        <w:footnoteRef/>
      </w:r>
      <w:r>
        <w:t xml:space="preserve"> The official results, revised results</w:t>
      </w:r>
      <w:r w:rsidR="000F4417">
        <w:t>, the code for imputing uncontested races, and a description of it</w:t>
      </w:r>
      <w:r>
        <w:t xml:space="preserve"> are </w:t>
      </w:r>
      <w:r w:rsidR="000F4417">
        <w:t xml:space="preserve">all </w:t>
      </w:r>
      <w:r>
        <w:t xml:space="preserve">in this GitHub repository: </w:t>
      </w:r>
      <w:hyperlink r:id="rId1" w:history="1">
        <w:r w:rsidRPr="00DF5942">
          <w:rPr>
            <w:rStyle w:val="Hyperlink"/>
          </w:rPr>
          <w:t>https://github.com/alecramsay/ushouse</w:t>
        </w:r>
      </w:hyperlink>
      <w:r>
        <w:t>.</w:t>
      </w:r>
    </w:p>
  </w:footnote>
  <w:footnote w:id="3">
    <w:p w14:paraId="21F0DFAB" w14:textId="2F2DAF23" w:rsidR="00346919" w:rsidRDefault="00346919">
      <w:pPr>
        <w:pStyle w:val="FootnoteText"/>
      </w:pPr>
      <w:r>
        <w:rPr>
          <w:rStyle w:val="FootnoteReference"/>
        </w:rPr>
        <w:footnoteRef/>
      </w:r>
      <w:r>
        <w:t xml:space="preserve"> AZ got a 9</w:t>
      </w:r>
      <w:r w:rsidRPr="00346919">
        <w:rPr>
          <w:vertAlign w:val="superscript"/>
        </w:rPr>
        <w:t>th</w:t>
      </w:r>
      <w:r>
        <w:t xml:space="preserve"> representative in the </w:t>
      </w:r>
      <w:r w:rsidR="00C43416">
        <w:t>apportionment based on the 2010 census</w:t>
      </w:r>
      <w:r>
        <w:t>.</w:t>
      </w:r>
    </w:p>
  </w:footnote>
  <w:footnote w:id="4">
    <w:p w14:paraId="521CFFEF" w14:textId="28FF592D" w:rsidR="00DA0174" w:rsidRDefault="00DA0174" w:rsidP="00DA0174">
      <w:pPr>
        <w:pStyle w:val="FootnoteText"/>
      </w:pPr>
      <w:r>
        <w:rPr>
          <w:rStyle w:val="FootnoteReference"/>
        </w:rPr>
        <w:footnoteRef/>
      </w:r>
      <w:r>
        <w:t xml:space="preserve"> Declination 8.16 =&gt; -4.52 degrees; average R win</w:t>
      </w:r>
      <w:r w:rsidR="00882FE9">
        <w:t xml:space="preserve"> </w:t>
      </w:r>
      <w:r>
        <w:t>56.02% =&gt; 57.20%; average D win 69.90% =&gt; 68.90%</w:t>
      </w:r>
      <w:r w:rsidR="00C07A4B">
        <w:t>. M</w:t>
      </w:r>
      <w:r w:rsidR="00882FE9">
        <w:t xml:space="preserve">ap </w:t>
      </w:r>
      <w:r w:rsidR="00882FE9" w:rsidRPr="00882FE9">
        <w:t>http://bit.ly/3W7e9vl</w:t>
      </w:r>
      <w:r w:rsidR="00882FE9">
        <w:t xml:space="preserve"> =&gt; </w:t>
      </w:r>
      <w:r w:rsidR="00882FE9" w:rsidRPr="00882FE9">
        <w:t>http://bit.ly/3ILtwGI</w:t>
      </w:r>
      <w:r>
        <w:t>.</w:t>
      </w:r>
    </w:p>
  </w:footnote>
  <w:footnote w:id="5">
    <w:p w14:paraId="5DF5F3A9" w14:textId="7376D0F3" w:rsidR="00574874" w:rsidRDefault="00574874">
      <w:pPr>
        <w:pStyle w:val="FootnoteText"/>
      </w:pPr>
      <w:r>
        <w:rPr>
          <w:rStyle w:val="FootnoteReference"/>
        </w:rPr>
        <w:footnoteRef/>
      </w:r>
      <w:r>
        <w:t xml:space="preserve"> Average two-party D vote share 46.7% =&gt; 53.0%.</w:t>
      </w:r>
    </w:p>
  </w:footnote>
  <w:footnote w:id="6">
    <w:p w14:paraId="1B06B894" w14:textId="1BDC0B7E" w:rsidR="001F4BEF" w:rsidRDefault="001F4BEF" w:rsidP="001F4BEF">
      <w:pPr>
        <w:pStyle w:val="FootnoteText"/>
      </w:pPr>
      <w:r>
        <w:rPr>
          <w:rStyle w:val="FootnoteReference"/>
        </w:rPr>
        <w:footnoteRef/>
      </w:r>
      <w:r>
        <w:t xml:space="preserve"> MI declination: 22.01 degrees; average R win: 55.84%; average D win: 68.75%</w:t>
      </w:r>
      <w:r w:rsidR="00902602">
        <w:t xml:space="preserve"> (map: </w:t>
      </w:r>
      <w:r w:rsidR="00902602" w:rsidRPr="00902602">
        <w:t>http://bit.ly/3vZqmHR</w:t>
      </w:r>
      <w:r w:rsidR="00902602">
        <w:t>)</w:t>
      </w:r>
      <w:r>
        <w:t>. VA declination: 10.33 degrees; average R win: 57.70%; average D win: 64.20%</w:t>
      </w:r>
      <w:r w:rsidR="00902602">
        <w:t xml:space="preserve"> (map: </w:t>
      </w:r>
      <w:r w:rsidR="00902602" w:rsidRPr="00902602">
        <w:t>http://bit.ly/3CLW7YV</w:t>
      </w:r>
      <w:r w:rsidR="00902602">
        <w:t>)</w:t>
      </w:r>
      <w:r>
        <w:t xml:space="preserve">. </w:t>
      </w:r>
    </w:p>
  </w:footnote>
  <w:footnote w:id="7">
    <w:p w14:paraId="1AF13C26" w14:textId="6C1D6E1B" w:rsidR="00F31C86" w:rsidRDefault="00F31C86">
      <w:pPr>
        <w:pStyle w:val="FootnoteText"/>
      </w:pPr>
      <w:r>
        <w:rPr>
          <w:rStyle w:val="FootnoteReference"/>
        </w:rPr>
        <w:footnoteRef/>
      </w:r>
      <w:r>
        <w:t xml:space="preserve"> These districts </w:t>
      </w:r>
      <w:r w:rsidR="004F4FC8">
        <w:t>are</w:t>
      </w:r>
      <w:r>
        <w:t xml:space="preserve"> in the competitive region of the rank-votes graphs, </w:t>
      </w:r>
      <w:r w:rsidR="00FA6B69" w:rsidRPr="000D5E91">
        <w:t>http://bit.ly/3XpYHeP</w:t>
      </w:r>
      <w:r w:rsidR="00FA6B69">
        <w:t xml:space="preserve"> and </w:t>
      </w:r>
      <w:r w:rsidR="00FA6B69" w:rsidRPr="00FA6B69">
        <w:t>http://bit.ly/3X5y4vT</w:t>
      </w:r>
      <w:r w:rsidR="00FA6B69">
        <w:t xml:space="preserve">, </w:t>
      </w:r>
      <w:r>
        <w:t>respectively.</w:t>
      </w:r>
    </w:p>
  </w:footnote>
  <w:footnote w:id="8">
    <w:p w14:paraId="2D911721" w14:textId="46A91154" w:rsidR="005E3846" w:rsidRDefault="005E3846">
      <w:pPr>
        <w:pStyle w:val="FootnoteText"/>
      </w:pPr>
      <w:r>
        <w:rPr>
          <w:rStyle w:val="FootnoteReference"/>
        </w:rPr>
        <w:footnoteRef/>
      </w:r>
      <w:r>
        <w:t xml:space="preserve"> NJ (map: </w:t>
      </w:r>
      <w:r w:rsidRPr="005E3846">
        <w:t>http://bit.ly/3XrN86T</w:t>
      </w:r>
      <w:r>
        <w:t>), CA (map:</w:t>
      </w:r>
      <w:r w:rsidR="00B638E6">
        <w:t xml:space="preserve"> </w:t>
      </w:r>
      <w:r w:rsidR="00B638E6" w:rsidRPr="00B638E6">
        <w:t>https://davesredistricting.org/join/09a02b57-93e8-4d59-8a04-bd7d65edf820</w:t>
      </w:r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F58"/>
    <w:multiLevelType w:val="hybridMultilevel"/>
    <w:tmpl w:val="C168385C"/>
    <w:lvl w:ilvl="0" w:tplc="A57AA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34D"/>
    <w:multiLevelType w:val="hybridMultilevel"/>
    <w:tmpl w:val="F22888A2"/>
    <w:lvl w:ilvl="0" w:tplc="87D20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230"/>
    <w:multiLevelType w:val="hybridMultilevel"/>
    <w:tmpl w:val="F7A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71882">
    <w:abstractNumId w:val="0"/>
  </w:num>
  <w:num w:numId="2" w16cid:durableId="1704862174">
    <w:abstractNumId w:val="2"/>
  </w:num>
  <w:num w:numId="3" w16cid:durableId="65072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E"/>
    <w:rsid w:val="000005AE"/>
    <w:rsid w:val="00002F6E"/>
    <w:rsid w:val="0001439D"/>
    <w:rsid w:val="000176D4"/>
    <w:rsid w:val="000310D4"/>
    <w:rsid w:val="00055970"/>
    <w:rsid w:val="00056D3D"/>
    <w:rsid w:val="00080E9B"/>
    <w:rsid w:val="0009163B"/>
    <w:rsid w:val="000953C6"/>
    <w:rsid w:val="000A0F1F"/>
    <w:rsid w:val="000B19CC"/>
    <w:rsid w:val="000C099E"/>
    <w:rsid w:val="000C2D2E"/>
    <w:rsid w:val="000C424C"/>
    <w:rsid w:val="000D5E91"/>
    <w:rsid w:val="000E3462"/>
    <w:rsid w:val="000E4294"/>
    <w:rsid w:val="000F424C"/>
    <w:rsid w:val="000F4417"/>
    <w:rsid w:val="0010163F"/>
    <w:rsid w:val="00114F90"/>
    <w:rsid w:val="001373A7"/>
    <w:rsid w:val="00142EF8"/>
    <w:rsid w:val="0014444D"/>
    <w:rsid w:val="001509D2"/>
    <w:rsid w:val="0016206F"/>
    <w:rsid w:val="00164357"/>
    <w:rsid w:val="00165E77"/>
    <w:rsid w:val="00170315"/>
    <w:rsid w:val="00175AD9"/>
    <w:rsid w:val="001808CB"/>
    <w:rsid w:val="00196102"/>
    <w:rsid w:val="00197A94"/>
    <w:rsid w:val="001B2911"/>
    <w:rsid w:val="001C1D2C"/>
    <w:rsid w:val="001C2C44"/>
    <w:rsid w:val="001C5615"/>
    <w:rsid w:val="001E0529"/>
    <w:rsid w:val="001E6FFC"/>
    <w:rsid w:val="001F186E"/>
    <w:rsid w:val="001F4BEF"/>
    <w:rsid w:val="00203188"/>
    <w:rsid w:val="00212EB9"/>
    <w:rsid w:val="00220778"/>
    <w:rsid w:val="002379F5"/>
    <w:rsid w:val="0024472F"/>
    <w:rsid w:val="00246000"/>
    <w:rsid w:val="00246C94"/>
    <w:rsid w:val="00260FB3"/>
    <w:rsid w:val="00280D89"/>
    <w:rsid w:val="00281E72"/>
    <w:rsid w:val="00291094"/>
    <w:rsid w:val="00291B4D"/>
    <w:rsid w:val="00293BEE"/>
    <w:rsid w:val="00297962"/>
    <w:rsid w:val="002B5901"/>
    <w:rsid w:val="002C3AD1"/>
    <w:rsid w:val="002E5E0E"/>
    <w:rsid w:val="002F59F7"/>
    <w:rsid w:val="00316F9F"/>
    <w:rsid w:val="00317C21"/>
    <w:rsid w:val="0033323D"/>
    <w:rsid w:val="003401CA"/>
    <w:rsid w:val="00346919"/>
    <w:rsid w:val="003513D5"/>
    <w:rsid w:val="00351CFC"/>
    <w:rsid w:val="00353DCD"/>
    <w:rsid w:val="0037356E"/>
    <w:rsid w:val="00376B98"/>
    <w:rsid w:val="00382721"/>
    <w:rsid w:val="00387FBE"/>
    <w:rsid w:val="00393A7C"/>
    <w:rsid w:val="003A0851"/>
    <w:rsid w:val="003C5BFA"/>
    <w:rsid w:val="003D3701"/>
    <w:rsid w:val="003D7A75"/>
    <w:rsid w:val="003F30A2"/>
    <w:rsid w:val="004007F3"/>
    <w:rsid w:val="004260D6"/>
    <w:rsid w:val="00433D04"/>
    <w:rsid w:val="00434EFE"/>
    <w:rsid w:val="00437A6C"/>
    <w:rsid w:val="00443DD9"/>
    <w:rsid w:val="00445358"/>
    <w:rsid w:val="00455737"/>
    <w:rsid w:val="00471927"/>
    <w:rsid w:val="004731BC"/>
    <w:rsid w:val="00484A82"/>
    <w:rsid w:val="0049504D"/>
    <w:rsid w:val="004A3CD6"/>
    <w:rsid w:val="004A515A"/>
    <w:rsid w:val="004B05E9"/>
    <w:rsid w:val="004B4059"/>
    <w:rsid w:val="004B6002"/>
    <w:rsid w:val="004C410B"/>
    <w:rsid w:val="004D54FD"/>
    <w:rsid w:val="004E0A5C"/>
    <w:rsid w:val="004E45BB"/>
    <w:rsid w:val="004E6732"/>
    <w:rsid w:val="004F4FC8"/>
    <w:rsid w:val="00502016"/>
    <w:rsid w:val="00502A4E"/>
    <w:rsid w:val="00503661"/>
    <w:rsid w:val="00503AB8"/>
    <w:rsid w:val="00503B66"/>
    <w:rsid w:val="005067E9"/>
    <w:rsid w:val="0051309C"/>
    <w:rsid w:val="005273F1"/>
    <w:rsid w:val="0053524B"/>
    <w:rsid w:val="005433F8"/>
    <w:rsid w:val="005545D4"/>
    <w:rsid w:val="005672A8"/>
    <w:rsid w:val="00574874"/>
    <w:rsid w:val="00582FA2"/>
    <w:rsid w:val="005875E3"/>
    <w:rsid w:val="005878EC"/>
    <w:rsid w:val="005A1524"/>
    <w:rsid w:val="005A25B0"/>
    <w:rsid w:val="005B2AA5"/>
    <w:rsid w:val="005B44F0"/>
    <w:rsid w:val="005C1F6E"/>
    <w:rsid w:val="005E3846"/>
    <w:rsid w:val="005E50D6"/>
    <w:rsid w:val="00602DC1"/>
    <w:rsid w:val="00633B3E"/>
    <w:rsid w:val="00646126"/>
    <w:rsid w:val="00673E85"/>
    <w:rsid w:val="00684FDC"/>
    <w:rsid w:val="006D0094"/>
    <w:rsid w:val="006E4E63"/>
    <w:rsid w:val="006E6663"/>
    <w:rsid w:val="00705B04"/>
    <w:rsid w:val="00714A50"/>
    <w:rsid w:val="0072342B"/>
    <w:rsid w:val="007319F9"/>
    <w:rsid w:val="00741841"/>
    <w:rsid w:val="0074601E"/>
    <w:rsid w:val="00747AB1"/>
    <w:rsid w:val="00752A03"/>
    <w:rsid w:val="00757BA1"/>
    <w:rsid w:val="00761072"/>
    <w:rsid w:val="00762796"/>
    <w:rsid w:val="00791EF0"/>
    <w:rsid w:val="00791F3A"/>
    <w:rsid w:val="00792D80"/>
    <w:rsid w:val="007B1718"/>
    <w:rsid w:val="007B7E75"/>
    <w:rsid w:val="007D3E98"/>
    <w:rsid w:val="007F7799"/>
    <w:rsid w:val="0080521A"/>
    <w:rsid w:val="00806294"/>
    <w:rsid w:val="0081015F"/>
    <w:rsid w:val="00817047"/>
    <w:rsid w:val="008372CB"/>
    <w:rsid w:val="00840EC6"/>
    <w:rsid w:val="0084201A"/>
    <w:rsid w:val="00844A02"/>
    <w:rsid w:val="00860AAE"/>
    <w:rsid w:val="00882FE9"/>
    <w:rsid w:val="00884053"/>
    <w:rsid w:val="00892074"/>
    <w:rsid w:val="0089488A"/>
    <w:rsid w:val="008B60BE"/>
    <w:rsid w:val="008B69D6"/>
    <w:rsid w:val="008C0075"/>
    <w:rsid w:val="008F0844"/>
    <w:rsid w:val="008F4DE8"/>
    <w:rsid w:val="00902602"/>
    <w:rsid w:val="00902FF2"/>
    <w:rsid w:val="0090507E"/>
    <w:rsid w:val="00914860"/>
    <w:rsid w:val="00937DCF"/>
    <w:rsid w:val="00943E54"/>
    <w:rsid w:val="00951BB7"/>
    <w:rsid w:val="0095792E"/>
    <w:rsid w:val="00957CFA"/>
    <w:rsid w:val="00960FB9"/>
    <w:rsid w:val="00975BAC"/>
    <w:rsid w:val="009836A6"/>
    <w:rsid w:val="009907EB"/>
    <w:rsid w:val="00991C1B"/>
    <w:rsid w:val="009B3965"/>
    <w:rsid w:val="009B4B20"/>
    <w:rsid w:val="009B6247"/>
    <w:rsid w:val="009D1AA7"/>
    <w:rsid w:val="009D4B82"/>
    <w:rsid w:val="009D6DF1"/>
    <w:rsid w:val="009E3060"/>
    <w:rsid w:val="009E5143"/>
    <w:rsid w:val="009F2191"/>
    <w:rsid w:val="00A0031C"/>
    <w:rsid w:val="00A06915"/>
    <w:rsid w:val="00A14B39"/>
    <w:rsid w:val="00A217F5"/>
    <w:rsid w:val="00A220A4"/>
    <w:rsid w:val="00A32799"/>
    <w:rsid w:val="00A4781B"/>
    <w:rsid w:val="00A52190"/>
    <w:rsid w:val="00A62301"/>
    <w:rsid w:val="00A8642A"/>
    <w:rsid w:val="00A93BDF"/>
    <w:rsid w:val="00A96C56"/>
    <w:rsid w:val="00AA253A"/>
    <w:rsid w:val="00AD06DE"/>
    <w:rsid w:val="00AD0A06"/>
    <w:rsid w:val="00AD78F8"/>
    <w:rsid w:val="00AE1309"/>
    <w:rsid w:val="00B30B01"/>
    <w:rsid w:val="00B37198"/>
    <w:rsid w:val="00B51519"/>
    <w:rsid w:val="00B61EAF"/>
    <w:rsid w:val="00B638E6"/>
    <w:rsid w:val="00B8231F"/>
    <w:rsid w:val="00B91DF6"/>
    <w:rsid w:val="00B977BD"/>
    <w:rsid w:val="00BB72A8"/>
    <w:rsid w:val="00BC52F1"/>
    <w:rsid w:val="00BD2429"/>
    <w:rsid w:val="00BE753F"/>
    <w:rsid w:val="00C07A4B"/>
    <w:rsid w:val="00C13CF2"/>
    <w:rsid w:val="00C3003F"/>
    <w:rsid w:val="00C32A74"/>
    <w:rsid w:val="00C43416"/>
    <w:rsid w:val="00C569FB"/>
    <w:rsid w:val="00C605A5"/>
    <w:rsid w:val="00CC2B41"/>
    <w:rsid w:val="00CC5D1F"/>
    <w:rsid w:val="00CF215E"/>
    <w:rsid w:val="00D23D0C"/>
    <w:rsid w:val="00D31BE1"/>
    <w:rsid w:val="00D42EE4"/>
    <w:rsid w:val="00D73796"/>
    <w:rsid w:val="00D90E46"/>
    <w:rsid w:val="00D97C60"/>
    <w:rsid w:val="00DA0063"/>
    <w:rsid w:val="00DA0174"/>
    <w:rsid w:val="00DC3E08"/>
    <w:rsid w:val="00DC5B5C"/>
    <w:rsid w:val="00DE4264"/>
    <w:rsid w:val="00DE4452"/>
    <w:rsid w:val="00DE5B43"/>
    <w:rsid w:val="00DF2685"/>
    <w:rsid w:val="00DF7800"/>
    <w:rsid w:val="00E04789"/>
    <w:rsid w:val="00E049C7"/>
    <w:rsid w:val="00E06225"/>
    <w:rsid w:val="00E265A1"/>
    <w:rsid w:val="00E30E1A"/>
    <w:rsid w:val="00E33445"/>
    <w:rsid w:val="00E36573"/>
    <w:rsid w:val="00E4031A"/>
    <w:rsid w:val="00E50336"/>
    <w:rsid w:val="00E537C6"/>
    <w:rsid w:val="00E62992"/>
    <w:rsid w:val="00E64CF6"/>
    <w:rsid w:val="00E65FE0"/>
    <w:rsid w:val="00E863FA"/>
    <w:rsid w:val="00E904EB"/>
    <w:rsid w:val="00ED2DBE"/>
    <w:rsid w:val="00ED6106"/>
    <w:rsid w:val="00EE2FF7"/>
    <w:rsid w:val="00EE5556"/>
    <w:rsid w:val="00EF0F50"/>
    <w:rsid w:val="00F31C86"/>
    <w:rsid w:val="00F36E65"/>
    <w:rsid w:val="00F65500"/>
    <w:rsid w:val="00F73D94"/>
    <w:rsid w:val="00F77395"/>
    <w:rsid w:val="00F8465C"/>
    <w:rsid w:val="00F859BC"/>
    <w:rsid w:val="00F86836"/>
    <w:rsid w:val="00F92051"/>
    <w:rsid w:val="00F93F75"/>
    <w:rsid w:val="00FA2716"/>
    <w:rsid w:val="00FA6B69"/>
    <w:rsid w:val="00FC0446"/>
    <w:rsid w:val="00FC195B"/>
    <w:rsid w:val="00FC41AD"/>
    <w:rsid w:val="00FC7B9F"/>
    <w:rsid w:val="00FD0978"/>
    <w:rsid w:val="00FE23A4"/>
    <w:rsid w:val="00FE65C1"/>
    <w:rsid w:val="00FE6F8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B09F"/>
  <w15:chartTrackingRefBased/>
  <w15:docId w15:val="{B822B429-099B-F14B-8E37-5360805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character" w:styleId="PageNumber">
    <w:name w:val="page number"/>
    <w:basedOn w:val="DefaultParagraphFont"/>
    <w:uiPriority w:val="99"/>
    <w:semiHidden/>
    <w:unhideWhenUsed/>
    <w:rsid w:val="00A93BDF"/>
  </w:style>
  <w:style w:type="paragraph" w:styleId="FootnoteText">
    <w:name w:val="footnote text"/>
    <w:basedOn w:val="Normal"/>
    <w:link w:val="FootnoteTextChar"/>
    <w:uiPriority w:val="99"/>
    <w:semiHidden/>
    <w:unhideWhenUsed/>
    <w:rsid w:val="005273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3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cramsay/us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256</cp:revision>
  <dcterms:created xsi:type="dcterms:W3CDTF">2023-01-10T15:30:00Z</dcterms:created>
  <dcterms:modified xsi:type="dcterms:W3CDTF">2023-01-13T18:30:00Z</dcterms:modified>
</cp:coreProperties>
</file>