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onsolas" w:cs="Consolas" w:eastAsia="Consolas" w:hAnsi="Consolas"/>
          <w:b/>
          <w:bCs/>
          <w:color w:val="B4531A"/>
          <w:spacing w:val="40"/>
          <w:sz w:val="15"/>
          <w:szCs w:val="15"/>
        </w:rPr>
        <w:t xml:space="preserve">UNDERSERVED MARKET TRACKER</w:t>
      </w:r>
    </w:p>
    <w:p>
      <w:pPr>
        <w:pBdr>
          <w:bottom w:val="single" w:color="2A2320" w:sz="6" w:space="6"/>
        </w:pBdr>
        <w:spacing w:after="30"/>
      </w:pPr>
      <w:r>
        <w:rPr>
          <w:rFonts w:ascii="Calibri" w:cs="Calibri" w:eastAsia="Calibri" w:hAnsi="Calibri"/>
          <w:b/>
          <w:bCs/>
          <w:color w:val="2A2320"/>
          <w:sz w:val="30"/>
          <w:szCs w:val="30"/>
        </w:rPr>
        <w:t xml:space="preserve">Technical &amp; Analytical Brief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534D"/>
          <w:sz w:val="19"/>
          <w:szCs w:val="19"/>
        </w:rPr>
        <w:t xml:space="preserve">A self-contained dashboard that scores and ranks SMB software markets on three signals to surface where new technology has the most room to win. Free, keyless public data only — no paid APIs, no running cost.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B4531A"/>
          <w:sz w:val="22"/>
          <w:szCs w:val="22"/>
        </w:rPr>
        <w:t xml:space="preserve">Language &amp;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A2320"/>
          <w:sz w:val="19"/>
          <w:szCs w:val="19"/>
        </w:rPr>
        <w:t xml:space="preserve">Front end: </w:t>
      </w:r>
      <w:r>
        <w:rPr>
          <w:rFonts w:ascii="Calibri" w:cs="Calibri" w:eastAsia="Calibri" w:hAnsi="Calibri"/>
          <w:color w:val="2A2320"/>
          <w:sz w:val="19"/>
          <w:szCs w:val="19"/>
        </w:rPr>
        <w:t xml:space="preserve">single self-contained HTML file — vanilla JavaScript, no frameworks or build step, hand-drawn SVG chart, state saved in browser localStorage.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A2320"/>
          <w:sz w:val="19"/>
          <w:szCs w:val="19"/>
        </w:rPr>
        <w:t xml:space="preserve">Data pipeline: </w:t>
      </w:r>
      <w:r>
        <w:rPr>
          <w:rFonts w:ascii="Calibri" w:cs="Calibri" w:eastAsia="Calibri" w:hAnsi="Calibri"/>
          <w:color w:val="2A2320"/>
          <w:sz w:val="19"/>
          <w:szCs w:val="19"/>
        </w:rPr>
        <w:t xml:space="preserve">a Node.js script (ES modules, native fetch) pulls the live signals and emits JSON.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A2320"/>
          <w:sz w:val="19"/>
          <w:szCs w:val="19"/>
        </w:rPr>
        <w:t xml:space="preserve">Automation &amp; hosting: </w:t>
      </w:r>
      <w:r>
        <w:rPr>
          <w:rFonts w:ascii="Calibri" w:cs="Calibri" w:eastAsia="Calibri" w:hAnsi="Calibri"/>
          <w:color w:val="2A2320"/>
          <w:sz w:val="19"/>
          <w:szCs w:val="19"/>
        </w:rPr>
        <w:t xml:space="preserve">a GitHub Actions cron job refreshes the data daily; served free as a static site on GitHub Pages.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B4531A"/>
          <w:sz w:val="22"/>
          <w:szCs w:val="22"/>
        </w:rPr>
        <w:t xml:space="preserve">Datasets</w:t>
      </w:r>
    </w:p>
    <w:tbl>
      <w:tblPr>
        <w:tblW w:type="dxa" w:w="9000"/>
        <w:tblBorders>
          <w:top w:val="single" w:color="D8D0C7" w:sz="2"/>
          <w:left w:val="single" w:color="D8D0C7" w:sz="2"/>
          <w:bottom w:val="single" w:color="D8D0C7" w:sz="2"/>
          <w:right w:val="single" w:color="D8D0C7" w:sz="2"/>
          <w:insideH w:val="single" w:color="D8D0C7" w:sz="2"/>
          <w:insideV w:val="single" w:color="D8D0C7" w:sz="2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B4531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tcW w:type="dxa" w:w="2200"/>
            <w:shd w:fill="B4531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4400"/>
            <w:shd w:fill="B4531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Source(s)</w:t>
            </w:r>
          </w:p>
        </w:tc>
      </w:tr>
      <w:tr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Demand / supply gap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US</w:t>
            </w:r>
          </w:p>
        </w:tc>
        <w:tc>
          <w:tcPr>
            <w:tcW w:type="dxa" w:w="4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Hacker News (Algolia search) + Wikipedia pageviews (Wikimedia REST)</w:t>
            </w:r>
          </w:p>
        </w:tc>
      </w:tr>
      <w:tr>
        <w:tc>
          <w:tcPr>
            <w:tcW w:type="dxa" w:w="2400"/>
            <w:shd w:fill="F5F1E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Demand / supply gap</w:t>
            </w:r>
          </w:p>
        </w:tc>
        <w:tc>
          <w:tcPr>
            <w:tcW w:type="dxa" w:w="2200"/>
            <w:shd w:fill="F5F1E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UK</w:t>
            </w:r>
          </w:p>
        </w:tc>
        <w:tc>
          <w:tcPr>
            <w:tcW w:type="dxa" w:w="4400"/>
            <w:shd w:fill="F5F1E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Google News RSS, GB-scoped (media-coverage interest proxy)</w:t>
            </w:r>
          </w:p>
        </w:tc>
      </w:tr>
      <w:tr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Market size &amp; growth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US</w:t>
            </w:r>
          </w:p>
        </w:tc>
        <w:tc>
          <w:tcPr>
            <w:tcW w:type="dxa" w:w="4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BLS QCEW — establishment counts + YoY growth by NAICS industry</w:t>
            </w:r>
          </w:p>
        </w:tc>
      </w:tr>
      <w:tr>
        <w:tc>
          <w:tcPr>
            <w:tcW w:type="dxa" w:w="2400"/>
            <w:shd w:fill="F5F1E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Market size &amp; growth</w:t>
            </w:r>
          </w:p>
        </w:tc>
        <w:tc>
          <w:tcPr>
            <w:tcW w:type="dxa" w:w="2200"/>
            <w:shd w:fill="F5F1E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UK</w:t>
            </w:r>
          </w:p>
        </w:tc>
        <w:tc>
          <w:tcPr>
            <w:tcW w:type="dxa" w:w="4400"/>
            <w:shd w:fill="F5F1E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ONS “UK Business Counts” via the Nomis open API — local-unit counts + YoY growth by SIC-2007</w:t>
            </w:r>
          </w:p>
        </w:tc>
      </w:tr>
      <w:tr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Incumbent weakness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Both</w:t>
            </w:r>
          </w:p>
        </w:tc>
        <w:tc>
          <w:tcPr>
            <w:tcW w:type="dxa" w:w="4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A2320"/>
                <w:sz w:val="17"/>
                <w:szCs w:val="17"/>
              </w:rPr>
              <w:t xml:space="preserve">Manual score (no reliable free source for review sentiment)</w:t>
            </w:r>
          </w:p>
        </w:tc>
      </w:tr>
    </w:tbl>
    <w:p>
      <w:pPr>
        <w:spacing w:after="70" w:before="180"/>
      </w:pPr>
      <w:r>
        <w:rPr>
          <w:rFonts w:ascii="Calibri" w:cs="Calibri" w:eastAsia="Calibri" w:hAnsi="Calibri"/>
          <w:b/>
          <w:bCs/>
          <w:color w:val="B4531A"/>
          <w:sz w:val="22"/>
          <w:szCs w:val="22"/>
        </w:rPr>
        <w:t xml:space="preserve">Industries / sectors covered</w:t>
      </w:r>
    </w:p>
    <w:p>
      <w:pPr>
        <w:spacing w:after="60"/>
      </w:pPr>
      <w:r>
        <w:rPr>
          <w:rFonts w:ascii="Calibri" w:cs="Calibri" w:eastAsia="Calibri" w:hAnsi="Calibri"/>
          <w:color w:val="2A2320"/>
          <w:sz w:val="19"/>
          <w:szCs w:val="19"/>
        </w:rPr>
        <w:t xml:space="preserve">10 SMB verticals across two themes — Construction &amp; Real Estate and Local Services &amp; SMB: small-contractor job management, independent landlord / property management, subcontractor scheduling, building inspection &amp; surveying, trades CRM &amp; quoting, gym / studio ops, auto-repair shop management, salon / barber booking, independent restaurant back-office, and small professional services (accounting / legal). The model is extensible — adding a vertical is one row of search terms plus industry codes.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B4531A"/>
          <w:sz w:val="22"/>
          <w:szCs w:val="22"/>
        </w:rPr>
        <w:t xml:space="preserve">What determines whether a sector is “underserved”</w:t>
      </w:r>
    </w:p>
    <w:p>
      <w:pPr>
        <w:spacing w:after="60"/>
      </w:pPr>
      <w:r>
        <w:rPr>
          <w:rFonts w:ascii="Calibri" w:cs="Calibri" w:eastAsia="Calibri" w:hAnsi="Calibri"/>
          <w:color w:val="2A2320"/>
          <w:sz w:val="19"/>
          <w:szCs w:val="19"/>
        </w:rPr>
        <w:t xml:space="preserve">An Opportunity score — an adjustable weighted average of three sub-signals, each on a 1–10 scale: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A2320"/>
          <w:sz w:val="19"/>
          <w:szCs w:val="19"/>
        </w:rPr>
        <w:t xml:space="preserve">Demand / supply gap — </w:t>
      </w:r>
      <w:r>
        <w:rPr>
          <w:rFonts w:ascii="Calibri" w:cs="Calibri" w:eastAsia="Calibri" w:hAnsi="Calibri"/>
          <w:color w:val="2A2320"/>
          <w:sz w:val="19"/>
          <w:szCs w:val="19"/>
        </w:rPr>
        <w:t xml:space="preserve">strong interest but few good tools; measured live as discussion / coverage volume, log-normalised.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A2320"/>
          <w:sz w:val="19"/>
          <w:szCs w:val="19"/>
        </w:rPr>
        <w:t xml:space="preserve">Incumbent weakness — </w:t>
      </w:r>
      <w:r>
        <w:rPr>
          <w:rFonts w:ascii="Calibri" w:cs="Calibri" w:eastAsia="Calibri" w:hAnsi="Calibri"/>
          <w:color w:val="2A2320"/>
          <w:sz w:val="19"/>
          <w:szCs w:val="19"/>
        </w:rPr>
        <w:t xml:space="preserve">legacy players, poor reviews, dated tech; currently a manual expert score.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A2320"/>
          <w:sz w:val="19"/>
          <w:szCs w:val="19"/>
        </w:rPr>
        <w:t xml:space="preserve">Market size &amp; growth — </w:t>
      </w:r>
      <w:r>
        <w:rPr>
          <w:rFonts w:ascii="Calibri" w:cs="Calibri" w:eastAsia="Calibri" w:hAnsi="Calibri"/>
          <w:color w:val="2A2320"/>
          <w:sz w:val="19"/>
          <w:szCs w:val="19"/>
        </w:rPr>
        <w:t xml:space="preserve">establishment counts + growth rate from official statistics agencies (80% size / 20% growth).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B4531A"/>
          <w:sz w:val="22"/>
          <w:szCs w:val="22"/>
        </w:rPr>
        <w:t xml:space="preserve">Results &amp; honest limitations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320"/>
          <w:sz w:val="19"/>
          <w:szCs w:val="19"/>
        </w:rPr>
        <w:t xml:space="preserve">The live data discriminates meaningfully: high-demand, large, fragmented verticals (e.g. trades job management and subcontractor scheduling — ~244k UK local units — and independent landlord / property management) rise to the top, while smaller niches rank lower.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320"/>
          <w:sz w:val="19"/>
          <w:szCs w:val="19"/>
        </w:rPr>
        <w:t xml:space="preserve">It produces a ranked shortlist of hypotheses, not proven opportunities. Demand is a coverage / interest proxy, not measured unmet demand, and incumbent weakness is human judgement.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320"/>
          <w:sz w:val="19"/>
          <w:szCs w:val="19"/>
        </w:rPr>
        <w:t xml:space="preserve">Nothing has yet been validated against real-world outcomes. The tool's value is a consistent, defensible way to decide where to look first; validation is the next step.</w:t>
      </w:r>
    </w:p>
    <w:p>
      <w:pPr>
        <w:pBdr>
          <w:top w:val="single" w:color="D8D0C7" w:sz="4" w:space="6"/>
        </w:pBdr>
        <w:spacing w:before="200"/>
      </w:pPr>
      <w:r>
        <w:rPr>
          <w:rFonts w:ascii="Consolas" w:cs="Consolas" w:eastAsia="Consolas" w:hAnsi="Consolas"/>
          <w:color w:val="5B534D"/>
          <w:sz w:val="15"/>
          <w:szCs w:val="15"/>
        </w:rPr>
        <w:t xml:space="preserve">Live: alecsandford101.github.io/underserved-market-tracker  ·  US / UK region toggle  ·  data auto-refreshed daily</w:t>
      </w:r>
    </w:p>
    <w:sectPr>
      <w:pgSz w:w="11906" w:h="16838" w:orient="portrait"/>
      <w:pgMar w:top="72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2026-08-17T12:31:28.637Z</dcterms:created>
  <dcterms:modified xsi:type="dcterms:W3CDTF">2026-08-17T12:31:28.639Z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