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A8DB" w14:textId="77777777" w:rsidR="008C4F15" w:rsidRDefault="00F329DB" w:rsidP="00B466A7">
      <w:pPr>
        <w:spacing w:line="360" w:lineRule="auto"/>
        <w:jc w:val="center"/>
        <w:rPr>
          <w:rFonts w:cs="Times New Roman"/>
          <w:b/>
          <w:bCs/>
          <w:sz w:val="22"/>
          <w:szCs w:val="22"/>
        </w:rPr>
      </w:pPr>
      <w:r w:rsidRPr="00F329DB">
        <w:rPr>
          <w:rFonts w:cs="Times New Roman"/>
          <w:b/>
          <w:bCs/>
          <w:sz w:val="22"/>
          <w:szCs w:val="22"/>
        </w:rPr>
        <w:t>Phase Level Assessment of Ergonomic Intervention Effectiveness in Reducing Knee Musculoskeletal Disorder Risks during Residential Roof Shingle Installation</w:t>
      </w:r>
    </w:p>
    <w:p w14:paraId="2558B910" w14:textId="2D71AC24" w:rsidR="00AF1AE3" w:rsidRDefault="003659F4" w:rsidP="00B466A7">
      <w:pPr>
        <w:spacing w:line="360" w:lineRule="auto"/>
        <w:jc w:val="center"/>
        <w:rPr>
          <w:rFonts w:cs="Times New Roman"/>
          <w:b/>
          <w:bCs/>
          <w:sz w:val="22"/>
          <w:szCs w:val="22"/>
        </w:rPr>
      </w:pPr>
      <w:r w:rsidRPr="00F96067">
        <w:rPr>
          <w:rFonts w:cs="Times New Roman"/>
          <w:b/>
          <w:bCs/>
          <w:sz w:val="22"/>
          <w:szCs w:val="22"/>
        </w:rPr>
        <w:t>*** Dataset ***</w:t>
      </w:r>
    </w:p>
    <w:p w14:paraId="56BCDB39" w14:textId="180FF7B2" w:rsidR="00E84442" w:rsidRPr="00E84442" w:rsidRDefault="00E84442" w:rsidP="00B466A7">
      <w:pPr>
        <w:spacing w:line="360" w:lineRule="auto"/>
        <w:jc w:val="center"/>
        <w:rPr>
          <w:rFonts w:cs="Times New Roman"/>
          <w:sz w:val="22"/>
          <w:szCs w:val="22"/>
        </w:rPr>
      </w:pPr>
      <w:r>
        <w:rPr>
          <w:rFonts w:cs="Times New Roman"/>
          <w:sz w:val="22"/>
          <w:szCs w:val="22"/>
        </w:rPr>
        <w:t>Dataset Number – RD-1108-2025-0</w:t>
      </w:r>
    </w:p>
    <w:p w14:paraId="474BC21B" w14:textId="77777777" w:rsidR="003659F4" w:rsidRPr="00F96067" w:rsidRDefault="003659F4" w:rsidP="00B466A7">
      <w:pPr>
        <w:spacing w:line="360" w:lineRule="auto"/>
        <w:jc w:val="center"/>
        <w:rPr>
          <w:rFonts w:cs="Times New Roman"/>
          <w:b/>
          <w:bCs/>
          <w:sz w:val="22"/>
          <w:szCs w:val="22"/>
        </w:rPr>
      </w:pPr>
    </w:p>
    <w:p w14:paraId="15065B1E" w14:textId="200CB437" w:rsidR="00AF1AE3" w:rsidRPr="00F96067" w:rsidRDefault="00B11D33" w:rsidP="00B466A7">
      <w:pPr>
        <w:spacing w:after="160" w:line="360" w:lineRule="auto"/>
        <w:jc w:val="both"/>
        <w:rPr>
          <w:rFonts w:eastAsia="Calibri" w:cs="Times New Roman"/>
          <w:sz w:val="22"/>
          <w:szCs w:val="22"/>
        </w:rPr>
      </w:pPr>
      <w:r w:rsidRPr="00F96067">
        <w:rPr>
          <w:rFonts w:eastAsia="Calibri" w:cs="Times New Roman"/>
          <w:b/>
          <w:bCs/>
          <w:sz w:val="22"/>
          <w:szCs w:val="22"/>
        </w:rPr>
        <w:t>Introductory Information</w:t>
      </w:r>
    </w:p>
    <w:p w14:paraId="077D53D7" w14:textId="450373DC" w:rsidR="009F1D77" w:rsidRPr="00F96067" w:rsidRDefault="009F1D77" w:rsidP="00B466A7">
      <w:pPr>
        <w:spacing w:after="160" w:line="360" w:lineRule="auto"/>
        <w:jc w:val="both"/>
        <w:rPr>
          <w:rFonts w:eastAsia="Calibri" w:cs="Times New Roman"/>
          <w:sz w:val="22"/>
          <w:szCs w:val="22"/>
        </w:rPr>
      </w:pPr>
      <w:r w:rsidRPr="00F96067">
        <w:rPr>
          <w:rFonts w:eastAsia="Calibri" w:cs="Times New Roman"/>
          <w:sz w:val="22"/>
          <w:szCs w:val="22"/>
        </w:rPr>
        <w:t xml:space="preserve">The prevalence of knee musculoskeletal disorders (MSDs) among roofers due to ergonomically unfavorable kneeling postures during shingle installation is a well-recognized concern. While knee-saving interventions like knee savers (KSs) and knee pads (KPs) have shown potential to reduce MSD risks, their effectiveness across different phases of shingle installation remains unknown. The objective of this study is to assess how interventions of KSs and KPs alleviate risks of MSDs in the knees during various phases of shingle installation. </w:t>
      </w:r>
      <w:r w:rsidR="00E24A9D" w:rsidRPr="00F96067">
        <w:rPr>
          <w:rFonts w:eastAsia="Calibri" w:cs="Times New Roman"/>
          <w:sz w:val="22"/>
          <w:szCs w:val="22"/>
        </w:rPr>
        <w:t>These phases encompass (1) reaching for shingles, (2) placing shingles, (3) grabbing a nail gun, (4) moving to the first nailing position, (5) nailing shingles, (6) replacing the nail gun, and (7) returning to an upright position. To collect data, nine male participants simulated the shingle installation task on a slope-adjustable roof platform (0°, 15°, and 30° slopes) under four intervention conditions: no intervention (NO), with KPs only (KP), with KSs only (KS), and with both KPs and KSs (BO) in a laboratory setting.</w:t>
      </w:r>
      <w:r w:rsidR="00E24A9D" w:rsidRPr="00F96067" w:rsidDel="000D3897">
        <w:rPr>
          <w:rFonts w:eastAsia="Calibri" w:cs="Times New Roman"/>
          <w:sz w:val="22"/>
          <w:szCs w:val="22"/>
        </w:rPr>
        <w:t xml:space="preserve"> </w:t>
      </w:r>
      <w:r w:rsidR="00E24A9D" w:rsidRPr="00F96067">
        <w:rPr>
          <w:rFonts w:eastAsia="Calibri" w:cs="Times New Roman"/>
          <w:sz w:val="22"/>
          <w:szCs w:val="22"/>
        </w:rPr>
        <w:t xml:space="preserve">Knee parameters including maximum flexion, abduction, adduction, and internal/external rotations were measured </w:t>
      </w:r>
      <w:r w:rsidR="00215664" w:rsidRPr="00F96067">
        <w:rPr>
          <w:rFonts w:eastAsia="Calibri" w:cs="Times New Roman"/>
          <w:sz w:val="22"/>
          <w:szCs w:val="22"/>
        </w:rPr>
        <w:t xml:space="preserve">at </w:t>
      </w:r>
      <w:r w:rsidR="000855E9" w:rsidRPr="00F96067">
        <w:rPr>
          <w:rFonts w:eastAsia="Calibri" w:cs="Times New Roman"/>
          <w:sz w:val="22"/>
          <w:szCs w:val="22"/>
        </w:rPr>
        <w:t>all</w:t>
      </w:r>
      <w:r w:rsidR="00215664" w:rsidRPr="00F96067">
        <w:rPr>
          <w:rFonts w:eastAsia="Calibri" w:cs="Times New Roman"/>
          <w:sz w:val="22"/>
          <w:szCs w:val="22"/>
        </w:rPr>
        <w:t xml:space="preserve"> phase</w:t>
      </w:r>
      <w:r w:rsidR="000855E9" w:rsidRPr="00F96067">
        <w:rPr>
          <w:rFonts w:eastAsia="Calibri" w:cs="Times New Roman"/>
          <w:sz w:val="22"/>
          <w:szCs w:val="22"/>
        </w:rPr>
        <w:t>s</w:t>
      </w:r>
      <w:r w:rsidR="00215664" w:rsidRPr="00F96067">
        <w:rPr>
          <w:rFonts w:eastAsia="Calibri" w:cs="Times New Roman"/>
          <w:sz w:val="22"/>
          <w:szCs w:val="22"/>
        </w:rPr>
        <w:t xml:space="preserve"> </w:t>
      </w:r>
      <w:r w:rsidR="00E24A9D" w:rsidRPr="00F96067">
        <w:rPr>
          <w:rFonts w:eastAsia="Calibri" w:cs="Times New Roman"/>
          <w:sz w:val="22"/>
          <w:szCs w:val="22"/>
        </w:rPr>
        <w:t>to assess intervention impact</w:t>
      </w:r>
      <w:r w:rsidR="003D59C6" w:rsidRPr="00F96067">
        <w:rPr>
          <w:rFonts w:eastAsia="Calibri" w:cs="Times New Roman"/>
          <w:sz w:val="22"/>
          <w:szCs w:val="22"/>
        </w:rPr>
        <w:t>s</w:t>
      </w:r>
      <w:r w:rsidR="00E24A9D" w:rsidRPr="00F96067">
        <w:rPr>
          <w:rFonts w:eastAsia="Calibri" w:cs="Times New Roman"/>
          <w:sz w:val="22"/>
          <w:szCs w:val="22"/>
        </w:rPr>
        <w:t xml:space="preserve"> through statistical analysis.</w:t>
      </w:r>
    </w:p>
    <w:p w14:paraId="39AC36EB" w14:textId="6AC712A4" w:rsidR="00E77B7A" w:rsidRPr="00F96067" w:rsidRDefault="009F1D77" w:rsidP="00B466A7">
      <w:pPr>
        <w:spacing w:after="160" w:line="360" w:lineRule="auto"/>
        <w:jc w:val="both"/>
        <w:rPr>
          <w:rFonts w:eastAsia="Calibri" w:cs="Times New Roman"/>
          <w:sz w:val="22"/>
          <w:szCs w:val="22"/>
        </w:rPr>
      </w:pPr>
      <w:r w:rsidRPr="00F96067">
        <w:rPr>
          <w:rFonts w:eastAsia="Calibri" w:cs="Times New Roman"/>
          <w:b/>
          <w:bCs/>
          <w:sz w:val="22"/>
          <w:szCs w:val="22"/>
        </w:rPr>
        <w:t>Methods</w:t>
      </w:r>
      <w:r w:rsidR="00107EBC" w:rsidRPr="00F96067">
        <w:rPr>
          <w:rFonts w:eastAsia="Calibri" w:cs="Times New Roman"/>
          <w:b/>
          <w:bCs/>
          <w:sz w:val="22"/>
          <w:szCs w:val="22"/>
        </w:rPr>
        <w:t xml:space="preserve"> Collection</w:t>
      </w:r>
    </w:p>
    <w:p w14:paraId="5E8C1CE2" w14:textId="68C690E5" w:rsidR="00182C4F" w:rsidRPr="00F96067" w:rsidRDefault="00A23821" w:rsidP="00B466A7">
      <w:pPr>
        <w:pStyle w:val="ListParagraph"/>
        <w:numPr>
          <w:ilvl w:val="0"/>
          <w:numId w:val="3"/>
        </w:numPr>
        <w:spacing w:line="360" w:lineRule="auto"/>
        <w:jc w:val="both"/>
        <w:rPr>
          <w:rFonts w:cs="Times New Roman"/>
          <w:sz w:val="22"/>
          <w:szCs w:val="22"/>
        </w:rPr>
      </w:pPr>
      <w:r w:rsidRPr="00F96067">
        <w:rPr>
          <w:rFonts w:eastAsia="Calibri" w:cs="Times New Roman"/>
          <w:sz w:val="22"/>
          <w:szCs w:val="22"/>
        </w:rPr>
        <w:t>Overview</w:t>
      </w:r>
      <w:r w:rsidR="00182C4F" w:rsidRPr="00F96067">
        <w:rPr>
          <w:rFonts w:cs="Times New Roman"/>
          <w:sz w:val="22"/>
          <w:szCs w:val="22"/>
        </w:rPr>
        <w:t>:</w:t>
      </w:r>
    </w:p>
    <w:p w14:paraId="403CE1FE" w14:textId="30AC183C"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 xml:space="preserve">Knee joint rotation data (kinematics) were collected </w:t>
      </w:r>
      <w:r w:rsidR="007B065E" w:rsidRPr="00F96067">
        <w:rPr>
          <w:rFonts w:cs="Times New Roman"/>
          <w:sz w:val="22"/>
          <w:szCs w:val="22"/>
        </w:rPr>
        <w:t>by</w:t>
      </w:r>
      <w:r w:rsidRPr="00F96067">
        <w:rPr>
          <w:rFonts w:cs="Times New Roman"/>
          <w:sz w:val="22"/>
          <w:szCs w:val="22"/>
        </w:rPr>
        <w:t xml:space="preserve"> </w:t>
      </w:r>
      <w:r w:rsidR="007B065E" w:rsidRPr="00F96067">
        <w:rPr>
          <w:rFonts w:cs="Times New Roman"/>
          <w:sz w:val="22"/>
          <w:szCs w:val="22"/>
        </w:rPr>
        <w:t xml:space="preserve">conducting </w:t>
      </w:r>
      <w:r w:rsidRPr="00F96067">
        <w:rPr>
          <w:rFonts w:cs="Times New Roman"/>
          <w:sz w:val="22"/>
          <w:szCs w:val="22"/>
        </w:rPr>
        <w:t>experiment</w:t>
      </w:r>
      <w:r w:rsidR="007B065E" w:rsidRPr="00F96067">
        <w:rPr>
          <w:rFonts w:cs="Times New Roman"/>
          <w:sz w:val="22"/>
          <w:szCs w:val="22"/>
        </w:rPr>
        <w:t>s</w:t>
      </w:r>
      <w:r w:rsidRPr="00F96067">
        <w:rPr>
          <w:rFonts w:cs="Times New Roman"/>
          <w:sz w:val="22"/>
          <w:szCs w:val="22"/>
        </w:rPr>
        <w:t xml:space="preserve"> involving human subjects.</w:t>
      </w:r>
    </w:p>
    <w:p w14:paraId="7AB6A995" w14:textId="77777777"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 xml:space="preserve">The research protocol was approved by the Institutional Review Boards (IRB) of the National Institute for Occupational Safety and Health (NIOSH). </w:t>
      </w:r>
    </w:p>
    <w:p w14:paraId="4C94B0F0" w14:textId="77777777" w:rsidR="00182C4F" w:rsidRPr="00F96067" w:rsidRDefault="00182C4F" w:rsidP="00B466A7">
      <w:pPr>
        <w:pStyle w:val="ListParagraph"/>
        <w:numPr>
          <w:ilvl w:val="0"/>
          <w:numId w:val="3"/>
        </w:numPr>
        <w:spacing w:line="360" w:lineRule="auto"/>
        <w:jc w:val="both"/>
        <w:rPr>
          <w:rFonts w:cs="Times New Roman"/>
          <w:sz w:val="22"/>
          <w:szCs w:val="22"/>
        </w:rPr>
      </w:pPr>
      <w:r w:rsidRPr="00F96067">
        <w:rPr>
          <w:rFonts w:cs="Times New Roman"/>
          <w:sz w:val="22"/>
          <w:szCs w:val="22"/>
        </w:rPr>
        <w:t>Instruments:</w:t>
      </w:r>
    </w:p>
    <w:p w14:paraId="7F54D21B" w14:textId="77777777" w:rsidR="00182C4F" w:rsidRPr="00F96067" w:rsidRDefault="00182C4F" w:rsidP="00B466A7">
      <w:pPr>
        <w:pStyle w:val="ListParagraph"/>
        <w:numPr>
          <w:ilvl w:val="0"/>
          <w:numId w:val="3"/>
        </w:numPr>
        <w:tabs>
          <w:tab w:val="left" w:pos="1080"/>
        </w:tabs>
        <w:spacing w:line="360" w:lineRule="auto"/>
        <w:ind w:left="1080"/>
        <w:jc w:val="both"/>
        <w:rPr>
          <w:rFonts w:cs="Times New Roman"/>
          <w:sz w:val="22"/>
          <w:szCs w:val="22"/>
        </w:rPr>
      </w:pPr>
      <w:r w:rsidRPr="00F96067">
        <w:rPr>
          <w:rFonts w:cs="Times New Roman"/>
          <w:sz w:val="22"/>
          <w:szCs w:val="22"/>
        </w:rPr>
        <w:t>The knee kinematic data (segment endpoint data from motion capture system) were collected using a VICON optical motion capture system with 14 MX Vicon cameras.</w:t>
      </w:r>
    </w:p>
    <w:p w14:paraId="740D5DBA" w14:textId="77777777"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42 retroreflective motion capture markers were placed bilaterally on the participant’s hip joints, thighs, knee joints, shanks, ankles, toes, heels, and feet.</w:t>
      </w:r>
    </w:p>
    <w:p w14:paraId="6664A6C8" w14:textId="7B43A27B"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lastRenderedPageBreak/>
        <w:t xml:space="preserve">A 1.2 ×1.6 m custom-made adjustable wood platform was used to mimic the residential roof surface for shingle installation. </w:t>
      </w:r>
      <w:r w:rsidR="00FF7278" w:rsidRPr="00F96067">
        <w:rPr>
          <w:rFonts w:cs="Times New Roman"/>
          <w:sz w:val="22"/>
          <w:szCs w:val="22"/>
        </w:rPr>
        <w:t>T</w:t>
      </w:r>
      <w:r w:rsidRPr="00F96067">
        <w:rPr>
          <w:rFonts w:cs="Times New Roman"/>
          <w:sz w:val="22"/>
          <w:szCs w:val="22"/>
        </w:rPr>
        <w:t xml:space="preserve">he </w:t>
      </w:r>
      <w:r w:rsidR="0045249F" w:rsidRPr="00F96067">
        <w:rPr>
          <w:rFonts w:cs="Times New Roman"/>
          <w:sz w:val="22"/>
          <w:szCs w:val="22"/>
        </w:rPr>
        <w:t xml:space="preserve">slope of the </w:t>
      </w:r>
      <w:r w:rsidRPr="00F96067">
        <w:rPr>
          <w:rFonts w:cs="Times New Roman"/>
          <w:sz w:val="22"/>
          <w:szCs w:val="22"/>
        </w:rPr>
        <w:t xml:space="preserve">roof platform </w:t>
      </w:r>
      <w:r w:rsidR="0045249F" w:rsidRPr="00F96067">
        <w:rPr>
          <w:rFonts w:cs="Times New Roman"/>
          <w:sz w:val="22"/>
          <w:szCs w:val="22"/>
        </w:rPr>
        <w:t>can</w:t>
      </w:r>
      <w:r w:rsidRPr="00F96067">
        <w:rPr>
          <w:rFonts w:cs="Times New Roman"/>
          <w:sz w:val="22"/>
          <w:szCs w:val="22"/>
        </w:rPr>
        <w:t xml:space="preserve"> be adjusted from 0º to 30°.</w:t>
      </w:r>
    </w:p>
    <w:p w14:paraId="3E5F3A32" w14:textId="77777777"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 xml:space="preserve">A pair of generic off-the-shelf knee pads and a pair of knee savers were used as interventions during the test to assess their impacts. </w:t>
      </w:r>
    </w:p>
    <w:p w14:paraId="66486D73" w14:textId="77777777"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A pneumatic nail gun weighing 2.5 kg was used by the participants to simulate the roof shingle installation in the experiments.</w:t>
      </w:r>
    </w:p>
    <w:p w14:paraId="039BB417" w14:textId="77777777"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 xml:space="preserve">Shingles with a dimension of 0.91×0.30 (m) and a weight of 1.1 kg per piece were used in the experiments. </w:t>
      </w:r>
    </w:p>
    <w:p w14:paraId="07588BA2" w14:textId="220096B4" w:rsidR="00182C4F" w:rsidRPr="00F96067" w:rsidRDefault="00182C4F" w:rsidP="00B466A7">
      <w:pPr>
        <w:spacing w:line="360" w:lineRule="auto"/>
        <w:jc w:val="both"/>
        <w:rPr>
          <w:rFonts w:cs="Times New Roman"/>
          <w:sz w:val="22"/>
          <w:szCs w:val="22"/>
        </w:rPr>
      </w:pPr>
      <w:r w:rsidRPr="00F96067">
        <w:rPr>
          <w:rFonts w:cs="Times New Roman"/>
          <w:sz w:val="22"/>
          <w:szCs w:val="22"/>
        </w:rPr>
        <w:t>-</w:t>
      </w:r>
      <w:r w:rsidRPr="00F96067">
        <w:rPr>
          <w:rFonts w:cs="Times New Roman"/>
          <w:sz w:val="22"/>
          <w:szCs w:val="22"/>
        </w:rPr>
        <w:tab/>
      </w:r>
      <w:r w:rsidR="003D3E86" w:rsidRPr="00F96067">
        <w:rPr>
          <w:rFonts w:cs="Times New Roman"/>
          <w:sz w:val="22"/>
          <w:szCs w:val="22"/>
        </w:rPr>
        <w:t>P</w:t>
      </w:r>
      <w:r w:rsidRPr="00F96067">
        <w:rPr>
          <w:rFonts w:cs="Times New Roman"/>
          <w:sz w:val="22"/>
          <w:szCs w:val="22"/>
        </w:rPr>
        <w:t>rocedure:</w:t>
      </w:r>
    </w:p>
    <w:p w14:paraId="6AF17EF2" w14:textId="77777777"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The experiment was conducted in the biomechanics laboratory at the National Institute for Occupational Safety and Health (NIOSH).</w:t>
      </w:r>
    </w:p>
    <w:p w14:paraId="0C4CD9B5" w14:textId="0ADB0E51"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Participants</w:t>
      </w:r>
      <w:r w:rsidR="009D0F1D" w:rsidRPr="00F96067">
        <w:rPr>
          <w:rFonts w:cs="Times New Roman"/>
          <w:sz w:val="22"/>
          <w:szCs w:val="22"/>
        </w:rPr>
        <w:t xml:space="preserve"> were requested to </w:t>
      </w:r>
      <w:r w:rsidR="0078369F" w:rsidRPr="00F96067">
        <w:rPr>
          <w:rFonts w:cs="Times New Roman"/>
          <w:sz w:val="22"/>
          <w:szCs w:val="22"/>
        </w:rPr>
        <w:t>perform simulated s</w:t>
      </w:r>
      <w:r w:rsidR="0097738D" w:rsidRPr="00F96067">
        <w:rPr>
          <w:rFonts w:cs="Times New Roman"/>
          <w:sz w:val="22"/>
          <w:szCs w:val="22"/>
        </w:rPr>
        <w:t>hingle installation tasks on the roof simulator.</w:t>
      </w:r>
    </w:p>
    <w:p w14:paraId="7B489951" w14:textId="5530415F"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 xml:space="preserve">Each participant completed the simulated shingle installation task on the roof simulator at three different slope angles—0°, 15°, and 30° under four different intervention conditions—no wearable assist device (NO), knee pads only (KP), knee savers only (KS), and both knee pads and knee savers (BO), leading to 12 combinations. For each combination, five trials were recorded. </w:t>
      </w:r>
    </w:p>
    <w:p w14:paraId="2B2EAAD8" w14:textId="5E90BB5F" w:rsidR="00182C4F" w:rsidRPr="00F96067" w:rsidRDefault="00182C4F" w:rsidP="00B466A7">
      <w:pPr>
        <w:pStyle w:val="ListParagraph"/>
        <w:numPr>
          <w:ilvl w:val="0"/>
          <w:numId w:val="3"/>
        </w:numPr>
        <w:spacing w:line="360" w:lineRule="auto"/>
        <w:jc w:val="both"/>
        <w:rPr>
          <w:rFonts w:cs="Times New Roman"/>
          <w:sz w:val="22"/>
          <w:szCs w:val="22"/>
        </w:rPr>
      </w:pPr>
      <w:r w:rsidRPr="00F96067">
        <w:rPr>
          <w:rFonts w:cs="Times New Roman"/>
          <w:sz w:val="22"/>
          <w:szCs w:val="22"/>
        </w:rPr>
        <w:t>Data</w:t>
      </w:r>
      <w:r w:rsidR="005A4775" w:rsidRPr="00F96067">
        <w:rPr>
          <w:rFonts w:cs="Times New Roman"/>
          <w:sz w:val="22"/>
          <w:szCs w:val="22"/>
        </w:rPr>
        <w:t xml:space="preserve"> Processing</w:t>
      </w:r>
      <w:r w:rsidRPr="00F96067">
        <w:rPr>
          <w:rFonts w:cs="Times New Roman"/>
          <w:sz w:val="22"/>
          <w:szCs w:val="22"/>
        </w:rPr>
        <w:t>:</w:t>
      </w:r>
    </w:p>
    <w:p w14:paraId="24475981" w14:textId="31291E71" w:rsidR="005D27CE"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 xml:space="preserve">By using the coordinates of the recorded markers, five knee rotations were obtained. </w:t>
      </w:r>
    </w:p>
    <w:p w14:paraId="385CE208" w14:textId="54A04A18" w:rsidR="00182C4F" w:rsidRPr="00F96067" w:rsidRDefault="00182C4F" w:rsidP="00B466A7">
      <w:pPr>
        <w:pStyle w:val="ListParagraph"/>
        <w:numPr>
          <w:ilvl w:val="0"/>
          <w:numId w:val="3"/>
        </w:numPr>
        <w:spacing w:line="360" w:lineRule="auto"/>
        <w:ind w:left="1080"/>
        <w:jc w:val="both"/>
        <w:rPr>
          <w:rFonts w:cs="Times New Roman"/>
          <w:sz w:val="22"/>
          <w:szCs w:val="22"/>
        </w:rPr>
      </w:pPr>
      <w:r w:rsidRPr="00F96067">
        <w:rPr>
          <w:rFonts w:cs="Times New Roman"/>
          <w:sz w:val="22"/>
          <w:szCs w:val="22"/>
        </w:rPr>
        <w:t>From these data points</w:t>
      </w:r>
      <w:r w:rsidR="00620510" w:rsidRPr="00F96067">
        <w:rPr>
          <w:rFonts w:cs="Times New Roman"/>
          <w:sz w:val="22"/>
          <w:szCs w:val="22"/>
        </w:rPr>
        <w:t>,</w:t>
      </w:r>
      <w:r w:rsidRPr="00F96067">
        <w:rPr>
          <w:rFonts w:cs="Times New Roman"/>
          <w:sz w:val="22"/>
          <w:szCs w:val="22"/>
        </w:rPr>
        <w:t xml:space="preserve"> the maximum of five knee rotations (flexion, abduction, adduction, internal rotation, and external rotation) for each phase were computed for both left and right knees on each roof slope under each intervention condition.</w:t>
      </w:r>
    </w:p>
    <w:p w14:paraId="6E062503" w14:textId="1181909F" w:rsidR="009F1D77" w:rsidRPr="00F96067" w:rsidRDefault="00182C4F" w:rsidP="00B466A7">
      <w:pPr>
        <w:pStyle w:val="ListParagraph"/>
        <w:numPr>
          <w:ilvl w:val="0"/>
          <w:numId w:val="3"/>
        </w:numPr>
        <w:spacing w:line="360" w:lineRule="auto"/>
        <w:ind w:left="1080"/>
        <w:jc w:val="both"/>
        <w:rPr>
          <w:rFonts w:eastAsia="Calibri" w:cs="Times New Roman"/>
          <w:sz w:val="22"/>
          <w:szCs w:val="22"/>
        </w:rPr>
      </w:pPr>
      <w:r w:rsidRPr="00F96067">
        <w:rPr>
          <w:rFonts w:cs="Times New Roman"/>
          <w:sz w:val="22"/>
          <w:szCs w:val="22"/>
        </w:rPr>
        <w:t>The calculated five maximum knee joint rotation angles, the roof slope</w:t>
      </w:r>
      <w:r w:rsidR="009D0F1D" w:rsidRPr="00F96067">
        <w:rPr>
          <w:rFonts w:cs="Times New Roman"/>
          <w:sz w:val="22"/>
          <w:szCs w:val="22"/>
        </w:rPr>
        <w:t>,</w:t>
      </w:r>
      <w:r w:rsidRPr="00F96067">
        <w:rPr>
          <w:rFonts w:cs="Times New Roman"/>
          <w:sz w:val="22"/>
          <w:szCs w:val="22"/>
        </w:rPr>
        <w:t xml:space="preserve"> and the intervention conditions were used for phase</w:t>
      </w:r>
      <w:r w:rsidR="00ED1BF6" w:rsidRPr="00F96067">
        <w:rPr>
          <w:rFonts w:cs="Times New Roman"/>
          <w:sz w:val="22"/>
          <w:szCs w:val="22"/>
        </w:rPr>
        <w:t>-</w:t>
      </w:r>
      <w:r w:rsidRPr="00F96067">
        <w:rPr>
          <w:rFonts w:cs="Times New Roman"/>
          <w:sz w:val="22"/>
          <w:szCs w:val="22"/>
        </w:rPr>
        <w:t>level assessment.</w:t>
      </w:r>
    </w:p>
    <w:p w14:paraId="4A253DD8" w14:textId="65D78F8C" w:rsidR="008B4456" w:rsidRPr="00F96067" w:rsidRDefault="0010019F" w:rsidP="00B466A7">
      <w:pPr>
        <w:spacing w:line="360" w:lineRule="auto"/>
        <w:rPr>
          <w:b/>
          <w:bCs/>
          <w:sz w:val="22"/>
          <w:szCs w:val="22"/>
        </w:rPr>
      </w:pPr>
      <w:r w:rsidRPr="00F96067">
        <w:rPr>
          <w:b/>
          <w:bCs/>
          <w:sz w:val="22"/>
          <w:szCs w:val="22"/>
        </w:rPr>
        <w:t>Citation</w:t>
      </w:r>
      <w:r w:rsidR="00E77B7A" w:rsidRPr="00F96067">
        <w:rPr>
          <w:b/>
          <w:bCs/>
          <w:sz w:val="22"/>
          <w:szCs w:val="22"/>
        </w:rPr>
        <w:t>s</w:t>
      </w:r>
    </w:p>
    <w:p w14:paraId="7F12A297" w14:textId="3C17A928" w:rsidR="00CE6F4E" w:rsidRPr="00F96067" w:rsidRDefault="00CE6F4E" w:rsidP="00B466A7">
      <w:pPr>
        <w:pStyle w:val="ListParagraph"/>
        <w:numPr>
          <w:ilvl w:val="0"/>
          <w:numId w:val="2"/>
        </w:numPr>
        <w:spacing w:line="360" w:lineRule="auto"/>
        <w:jc w:val="both"/>
        <w:rPr>
          <w:rFonts w:cs="Times New Roman"/>
          <w:sz w:val="22"/>
          <w:szCs w:val="22"/>
        </w:rPr>
      </w:pPr>
      <w:r w:rsidRPr="00F96067">
        <w:rPr>
          <w:rFonts w:cs="Times New Roman"/>
          <w:sz w:val="22"/>
          <w:szCs w:val="22"/>
        </w:rPr>
        <w:t xml:space="preserve">S.P. Breloff, A. Dutta, F. Dai, E.W. Sinsel, C.M. Warren, X. Ning, J.Z. Wu, Assessing work-related risk factors for musculoskeletal knee disorders in construction roofing tasks, </w:t>
      </w:r>
      <w:r w:rsidR="00EB1186" w:rsidRPr="00F96067">
        <w:rPr>
          <w:rFonts w:cs="Times New Roman"/>
          <w:sz w:val="22"/>
          <w:szCs w:val="22"/>
        </w:rPr>
        <w:t xml:space="preserve">Applied Ergonomics </w:t>
      </w:r>
      <w:r w:rsidRPr="00F96067">
        <w:rPr>
          <w:rFonts w:cs="Times New Roman"/>
          <w:sz w:val="22"/>
          <w:szCs w:val="22"/>
        </w:rPr>
        <w:t xml:space="preserve">81 (2019). </w:t>
      </w:r>
      <w:hyperlink r:id="rId7" w:history="1">
        <w:r w:rsidRPr="00F96067">
          <w:rPr>
            <w:rStyle w:val="Hyperlink"/>
            <w:rFonts w:cs="Times New Roman"/>
            <w:sz w:val="22"/>
            <w:szCs w:val="22"/>
          </w:rPr>
          <w:t>https://doi.org/10.1016/j.apergo.2019.102901</w:t>
        </w:r>
      </w:hyperlink>
      <w:r w:rsidRPr="00F96067">
        <w:rPr>
          <w:rFonts w:cs="Times New Roman"/>
          <w:sz w:val="22"/>
          <w:szCs w:val="22"/>
        </w:rPr>
        <w:t>.</w:t>
      </w:r>
    </w:p>
    <w:p w14:paraId="08F47A76" w14:textId="3CD6FB8D" w:rsidR="00CE6F4E" w:rsidRPr="00F96067" w:rsidRDefault="00CE6F4E" w:rsidP="00B466A7">
      <w:pPr>
        <w:pStyle w:val="ListParagraph"/>
        <w:numPr>
          <w:ilvl w:val="0"/>
          <w:numId w:val="2"/>
        </w:numPr>
        <w:spacing w:line="360" w:lineRule="auto"/>
        <w:jc w:val="both"/>
        <w:rPr>
          <w:rFonts w:cs="Times New Roman"/>
          <w:sz w:val="22"/>
          <w:szCs w:val="22"/>
        </w:rPr>
      </w:pPr>
      <w:r w:rsidRPr="00F96067">
        <w:rPr>
          <w:rFonts w:cs="Times New Roman"/>
          <w:sz w:val="22"/>
          <w:szCs w:val="22"/>
        </w:rPr>
        <w:t xml:space="preserve">S.P. Breloff, E. W. Sinsel, A. Dutta, R. E. Carey, C. M. Warren, F. Dai, S. Ning, and J. Z. Wu, Are knee savers and knee pads a viable intervention to reduce lower extremity musculoskeletal </w:t>
      </w:r>
      <w:r w:rsidRPr="00F96067">
        <w:rPr>
          <w:rFonts w:cs="Times New Roman"/>
          <w:sz w:val="22"/>
          <w:szCs w:val="22"/>
        </w:rPr>
        <w:lastRenderedPageBreak/>
        <w:t xml:space="preserve">disorder risk in residential roofers? International </w:t>
      </w:r>
      <w:r w:rsidR="00620510" w:rsidRPr="00F96067">
        <w:rPr>
          <w:rFonts w:cs="Times New Roman"/>
          <w:sz w:val="22"/>
          <w:szCs w:val="22"/>
        </w:rPr>
        <w:t>J</w:t>
      </w:r>
      <w:r w:rsidRPr="00F96067">
        <w:rPr>
          <w:rFonts w:cs="Times New Roman"/>
          <w:sz w:val="22"/>
          <w:szCs w:val="22"/>
        </w:rPr>
        <w:t xml:space="preserve">ournal of </w:t>
      </w:r>
      <w:r w:rsidR="00620510" w:rsidRPr="00F96067">
        <w:rPr>
          <w:rFonts w:cs="Times New Roman"/>
          <w:sz w:val="22"/>
          <w:szCs w:val="22"/>
        </w:rPr>
        <w:t>I</w:t>
      </w:r>
      <w:r w:rsidRPr="00F96067">
        <w:rPr>
          <w:rFonts w:cs="Times New Roman"/>
          <w:sz w:val="22"/>
          <w:szCs w:val="22"/>
        </w:rPr>
        <w:t xml:space="preserve">ndustrial </w:t>
      </w:r>
      <w:r w:rsidR="00620510" w:rsidRPr="00F96067">
        <w:rPr>
          <w:rFonts w:cs="Times New Roman"/>
          <w:sz w:val="22"/>
          <w:szCs w:val="22"/>
        </w:rPr>
        <w:t>E</w:t>
      </w:r>
      <w:r w:rsidRPr="00F96067">
        <w:rPr>
          <w:rFonts w:cs="Times New Roman"/>
          <w:sz w:val="22"/>
          <w:szCs w:val="22"/>
        </w:rPr>
        <w:t xml:space="preserve">rgonomics 74 (2019). </w:t>
      </w:r>
      <w:hyperlink r:id="rId8" w:tgtFrame="_blank" w:tooltip="Persistent link using digital object identifier" w:history="1">
        <w:r w:rsidRPr="00F96067">
          <w:rPr>
            <w:rStyle w:val="Hyperlink"/>
            <w:rFonts w:cs="Times New Roman"/>
            <w:sz w:val="22"/>
            <w:szCs w:val="22"/>
          </w:rPr>
          <w:t>https://doi.org/10.1016/j.ergon.2019.102868</w:t>
        </w:r>
      </w:hyperlink>
      <w:r w:rsidRPr="00F96067">
        <w:rPr>
          <w:rStyle w:val="Hyperlink"/>
          <w:rFonts w:cs="Times New Roman"/>
          <w:sz w:val="22"/>
          <w:szCs w:val="22"/>
        </w:rPr>
        <w:t>.</w:t>
      </w:r>
    </w:p>
    <w:p w14:paraId="66111CE6" w14:textId="77777777" w:rsidR="005328A0" w:rsidRDefault="005328A0" w:rsidP="005328A0">
      <w:pPr>
        <w:pStyle w:val="ListParagraph"/>
        <w:numPr>
          <w:ilvl w:val="0"/>
          <w:numId w:val="2"/>
        </w:numPr>
      </w:pPr>
      <w:r w:rsidRPr="00F9002C">
        <w:t xml:space="preserve">Zerin N, Breloff SP, Dai F, Carey RE, Warren CM, Moore KD, Hawke AL, </w:t>
      </w:r>
      <w:r>
        <w:t xml:space="preserve">Sinsel EW, </w:t>
      </w:r>
      <w:r w:rsidRPr="00F9002C">
        <w:t xml:space="preserve">and Wu JZ. Phase Level Assessment of Ergonomic Intervention Effectiveness in Reducing Knee Musculoskeletal Disorder Risks during Residential Roof Shingle Installation. American Journal of Industrial Medicine. </w:t>
      </w:r>
      <w:r>
        <w:t xml:space="preserve">2025 1-13. In Press. </w:t>
      </w:r>
      <w:r w:rsidRPr="00782DC2">
        <w:t>https://doi.org/10.1002/ajim.23701</w:t>
      </w:r>
    </w:p>
    <w:p w14:paraId="40F9687C" w14:textId="77777777" w:rsidR="007D507D" w:rsidRPr="00F96067" w:rsidRDefault="007D507D" w:rsidP="00B466A7">
      <w:pPr>
        <w:spacing w:line="360" w:lineRule="auto"/>
        <w:rPr>
          <w:sz w:val="22"/>
          <w:szCs w:val="22"/>
        </w:rPr>
      </w:pPr>
    </w:p>
    <w:p w14:paraId="60094C61" w14:textId="77777777" w:rsidR="007D507D" w:rsidRPr="00F96067" w:rsidRDefault="007D507D" w:rsidP="00B466A7">
      <w:pPr>
        <w:spacing w:line="360" w:lineRule="auto"/>
        <w:jc w:val="both"/>
        <w:rPr>
          <w:rFonts w:cs="Times New Roman"/>
          <w:b/>
          <w:bCs/>
          <w:sz w:val="22"/>
          <w:szCs w:val="22"/>
        </w:rPr>
      </w:pPr>
      <w:r w:rsidRPr="00F96067">
        <w:rPr>
          <w:rFonts w:cs="Times New Roman"/>
          <w:b/>
          <w:bCs/>
          <w:sz w:val="22"/>
          <w:szCs w:val="22"/>
        </w:rPr>
        <w:t>Acknowledgements</w:t>
      </w:r>
    </w:p>
    <w:p w14:paraId="04A8CF36" w14:textId="4F31506D" w:rsidR="007D507D" w:rsidRPr="00F96067" w:rsidRDefault="00160A41" w:rsidP="00B466A7">
      <w:pPr>
        <w:spacing w:line="360" w:lineRule="auto"/>
        <w:jc w:val="both"/>
        <w:rPr>
          <w:sz w:val="22"/>
          <w:szCs w:val="22"/>
        </w:rPr>
      </w:pPr>
      <w:r w:rsidRPr="00F96067">
        <w:rPr>
          <w:sz w:val="22"/>
          <w:szCs w:val="22"/>
        </w:rPr>
        <w:t>This research was funded by the National Occupational Research Agenda (NORA) Construction Sector of the National Institute for Occupational Safety and Health, project number 939051J. The findings and conclusions in this report are those of the authors and do not necessarily represent the official position of the National Institute for Occupational Safety and Health (NIOSH), Centers for Disease Control and Prevention (CDC). Mention of any company or product does not constitute endorsement by NIOSH/CDC.</w:t>
      </w:r>
    </w:p>
    <w:p w14:paraId="572710B9" w14:textId="77777777" w:rsidR="00127DCC" w:rsidRPr="00F96067" w:rsidRDefault="00127DCC" w:rsidP="00B466A7">
      <w:pPr>
        <w:spacing w:line="360" w:lineRule="auto"/>
        <w:rPr>
          <w:sz w:val="22"/>
          <w:szCs w:val="22"/>
        </w:rPr>
      </w:pPr>
    </w:p>
    <w:p w14:paraId="7507EF12" w14:textId="77777777" w:rsidR="00127DCC" w:rsidRPr="00F96067" w:rsidRDefault="00127DCC" w:rsidP="00B466A7">
      <w:pPr>
        <w:spacing w:line="360" w:lineRule="auto"/>
        <w:rPr>
          <w:b/>
          <w:bCs/>
          <w:sz w:val="22"/>
          <w:szCs w:val="22"/>
        </w:rPr>
      </w:pPr>
      <w:r w:rsidRPr="00F96067">
        <w:rPr>
          <w:b/>
          <w:bCs/>
          <w:sz w:val="22"/>
          <w:szCs w:val="22"/>
        </w:rPr>
        <w:t>Authors</w:t>
      </w:r>
    </w:p>
    <w:p w14:paraId="48107971" w14:textId="4A543DDD" w:rsidR="0036565F" w:rsidRPr="00F96067" w:rsidRDefault="0036565F" w:rsidP="00B466A7">
      <w:pPr>
        <w:spacing w:line="360" w:lineRule="auto"/>
        <w:rPr>
          <w:sz w:val="22"/>
          <w:szCs w:val="22"/>
        </w:rPr>
      </w:pPr>
      <w:r w:rsidRPr="00F96067">
        <w:rPr>
          <w:sz w:val="22"/>
          <w:szCs w:val="22"/>
        </w:rPr>
        <w:t>Nazia Zerin (</w:t>
      </w:r>
      <w:r w:rsidR="00C41547" w:rsidRPr="00F96067">
        <w:rPr>
          <w:sz w:val="22"/>
          <w:szCs w:val="22"/>
        </w:rPr>
        <w:t>nz00006</w:t>
      </w:r>
      <w:r w:rsidR="0027317A" w:rsidRPr="00F96067">
        <w:rPr>
          <w:sz w:val="22"/>
          <w:szCs w:val="22"/>
        </w:rPr>
        <w:t>@mix.wvu.edu</w:t>
      </w:r>
      <w:r w:rsidRPr="00F96067">
        <w:rPr>
          <w:sz w:val="22"/>
          <w:szCs w:val="22"/>
        </w:rPr>
        <w:t>)</w:t>
      </w:r>
    </w:p>
    <w:p w14:paraId="412F33DD" w14:textId="5B0B84BE" w:rsidR="00732D89" w:rsidRPr="00F96067" w:rsidRDefault="0036565F" w:rsidP="00B466A7">
      <w:pPr>
        <w:spacing w:line="360" w:lineRule="auto"/>
        <w:rPr>
          <w:sz w:val="22"/>
          <w:szCs w:val="22"/>
        </w:rPr>
      </w:pPr>
      <w:r w:rsidRPr="00F96067">
        <w:rPr>
          <w:sz w:val="22"/>
          <w:szCs w:val="22"/>
        </w:rPr>
        <w:t>Scott P. Breloff (</w:t>
      </w:r>
      <w:r w:rsidR="00045417" w:rsidRPr="00F96067">
        <w:rPr>
          <w:sz w:val="22"/>
          <w:szCs w:val="22"/>
        </w:rPr>
        <w:t>lqz0@cdc.gov)</w:t>
      </w:r>
    </w:p>
    <w:p w14:paraId="02546D08" w14:textId="65D7103B" w:rsidR="00732D89" w:rsidRPr="00F96067" w:rsidRDefault="0036565F" w:rsidP="00B466A7">
      <w:pPr>
        <w:spacing w:line="360" w:lineRule="auto"/>
        <w:rPr>
          <w:sz w:val="22"/>
          <w:szCs w:val="22"/>
          <w:lang w:val="pt-PT"/>
        </w:rPr>
      </w:pPr>
      <w:r w:rsidRPr="00F96067">
        <w:rPr>
          <w:sz w:val="22"/>
          <w:szCs w:val="22"/>
          <w:lang w:val="pt-PT"/>
        </w:rPr>
        <w:t>Fei Dai</w:t>
      </w:r>
      <w:r w:rsidR="00732D89" w:rsidRPr="00F96067">
        <w:rPr>
          <w:sz w:val="22"/>
          <w:szCs w:val="22"/>
          <w:lang w:val="pt-PT"/>
        </w:rPr>
        <w:t xml:space="preserve"> (</w:t>
      </w:r>
      <w:r w:rsidR="008355D3" w:rsidRPr="00F96067">
        <w:rPr>
          <w:sz w:val="22"/>
          <w:szCs w:val="22"/>
          <w:lang w:val="pt-PT"/>
        </w:rPr>
        <w:t>fei.dai@mail.wvu.edu)</w:t>
      </w:r>
    </w:p>
    <w:p w14:paraId="4B772DA7" w14:textId="54501B3A" w:rsidR="00732D89" w:rsidRPr="00F96067" w:rsidRDefault="0036565F" w:rsidP="00B466A7">
      <w:pPr>
        <w:spacing w:line="360" w:lineRule="auto"/>
        <w:rPr>
          <w:sz w:val="22"/>
          <w:szCs w:val="22"/>
        </w:rPr>
      </w:pPr>
      <w:r w:rsidRPr="00F96067">
        <w:rPr>
          <w:sz w:val="22"/>
          <w:szCs w:val="22"/>
        </w:rPr>
        <w:t>Robert E. Carey</w:t>
      </w:r>
      <w:r w:rsidR="00732D89" w:rsidRPr="00F96067">
        <w:rPr>
          <w:sz w:val="22"/>
          <w:szCs w:val="22"/>
        </w:rPr>
        <w:t xml:space="preserve"> (</w:t>
      </w:r>
      <w:r w:rsidR="00EE5D33" w:rsidRPr="00F96067">
        <w:rPr>
          <w:sz w:val="22"/>
          <w:szCs w:val="22"/>
        </w:rPr>
        <w:t>ohn7@cdc.gov)</w:t>
      </w:r>
    </w:p>
    <w:p w14:paraId="193A2FEC" w14:textId="2F366EBA" w:rsidR="00732D89" w:rsidRPr="00F96067" w:rsidRDefault="0036565F" w:rsidP="00B466A7">
      <w:pPr>
        <w:spacing w:line="360" w:lineRule="auto"/>
        <w:rPr>
          <w:sz w:val="22"/>
          <w:szCs w:val="22"/>
        </w:rPr>
      </w:pPr>
      <w:r w:rsidRPr="00F96067">
        <w:rPr>
          <w:sz w:val="22"/>
          <w:szCs w:val="22"/>
        </w:rPr>
        <w:t>Christopher M. Warren</w:t>
      </w:r>
      <w:r w:rsidR="00732D89" w:rsidRPr="00F96067">
        <w:rPr>
          <w:sz w:val="22"/>
          <w:szCs w:val="22"/>
        </w:rPr>
        <w:t xml:space="preserve"> (</w:t>
      </w:r>
      <w:r w:rsidR="008F79FB" w:rsidRPr="00F96067">
        <w:rPr>
          <w:sz w:val="22"/>
          <w:szCs w:val="22"/>
        </w:rPr>
        <w:t>cpw4@cdc.gov)</w:t>
      </w:r>
    </w:p>
    <w:p w14:paraId="14170300" w14:textId="50D9DB96" w:rsidR="00732D89" w:rsidRPr="00F96067" w:rsidRDefault="0036565F" w:rsidP="00B466A7">
      <w:pPr>
        <w:spacing w:line="360" w:lineRule="auto"/>
        <w:rPr>
          <w:sz w:val="22"/>
          <w:szCs w:val="22"/>
        </w:rPr>
      </w:pPr>
      <w:r w:rsidRPr="00F96067">
        <w:rPr>
          <w:sz w:val="22"/>
          <w:szCs w:val="22"/>
        </w:rPr>
        <w:t xml:space="preserve">Kevin D. Moore </w:t>
      </w:r>
      <w:r w:rsidR="00732D89" w:rsidRPr="00F96067">
        <w:rPr>
          <w:sz w:val="22"/>
          <w:szCs w:val="22"/>
        </w:rPr>
        <w:t>(</w:t>
      </w:r>
      <w:r w:rsidR="00641676" w:rsidRPr="00F96067">
        <w:rPr>
          <w:sz w:val="22"/>
          <w:szCs w:val="22"/>
        </w:rPr>
        <w:t>qcp5@cdc.gov)</w:t>
      </w:r>
    </w:p>
    <w:p w14:paraId="10B9D6C8" w14:textId="0299093E" w:rsidR="00127DCC" w:rsidRDefault="0036565F" w:rsidP="00B466A7">
      <w:pPr>
        <w:spacing w:line="360" w:lineRule="auto"/>
        <w:rPr>
          <w:sz w:val="22"/>
          <w:szCs w:val="22"/>
        </w:rPr>
      </w:pPr>
      <w:r w:rsidRPr="00F96067">
        <w:rPr>
          <w:sz w:val="22"/>
          <w:szCs w:val="22"/>
        </w:rPr>
        <w:t>Ashley L. Hawke</w:t>
      </w:r>
      <w:r w:rsidR="00732D89" w:rsidRPr="00F96067">
        <w:rPr>
          <w:sz w:val="22"/>
          <w:szCs w:val="22"/>
        </w:rPr>
        <w:t xml:space="preserve"> (</w:t>
      </w:r>
      <w:hyperlink r:id="rId9" w:history="1">
        <w:r w:rsidR="00371DD8" w:rsidRPr="00135983">
          <w:rPr>
            <w:rStyle w:val="Hyperlink"/>
            <w:sz w:val="22"/>
            <w:szCs w:val="22"/>
          </w:rPr>
          <w:t>ptt3@cdc.gov</w:t>
        </w:r>
      </w:hyperlink>
      <w:r w:rsidR="00641676" w:rsidRPr="00F96067">
        <w:rPr>
          <w:sz w:val="22"/>
          <w:szCs w:val="22"/>
        </w:rPr>
        <w:t>)</w:t>
      </w:r>
    </w:p>
    <w:p w14:paraId="68FF0945" w14:textId="3F27FC7B" w:rsidR="00371DD8" w:rsidRPr="00F96067" w:rsidRDefault="00371DD8" w:rsidP="00B466A7">
      <w:pPr>
        <w:spacing w:line="360" w:lineRule="auto"/>
        <w:rPr>
          <w:sz w:val="22"/>
          <w:szCs w:val="22"/>
        </w:rPr>
      </w:pPr>
      <w:r w:rsidRPr="00371DD8">
        <w:rPr>
          <w:sz w:val="22"/>
          <w:szCs w:val="22"/>
        </w:rPr>
        <w:t>Erik Sinsel</w:t>
      </w:r>
      <w:r>
        <w:rPr>
          <w:sz w:val="22"/>
          <w:szCs w:val="22"/>
        </w:rPr>
        <w:t xml:space="preserve"> (</w:t>
      </w:r>
      <w:r w:rsidRPr="00371DD8">
        <w:rPr>
          <w:sz w:val="22"/>
          <w:szCs w:val="22"/>
        </w:rPr>
        <w:t>eur2@cdc.gov</w:t>
      </w:r>
      <w:r>
        <w:rPr>
          <w:sz w:val="22"/>
          <w:szCs w:val="22"/>
        </w:rPr>
        <w:t>)</w:t>
      </w:r>
    </w:p>
    <w:p w14:paraId="656603C2" w14:textId="6415EC0E" w:rsidR="003A014C" w:rsidRPr="00F96067" w:rsidRDefault="003A014C" w:rsidP="00B466A7">
      <w:pPr>
        <w:spacing w:line="360" w:lineRule="auto"/>
        <w:rPr>
          <w:sz w:val="22"/>
          <w:szCs w:val="22"/>
        </w:rPr>
      </w:pPr>
      <w:r w:rsidRPr="00F96067">
        <w:rPr>
          <w:sz w:val="22"/>
          <w:szCs w:val="22"/>
        </w:rPr>
        <w:t>John Z. Wu (ozw8@cdc.gov)</w:t>
      </w:r>
    </w:p>
    <w:p w14:paraId="4A7C3B8F" w14:textId="77777777" w:rsidR="00127DCC" w:rsidRPr="00F96067" w:rsidRDefault="00127DCC" w:rsidP="00B466A7">
      <w:pPr>
        <w:spacing w:line="360" w:lineRule="auto"/>
        <w:rPr>
          <w:sz w:val="22"/>
          <w:szCs w:val="22"/>
        </w:rPr>
      </w:pPr>
    </w:p>
    <w:p w14:paraId="4A9A07C4" w14:textId="77777777" w:rsidR="00127DCC" w:rsidRPr="00F96067" w:rsidRDefault="00127DCC" w:rsidP="00B466A7">
      <w:pPr>
        <w:spacing w:line="360" w:lineRule="auto"/>
        <w:rPr>
          <w:b/>
          <w:bCs/>
          <w:sz w:val="22"/>
          <w:szCs w:val="22"/>
        </w:rPr>
      </w:pPr>
      <w:r w:rsidRPr="00F96067">
        <w:rPr>
          <w:b/>
          <w:bCs/>
          <w:sz w:val="22"/>
          <w:szCs w:val="22"/>
        </w:rPr>
        <w:t>Contact</w:t>
      </w:r>
    </w:p>
    <w:p w14:paraId="63E87C0D" w14:textId="77777777" w:rsidR="00127DCC" w:rsidRPr="00F96067" w:rsidRDefault="00127DCC" w:rsidP="00B466A7">
      <w:pPr>
        <w:spacing w:line="360" w:lineRule="auto"/>
        <w:rPr>
          <w:sz w:val="22"/>
          <w:szCs w:val="22"/>
        </w:rPr>
      </w:pPr>
      <w:r w:rsidRPr="00F96067">
        <w:rPr>
          <w:sz w:val="22"/>
          <w:szCs w:val="22"/>
        </w:rPr>
        <w:t>Physical Effects Research Branch (PERB), Health Effects Laboratory Division (HELD), National Institute for Occupational Safety and Health, 1095 Willowdale Rd., Morgantown, WV 26505</w:t>
      </w:r>
    </w:p>
    <w:sectPr w:rsidR="00127DCC" w:rsidRPr="00F96067" w:rsidSect="00DF6BE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CE8C" w14:textId="77777777" w:rsidR="009B2095" w:rsidRDefault="009B2095" w:rsidP="009B2095">
      <w:r>
        <w:separator/>
      </w:r>
    </w:p>
  </w:endnote>
  <w:endnote w:type="continuationSeparator" w:id="0">
    <w:p w14:paraId="38ADB1E8" w14:textId="77777777" w:rsidR="009B2095" w:rsidRDefault="009B2095" w:rsidP="009B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CDD0A" w14:textId="77777777" w:rsidR="009B2095" w:rsidRDefault="009B2095" w:rsidP="009B2095">
      <w:r>
        <w:separator/>
      </w:r>
    </w:p>
  </w:footnote>
  <w:footnote w:type="continuationSeparator" w:id="0">
    <w:p w14:paraId="7DC39896" w14:textId="77777777" w:rsidR="009B2095" w:rsidRDefault="009B2095" w:rsidP="009B2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049689"/>
      <w:docPartObj>
        <w:docPartGallery w:val="Page Numbers (Top of Page)"/>
        <w:docPartUnique/>
      </w:docPartObj>
    </w:sdtPr>
    <w:sdtEndPr>
      <w:rPr>
        <w:noProof/>
      </w:rPr>
    </w:sdtEndPr>
    <w:sdtContent>
      <w:p w14:paraId="648A67E0" w14:textId="2C57E526" w:rsidR="009B2095" w:rsidRDefault="009B209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1C1D276" w14:textId="77777777" w:rsidR="009B2095" w:rsidRDefault="009B2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884"/>
    <w:multiLevelType w:val="hybridMultilevel"/>
    <w:tmpl w:val="6E16A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51418"/>
    <w:multiLevelType w:val="hybridMultilevel"/>
    <w:tmpl w:val="02C4862C"/>
    <w:lvl w:ilvl="0" w:tplc="15F6C7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50D81"/>
    <w:multiLevelType w:val="hybridMultilevel"/>
    <w:tmpl w:val="DC4C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959534">
    <w:abstractNumId w:val="0"/>
  </w:num>
  <w:num w:numId="2" w16cid:durableId="1475639756">
    <w:abstractNumId w:val="2"/>
  </w:num>
  <w:num w:numId="3" w16cid:durableId="827748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EB"/>
    <w:rsid w:val="00004447"/>
    <w:rsid w:val="00004C59"/>
    <w:rsid w:val="00027680"/>
    <w:rsid w:val="000301D3"/>
    <w:rsid w:val="00036EB0"/>
    <w:rsid w:val="00045417"/>
    <w:rsid w:val="000642E0"/>
    <w:rsid w:val="00066A8C"/>
    <w:rsid w:val="00066D42"/>
    <w:rsid w:val="000855E9"/>
    <w:rsid w:val="000A2F56"/>
    <w:rsid w:val="000D09C8"/>
    <w:rsid w:val="000D3897"/>
    <w:rsid w:val="000D5A28"/>
    <w:rsid w:val="000D6FF3"/>
    <w:rsid w:val="000F45B4"/>
    <w:rsid w:val="0010019F"/>
    <w:rsid w:val="00107EBC"/>
    <w:rsid w:val="0011252A"/>
    <w:rsid w:val="0012591C"/>
    <w:rsid w:val="00126E6D"/>
    <w:rsid w:val="00127DCC"/>
    <w:rsid w:val="001509D1"/>
    <w:rsid w:val="00160A41"/>
    <w:rsid w:val="00162D2E"/>
    <w:rsid w:val="0016395D"/>
    <w:rsid w:val="00167581"/>
    <w:rsid w:val="00181B45"/>
    <w:rsid w:val="00182C4F"/>
    <w:rsid w:val="001907C0"/>
    <w:rsid w:val="00191322"/>
    <w:rsid w:val="0019382D"/>
    <w:rsid w:val="001B544D"/>
    <w:rsid w:val="001C41A3"/>
    <w:rsid w:val="001C50A9"/>
    <w:rsid w:val="001C590E"/>
    <w:rsid w:val="002064B4"/>
    <w:rsid w:val="00211EEF"/>
    <w:rsid w:val="00215664"/>
    <w:rsid w:val="00226E1A"/>
    <w:rsid w:val="0025332F"/>
    <w:rsid w:val="00254102"/>
    <w:rsid w:val="00264C4E"/>
    <w:rsid w:val="00267C1F"/>
    <w:rsid w:val="00271246"/>
    <w:rsid w:val="0027317A"/>
    <w:rsid w:val="00283346"/>
    <w:rsid w:val="002930CB"/>
    <w:rsid w:val="002A3461"/>
    <w:rsid w:val="002A4963"/>
    <w:rsid w:val="002C57BC"/>
    <w:rsid w:val="002D29A0"/>
    <w:rsid w:val="002E184A"/>
    <w:rsid w:val="002E7991"/>
    <w:rsid w:val="002F6A0F"/>
    <w:rsid w:val="00302260"/>
    <w:rsid w:val="0030434B"/>
    <w:rsid w:val="0031251D"/>
    <w:rsid w:val="0031519D"/>
    <w:rsid w:val="00331B88"/>
    <w:rsid w:val="00342565"/>
    <w:rsid w:val="0035288B"/>
    <w:rsid w:val="00356169"/>
    <w:rsid w:val="003565EF"/>
    <w:rsid w:val="00361D79"/>
    <w:rsid w:val="00362059"/>
    <w:rsid w:val="00362330"/>
    <w:rsid w:val="0036565F"/>
    <w:rsid w:val="003659F4"/>
    <w:rsid w:val="00366DA0"/>
    <w:rsid w:val="0036750C"/>
    <w:rsid w:val="00371DD8"/>
    <w:rsid w:val="00372707"/>
    <w:rsid w:val="00373C64"/>
    <w:rsid w:val="00374688"/>
    <w:rsid w:val="00376F1C"/>
    <w:rsid w:val="00392EA1"/>
    <w:rsid w:val="003964BD"/>
    <w:rsid w:val="003A014C"/>
    <w:rsid w:val="003A021F"/>
    <w:rsid w:val="003B0C77"/>
    <w:rsid w:val="003B3B9F"/>
    <w:rsid w:val="003B6CBB"/>
    <w:rsid w:val="003C515E"/>
    <w:rsid w:val="003D31D1"/>
    <w:rsid w:val="003D38B8"/>
    <w:rsid w:val="003D3E86"/>
    <w:rsid w:val="003D5342"/>
    <w:rsid w:val="003D59C6"/>
    <w:rsid w:val="00400F3F"/>
    <w:rsid w:val="00403B36"/>
    <w:rsid w:val="00420169"/>
    <w:rsid w:val="004319EB"/>
    <w:rsid w:val="00435244"/>
    <w:rsid w:val="00450486"/>
    <w:rsid w:val="0045249F"/>
    <w:rsid w:val="00457E1D"/>
    <w:rsid w:val="0046005F"/>
    <w:rsid w:val="0048626E"/>
    <w:rsid w:val="0049045D"/>
    <w:rsid w:val="004930F6"/>
    <w:rsid w:val="00494392"/>
    <w:rsid w:val="004964B3"/>
    <w:rsid w:val="004A10F9"/>
    <w:rsid w:val="004C3ED1"/>
    <w:rsid w:val="004E5153"/>
    <w:rsid w:val="004F4AD0"/>
    <w:rsid w:val="004F524C"/>
    <w:rsid w:val="00503005"/>
    <w:rsid w:val="00513428"/>
    <w:rsid w:val="00514DA1"/>
    <w:rsid w:val="00515367"/>
    <w:rsid w:val="0051551D"/>
    <w:rsid w:val="005224AC"/>
    <w:rsid w:val="005328A0"/>
    <w:rsid w:val="0054240B"/>
    <w:rsid w:val="00543299"/>
    <w:rsid w:val="0055516F"/>
    <w:rsid w:val="00575703"/>
    <w:rsid w:val="00577411"/>
    <w:rsid w:val="005A4775"/>
    <w:rsid w:val="005D0D57"/>
    <w:rsid w:val="005D27CE"/>
    <w:rsid w:val="005F55E4"/>
    <w:rsid w:val="0060718C"/>
    <w:rsid w:val="00620510"/>
    <w:rsid w:val="00633CD5"/>
    <w:rsid w:val="00635828"/>
    <w:rsid w:val="00637929"/>
    <w:rsid w:val="00641676"/>
    <w:rsid w:val="00682669"/>
    <w:rsid w:val="0068543D"/>
    <w:rsid w:val="0068733E"/>
    <w:rsid w:val="006C1C3C"/>
    <w:rsid w:val="006D60D9"/>
    <w:rsid w:val="006E36B9"/>
    <w:rsid w:val="006E6EE8"/>
    <w:rsid w:val="007155CF"/>
    <w:rsid w:val="00717A4A"/>
    <w:rsid w:val="00727D51"/>
    <w:rsid w:val="00732D89"/>
    <w:rsid w:val="00741F53"/>
    <w:rsid w:val="0074664F"/>
    <w:rsid w:val="0076560E"/>
    <w:rsid w:val="00766C3E"/>
    <w:rsid w:val="0078369F"/>
    <w:rsid w:val="0078603B"/>
    <w:rsid w:val="0079230A"/>
    <w:rsid w:val="007A64A6"/>
    <w:rsid w:val="007B065E"/>
    <w:rsid w:val="007B23F1"/>
    <w:rsid w:val="007C13A6"/>
    <w:rsid w:val="007D507D"/>
    <w:rsid w:val="007E3897"/>
    <w:rsid w:val="007F009C"/>
    <w:rsid w:val="00815FD5"/>
    <w:rsid w:val="008355D3"/>
    <w:rsid w:val="0084710C"/>
    <w:rsid w:val="008479A9"/>
    <w:rsid w:val="008523AD"/>
    <w:rsid w:val="008526EB"/>
    <w:rsid w:val="008534F7"/>
    <w:rsid w:val="0085521C"/>
    <w:rsid w:val="00860164"/>
    <w:rsid w:val="00872E47"/>
    <w:rsid w:val="00877A48"/>
    <w:rsid w:val="0088118D"/>
    <w:rsid w:val="008A39BE"/>
    <w:rsid w:val="008B4456"/>
    <w:rsid w:val="008B4546"/>
    <w:rsid w:val="008B5207"/>
    <w:rsid w:val="008B6849"/>
    <w:rsid w:val="008B7D84"/>
    <w:rsid w:val="008C4F15"/>
    <w:rsid w:val="008C52A5"/>
    <w:rsid w:val="008C749C"/>
    <w:rsid w:val="008E343D"/>
    <w:rsid w:val="008E5F3E"/>
    <w:rsid w:val="008F79FB"/>
    <w:rsid w:val="00902A44"/>
    <w:rsid w:val="00906787"/>
    <w:rsid w:val="00963D04"/>
    <w:rsid w:val="0097738D"/>
    <w:rsid w:val="0098166F"/>
    <w:rsid w:val="00987862"/>
    <w:rsid w:val="009A2259"/>
    <w:rsid w:val="009B2095"/>
    <w:rsid w:val="009C73BB"/>
    <w:rsid w:val="009C7E79"/>
    <w:rsid w:val="009D0F1D"/>
    <w:rsid w:val="009D4605"/>
    <w:rsid w:val="009E2858"/>
    <w:rsid w:val="009F1D77"/>
    <w:rsid w:val="00A111AC"/>
    <w:rsid w:val="00A16FE8"/>
    <w:rsid w:val="00A23821"/>
    <w:rsid w:val="00A40D36"/>
    <w:rsid w:val="00A42625"/>
    <w:rsid w:val="00A557A9"/>
    <w:rsid w:val="00A67608"/>
    <w:rsid w:val="00A878A2"/>
    <w:rsid w:val="00A928E3"/>
    <w:rsid w:val="00AA6DEC"/>
    <w:rsid w:val="00AA6E7F"/>
    <w:rsid w:val="00AD1168"/>
    <w:rsid w:val="00AE1057"/>
    <w:rsid w:val="00AF1AE3"/>
    <w:rsid w:val="00B035D9"/>
    <w:rsid w:val="00B11D33"/>
    <w:rsid w:val="00B152AA"/>
    <w:rsid w:val="00B20AB3"/>
    <w:rsid w:val="00B24852"/>
    <w:rsid w:val="00B36FD8"/>
    <w:rsid w:val="00B42059"/>
    <w:rsid w:val="00B466A7"/>
    <w:rsid w:val="00B6408E"/>
    <w:rsid w:val="00B6673F"/>
    <w:rsid w:val="00B751DC"/>
    <w:rsid w:val="00B9266B"/>
    <w:rsid w:val="00BA1A56"/>
    <w:rsid w:val="00BA4B8C"/>
    <w:rsid w:val="00BE1FD1"/>
    <w:rsid w:val="00C054A1"/>
    <w:rsid w:val="00C12666"/>
    <w:rsid w:val="00C333BA"/>
    <w:rsid w:val="00C34F29"/>
    <w:rsid w:val="00C41547"/>
    <w:rsid w:val="00C432BC"/>
    <w:rsid w:val="00C50BA7"/>
    <w:rsid w:val="00C51BF0"/>
    <w:rsid w:val="00C612A4"/>
    <w:rsid w:val="00C6344F"/>
    <w:rsid w:val="00C7267E"/>
    <w:rsid w:val="00C7334F"/>
    <w:rsid w:val="00C83B13"/>
    <w:rsid w:val="00C920B4"/>
    <w:rsid w:val="00C95CBF"/>
    <w:rsid w:val="00C97376"/>
    <w:rsid w:val="00CA2D2D"/>
    <w:rsid w:val="00CA5DE8"/>
    <w:rsid w:val="00CA6BF4"/>
    <w:rsid w:val="00CB1376"/>
    <w:rsid w:val="00CB14C5"/>
    <w:rsid w:val="00CB6149"/>
    <w:rsid w:val="00CD0464"/>
    <w:rsid w:val="00CD2528"/>
    <w:rsid w:val="00CD2D56"/>
    <w:rsid w:val="00CD309C"/>
    <w:rsid w:val="00CE6F4E"/>
    <w:rsid w:val="00CF3E70"/>
    <w:rsid w:val="00CF79ED"/>
    <w:rsid w:val="00D204D6"/>
    <w:rsid w:val="00D20677"/>
    <w:rsid w:val="00D22A92"/>
    <w:rsid w:val="00D27269"/>
    <w:rsid w:val="00D419F1"/>
    <w:rsid w:val="00D44B7F"/>
    <w:rsid w:val="00D479A1"/>
    <w:rsid w:val="00D5161A"/>
    <w:rsid w:val="00D637BE"/>
    <w:rsid w:val="00D75550"/>
    <w:rsid w:val="00D75E5C"/>
    <w:rsid w:val="00D80DF1"/>
    <w:rsid w:val="00D8415C"/>
    <w:rsid w:val="00D9281B"/>
    <w:rsid w:val="00DB6BB3"/>
    <w:rsid w:val="00DC5DE5"/>
    <w:rsid w:val="00DD7EF7"/>
    <w:rsid w:val="00DE131B"/>
    <w:rsid w:val="00DF252A"/>
    <w:rsid w:val="00DF4D35"/>
    <w:rsid w:val="00DF6BEA"/>
    <w:rsid w:val="00E150B8"/>
    <w:rsid w:val="00E167CA"/>
    <w:rsid w:val="00E24A9D"/>
    <w:rsid w:val="00E362E1"/>
    <w:rsid w:val="00E53868"/>
    <w:rsid w:val="00E62A06"/>
    <w:rsid w:val="00E77B7A"/>
    <w:rsid w:val="00E8072E"/>
    <w:rsid w:val="00E80BA9"/>
    <w:rsid w:val="00E84442"/>
    <w:rsid w:val="00E862C6"/>
    <w:rsid w:val="00E87A61"/>
    <w:rsid w:val="00E95066"/>
    <w:rsid w:val="00E95A85"/>
    <w:rsid w:val="00EA560C"/>
    <w:rsid w:val="00EB0021"/>
    <w:rsid w:val="00EB1186"/>
    <w:rsid w:val="00EB3649"/>
    <w:rsid w:val="00EB3FAB"/>
    <w:rsid w:val="00ED1BF6"/>
    <w:rsid w:val="00EE13F6"/>
    <w:rsid w:val="00EE44FA"/>
    <w:rsid w:val="00EE5D33"/>
    <w:rsid w:val="00EF5402"/>
    <w:rsid w:val="00F16B12"/>
    <w:rsid w:val="00F22E86"/>
    <w:rsid w:val="00F25977"/>
    <w:rsid w:val="00F329DB"/>
    <w:rsid w:val="00F33C9E"/>
    <w:rsid w:val="00F34D9E"/>
    <w:rsid w:val="00F460F7"/>
    <w:rsid w:val="00F7045E"/>
    <w:rsid w:val="00F9061F"/>
    <w:rsid w:val="00F941F8"/>
    <w:rsid w:val="00F944B9"/>
    <w:rsid w:val="00F94A9B"/>
    <w:rsid w:val="00F96067"/>
    <w:rsid w:val="00FA3D95"/>
    <w:rsid w:val="00FA4E79"/>
    <w:rsid w:val="00FD7698"/>
    <w:rsid w:val="00FE048C"/>
    <w:rsid w:val="00FF3B53"/>
    <w:rsid w:val="00FF58C3"/>
    <w:rsid w:val="00FF717A"/>
    <w:rsid w:val="00FF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D7FDD"/>
  <w14:defaultImageDpi w14:val="32767"/>
  <w15:chartTrackingRefBased/>
  <w15:docId w15:val="{047B965D-76E5-FE46-B7DA-D9AF5E06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44F"/>
    <w:rPr>
      <w:rFonts w:ascii="Aptos" w:hAnsi="Apto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12666"/>
  </w:style>
  <w:style w:type="paragraph" w:styleId="ListParagraph">
    <w:name w:val="List Paragraph"/>
    <w:basedOn w:val="Normal"/>
    <w:uiPriority w:val="34"/>
    <w:qFormat/>
    <w:rsid w:val="00E77B7A"/>
    <w:pPr>
      <w:ind w:left="720"/>
      <w:contextualSpacing/>
    </w:pPr>
  </w:style>
  <w:style w:type="character" w:styleId="Hyperlink">
    <w:name w:val="Hyperlink"/>
    <w:basedOn w:val="DefaultParagraphFont"/>
    <w:uiPriority w:val="99"/>
    <w:unhideWhenUsed/>
    <w:rsid w:val="00127DCC"/>
    <w:rPr>
      <w:color w:val="0563C1" w:themeColor="hyperlink"/>
      <w:u w:val="single"/>
    </w:rPr>
  </w:style>
  <w:style w:type="character" w:styleId="UnresolvedMention">
    <w:name w:val="Unresolved Mention"/>
    <w:basedOn w:val="DefaultParagraphFont"/>
    <w:uiPriority w:val="99"/>
    <w:rsid w:val="00127DCC"/>
    <w:rPr>
      <w:color w:val="605E5C"/>
      <w:shd w:val="clear" w:color="auto" w:fill="E1DFDD"/>
    </w:rPr>
  </w:style>
  <w:style w:type="paragraph" w:styleId="Header">
    <w:name w:val="header"/>
    <w:basedOn w:val="Normal"/>
    <w:link w:val="HeaderChar"/>
    <w:uiPriority w:val="99"/>
    <w:unhideWhenUsed/>
    <w:rsid w:val="009B2095"/>
    <w:pPr>
      <w:tabs>
        <w:tab w:val="center" w:pos="4680"/>
        <w:tab w:val="right" w:pos="9360"/>
      </w:tabs>
    </w:pPr>
  </w:style>
  <w:style w:type="character" w:customStyle="1" w:styleId="HeaderChar">
    <w:name w:val="Header Char"/>
    <w:basedOn w:val="DefaultParagraphFont"/>
    <w:link w:val="Header"/>
    <w:uiPriority w:val="99"/>
    <w:rsid w:val="009B2095"/>
    <w:rPr>
      <w:rFonts w:ascii="Aptos" w:hAnsi="Aptos"/>
    </w:rPr>
  </w:style>
  <w:style w:type="paragraph" w:styleId="Footer">
    <w:name w:val="footer"/>
    <w:basedOn w:val="Normal"/>
    <w:link w:val="FooterChar"/>
    <w:uiPriority w:val="99"/>
    <w:unhideWhenUsed/>
    <w:rsid w:val="009B2095"/>
    <w:pPr>
      <w:tabs>
        <w:tab w:val="center" w:pos="4680"/>
        <w:tab w:val="right" w:pos="9360"/>
      </w:tabs>
    </w:pPr>
  </w:style>
  <w:style w:type="character" w:customStyle="1" w:styleId="FooterChar">
    <w:name w:val="Footer Char"/>
    <w:basedOn w:val="DefaultParagraphFont"/>
    <w:link w:val="Footer"/>
    <w:uiPriority w:val="99"/>
    <w:rsid w:val="009B2095"/>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rgon.2019.102868" TargetMode="External"/><Relationship Id="rId3" Type="http://schemas.openxmlformats.org/officeDocument/2006/relationships/settings" Target="settings.xml"/><Relationship Id="rId7" Type="http://schemas.openxmlformats.org/officeDocument/2006/relationships/hyperlink" Target="https://doi.org/10.1016/j.apergo.2019.1029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tt3@c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5092</Characters>
  <Application>Microsoft Office Word</Application>
  <DocSecurity>0</DocSecurity>
  <Lines>115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Dutta</dc:creator>
  <cp:keywords/>
  <dc:description/>
  <cp:lastModifiedBy>Strahin, Jennifer (CDC/NIOSH/OD)</cp:lastModifiedBy>
  <cp:revision>3</cp:revision>
  <dcterms:created xsi:type="dcterms:W3CDTF">2025-01-21T15:27:00Z</dcterms:created>
  <dcterms:modified xsi:type="dcterms:W3CDTF">2025-02-18T19:51:00Z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2024-04-11T14:53:14Z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228b97fd-046d-4995-931e-e4a4c1becd0d</vt:lpwstr>
  </property>
  <property fmtid="{D5CDD505-2E9C-101B-9397-08002B2CF9AE}" pid="8" name="MSIP_Label_8af03ff0-41c5-4c41-b55e-fabb8fae94be_ContentBits">
    <vt:lpwstr>0</vt:lpwstr>
  </property>
  <property fmtid="{D5CDD505-2E9C-101B-9397-08002B2CF9AE}" pid="9" name="GrammarlyDocumentId">
    <vt:lpwstr>aa5b9bc626f4b53f2928fc23feeaf2f02742ff70d62bab3cde205fe8a1907afd</vt:lpwstr>
  </property>
</Properties>
</file>