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4E16B" w14:textId="50D0E4B5" w:rsidR="00020441" w:rsidRPr="007E63A2" w:rsidRDefault="00310122">
      <w:r>
        <w:t xml:space="preserve"> </w:t>
      </w:r>
      <w:r w:rsidR="00020441" w:rsidRPr="007E63A2">
        <w:tab/>
      </w:r>
      <w:r w:rsidR="00020441" w:rsidRPr="007E63A2">
        <w:tab/>
      </w:r>
      <w:r w:rsidR="00020441" w:rsidRPr="007E63A2">
        <w:tab/>
      </w:r>
      <w:r w:rsidR="00020441" w:rsidRPr="007E63A2">
        <w:tab/>
      </w:r>
      <w:r w:rsidR="00020441" w:rsidRPr="007E63A2">
        <w:tab/>
      </w:r>
      <w:r w:rsidR="00020441" w:rsidRPr="007E63A2">
        <w:tab/>
      </w:r>
    </w:p>
    <w:p w14:paraId="7F987F1D" w14:textId="6D6BDD4D" w:rsidR="00020441" w:rsidRPr="007E63A2" w:rsidRDefault="00494AC0">
      <w:r w:rsidRPr="007E63A2">
        <w:rPr>
          <w:noProof/>
        </w:rPr>
        <w:drawing>
          <wp:anchor distT="0" distB="0" distL="114300" distR="114300" simplePos="0" relativeHeight="251658240" behindDoc="1" locked="0" layoutInCell="1" allowOverlap="1" wp14:anchorId="65169153" wp14:editId="7BE93992">
            <wp:simplePos x="0" y="0"/>
            <wp:positionH relativeFrom="page">
              <wp:posOffset>3439795</wp:posOffset>
            </wp:positionH>
            <wp:positionV relativeFrom="page">
              <wp:posOffset>1536700</wp:posOffset>
            </wp:positionV>
            <wp:extent cx="806450" cy="979170"/>
            <wp:effectExtent l="0" t="0" r="0" b="0"/>
            <wp:wrapTight wrapText="bothSides">
              <wp:wrapPolygon edited="0">
                <wp:start x="0" y="0"/>
                <wp:lineTo x="0" y="21012"/>
                <wp:lineTo x="20920" y="21012"/>
                <wp:lineTo x="20920" y="0"/>
                <wp:lineTo x="0" y="0"/>
              </wp:wrapPolygon>
            </wp:wrapTight>
            <wp:docPr id="317483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6450" cy="979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51730C" w14:textId="77777777" w:rsidR="00020441" w:rsidRPr="007E63A2" w:rsidRDefault="00020441"/>
    <w:p w14:paraId="07B7626A" w14:textId="77777777" w:rsidR="00020441" w:rsidRPr="007E63A2" w:rsidRDefault="00020441">
      <w:pPr>
        <w:pStyle w:val="TDC1"/>
        <w:tabs>
          <w:tab w:val="clear" w:pos="480"/>
          <w:tab w:val="clear" w:pos="8828"/>
        </w:tabs>
        <w:spacing w:before="0"/>
        <w:rPr>
          <w:noProof w:val="0"/>
          <w:szCs w:val="20"/>
          <w:lang w:val="es-419"/>
        </w:rPr>
      </w:pPr>
    </w:p>
    <w:p w14:paraId="40E960A9" w14:textId="77777777" w:rsidR="00020441" w:rsidRPr="007E63A2" w:rsidRDefault="00020441">
      <w:pPr>
        <w:pStyle w:val="TDC1"/>
        <w:rPr>
          <w:noProof w:val="0"/>
          <w:lang w:val="es-419"/>
        </w:rPr>
      </w:pPr>
    </w:p>
    <w:p w14:paraId="1CF15A32" w14:textId="77777777" w:rsidR="00C020C5" w:rsidRPr="007E63A2" w:rsidRDefault="00C020C5" w:rsidP="00C020C5"/>
    <w:p w14:paraId="26EE086E" w14:textId="77777777" w:rsidR="003B05A7" w:rsidRPr="007E63A2" w:rsidRDefault="003B05A7" w:rsidP="00C020C5">
      <w:pPr>
        <w:tabs>
          <w:tab w:val="left" w:pos="7770"/>
        </w:tabs>
        <w:jc w:val="right"/>
        <w:rPr>
          <w:rFonts w:cs="Arial"/>
          <w:sz w:val="18"/>
          <w:szCs w:val="18"/>
        </w:rPr>
      </w:pPr>
    </w:p>
    <w:p w14:paraId="105B1FE5" w14:textId="77777777" w:rsidR="003B05A7" w:rsidRPr="007E63A2" w:rsidRDefault="003B05A7" w:rsidP="00C020C5">
      <w:pPr>
        <w:tabs>
          <w:tab w:val="left" w:pos="7770"/>
        </w:tabs>
        <w:jc w:val="right"/>
        <w:rPr>
          <w:rFonts w:cs="Arial"/>
          <w:sz w:val="18"/>
          <w:szCs w:val="18"/>
        </w:rPr>
      </w:pPr>
    </w:p>
    <w:p w14:paraId="35273273" w14:textId="77777777" w:rsidR="003B05A7" w:rsidRPr="007E63A2" w:rsidRDefault="003B05A7" w:rsidP="00C020C5">
      <w:pPr>
        <w:tabs>
          <w:tab w:val="left" w:pos="7770"/>
        </w:tabs>
        <w:jc w:val="right"/>
        <w:rPr>
          <w:rFonts w:cs="Arial"/>
          <w:sz w:val="18"/>
          <w:szCs w:val="18"/>
        </w:rPr>
      </w:pPr>
    </w:p>
    <w:p w14:paraId="62654A29" w14:textId="77777777" w:rsidR="003B05A7" w:rsidRPr="007E63A2" w:rsidRDefault="003B05A7" w:rsidP="00C020C5">
      <w:pPr>
        <w:tabs>
          <w:tab w:val="left" w:pos="7770"/>
        </w:tabs>
        <w:jc w:val="right"/>
        <w:rPr>
          <w:rFonts w:cs="Arial"/>
          <w:sz w:val="18"/>
          <w:szCs w:val="18"/>
        </w:rPr>
      </w:pPr>
    </w:p>
    <w:p w14:paraId="0395CAD5" w14:textId="77777777" w:rsidR="003B05A7" w:rsidRPr="007E63A2" w:rsidRDefault="003B05A7" w:rsidP="00C020C5">
      <w:pPr>
        <w:tabs>
          <w:tab w:val="left" w:pos="7770"/>
        </w:tabs>
        <w:jc w:val="right"/>
        <w:rPr>
          <w:rFonts w:cs="Arial"/>
          <w:sz w:val="18"/>
          <w:szCs w:val="18"/>
        </w:rPr>
      </w:pPr>
    </w:p>
    <w:p w14:paraId="3718DD48" w14:textId="77777777" w:rsidR="003B05A7" w:rsidRPr="007E63A2" w:rsidRDefault="003B05A7" w:rsidP="00C020C5">
      <w:pPr>
        <w:tabs>
          <w:tab w:val="left" w:pos="7770"/>
        </w:tabs>
        <w:jc w:val="right"/>
        <w:rPr>
          <w:rFonts w:cs="Arial"/>
          <w:sz w:val="18"/>
          <w:szCs w:val="18"/>
        </w:rPr>
      </w:pPr>
    </w:p>
    <w:p w14:paraId="07CB777C" w14:textId="2493044E" w:rsidR="00C020C5" w:rsidRPr="007E63A2" w:rsidRDefault="00C020C5" w:rsidP="00C020C5">
      <w:pPr>
        <w:tabs>
          <w:tab w:val="left" w:pos="7770"/>
        </w:tabs>
        <w:jc w:val="right"/>
        <w:rPr>
          <w:rFonts w:cs="Arial"/>
          <w:sz w:val="18"/>
          <w:szCs w:val="18"/>
        </w:rPr>
      </w:pPr>
      <w:r w:rsidRPr="007E63A2">
        <w:rPr>
          <w:rFonts w:cs="Arial"/>
          <w:sz w:val="18"/>
          <w:szCs w:val="18"/>
        </w:rPr>
        <w:t>Acceso: Reservado ( ), Público ( ), Clasificado ( )</w:t>
      </w:r>
    </w:p>
    <w:p w14:paraId="7F9EBD27" w14:textId="77777777" w:rsidR="00C020C5" w:rsidRPr="007E63A2" w:rsidRDefault="00C020C5" w:rsidP="00C020C5"/>
    <w:p w14:paraId="542E1866" w14:textId="77777777" w:rsidR="00020441" w:rsidRPr="007E63A2" w:rsidRDefault="00020441"/>
    <w:p w14:paraId="076AD534" w14:textId="77777777" w:rsidR="00020441" w:rsidRPr="007E63A2" w:rsidRDefault="00020441"/>
    <w:p w14:paraId="2881DEB2" w14:textId="77777777" w:rsidR="00020441" w:rsidRPr="007E63A2" w:rsidRDefault="00020441"/>
    <w:p w14:paraId="5463D310" w14:textId="0204A9E2" w:rsidR="004C1A86" w:rsidRPr="007E63A2" w:rsidRDefault="00823DDB" w:rsidP="00FE3166">
      <w:pPr>
        <w:pStyle w:val="TDC1"/>
        <w:tabs>
          <w:tab w:val="right" w:leader="dot" w:pos="9142"/>
        </w:tabs>
        <w:rPr>
          <w:b/>
          <w:bCs/>
          <w:noProof w:val="0"/>
          <w:sz w:val="40"/>
          <w:lang w:val="es-419"/>
        </w:rPr>
      </w:pPr>
      <w:r w:rsidRPr="007E63A2">
        <w:rPr>
          <w:b/>
          <w:bCs/>
          <w:noProof w:val="0"/>
          <w:sz w:val="40"/>
          <w:lang w:val="es-419"/>
        </w:rPr>
        <w:t>Por la cual se modifican las Resoluciones CREG 174 de 2021 y CREG 101 072 de 2025 y se dicta</w:t>
      </w:r>
      <w:r w:rsidR="009A5ABD" w:rsidRPr="007E63A2">
        <w:rPr>
          <w:b/>
          <w:bCs/>
          <w:noProof w:val="0"/>
          <w:sz w:val="40"/>
          <w:lang w:val="es-419"/>
        </w:rPr>
        <w:t>n otras</w:t>
      </w:r>
      <w:r w:rsidRPr="007E63A2">
        <w:rPr>
          <w:b/>
          <w:bCs/>
          <w:noProof w:val="0"/>
          <w:sz w:val="40"/>
          <w:lang w:val="es-419"/>
        </w:rPr>
        <w:t xml:space="preserve"> disposiciones</w:t>
      </w:r>
    </w:p>
    <w:p w14:paraId="225D9AAA" w14:textId="77777777" w:rsidR="00020441" w:rsidRPr="007E63A2" w:rsidRDefault="00020441">
      <w:pPr>
        <w:pStyle w:val="TDC1"/>
        <w:tabs>
          <w:tab w:val="clear" w:pos="480"/>
          <w:tab w:val="clear" w:pos="8828"/>
          <w:tab w:val="right" w:leader="dot" w:pos="9142"/>
        </w:tabs>
        <w:spacing w:before="0"/>
        <w:jc w:val="left"/>
        <w:rPr>
          <w:noProof w:val="0"/>
          <w:szCs w:val="20"/>
          <w:lang w:val="es-419"/>
        </w:rPr>
      </w:pPr>
    </w:p>
    <w:p w14:paraId="7C03369C" w14:textId="77777777" w:rsidR="00020441" w:rsidRPr="007E63A2" w:rsidRDefault="00020441"/>
    <w:p w14:paraId="2252EA1F" w14:textId="77777777" w:rsidR="00020441" w:rsidRPr="007E63A2" w:rsidRDefault="00020441"/>
    <w:p w14:paraId="461F36C7" w14:textId="77777777" w:rsidR="00020441" w:rsidRPr="007E63A2" w:rsidRDefault="00020441"/>
    <w:p w14:paraId="6B74FDCF" w14:textId="77777777" w:rsidR="008525C1" w:rsidRPr="007E63A2" w:rsidRDefault="008525C1"/>
    <w:p w14:paraId="36854197" w14:textId="77777777" w:rsidR="00020441" w:rsidRPr="007E63A2" w:rsidRDefault="00020441"/>
    <w:p w14:paraId="158CEFEB" w14:textId="497007AC" w:rsidR="00A97D25" w:rsidRPr="007E63A2" w:rsidRDefault="00A97D25" w:rsidP="00A97D25">
      <w:pPr>
        <w:rPr>
          <w:b/>
          <w:caps/>
          <w:sz w:val="36"/>
        </w:rPr>
      </w:pPr>
      <w:r w:rsidRPr="007E63A2">
        <w:rPr>
          <w:b/>
          <w:caps/>
          <w:sz w:val="28"/>
        </w:rPr>
        <w:t xml:space="preserve">DOCUMENTO </w:t>
      </w:r>
      <w:r w:rsidRPr="007E63A2">
        <w:rPr>
          <w:b/>
          <w:caps/>
          <w:sz w:val="40"/>
        </w:rPr>
        <w:t>CREG-</w:t>
      </w:r>
      <w:r w:rsidRPr="007E63A2">
        <w:rPr>
          <w:rFonts w:cs="Arial"/>
          <w:b/>
          <w:bCs/>
          <w:sz w:val="40"/>
          <w:szCs w:val="40"/>
        </w:rPr>
        <w:fldChar w:fldCharType="begin"/>
      </w:r>
      <w:r w:rsidRPr="007E63A2">
        <w:rPr>
          <w:rFonts w:cs="Arial"/>
          <w:b/>
          <w:bCs/>
          <w:sz w:val="40"/>
          <w:szCs w:val="40"/>
        </w:rPr>
        <w:instrText xml:space="preserve"> MERGEFIELD  Consecutivo  \* MERGEFORMAT </w:instrText>
      </w:r>
      <w:r w:rsidRPr="007E63A2">
        <w:rPr>
          <w:rFonts w:cs="Arial"/>
          <w:b/>
          <w:bCs/>
          <w:sz w:val="40"/>
          <w:szCs w:val="40"/>
        </w:rPr>
        <w:fldChar w:fldCharType="separate"/>
      </w:r>
      <w:r w:rsidRPr="007E63A2">
        <w:rPr>
          <w:rFonts w:cs="Arial"/>
          <w:b/>
          <w:bCs/>
          <w:sz w:val="40"/>
          <w:szCs w:val="40"/>
        </w:rPr>
        <w:t>901 286</w:t>
      </w:r>
      <w:r w:rsidRPr="007E63A2">
        <w:rPr>
          <w:rFonts w:cs="Arial"/>
          <w:b/>
          <w:bCs/>
          <w:sz w:val="40"/>
          <w:szCs w:val="40"/>
        </w:rPr>
        <w:fldChar w:fldCharType="end"/>
      </w:r>
    </w:p>
    <w:p w14:paraId="42BC8726" w14:textId="32FCA9E5" w:rsidR="00020441" w:rsidRPr="007E63A2" w:rsidRDefault="00A97D25" w:rsidP="00A97D25">
      <w:pPr>
        <w:pStyle w:val="TDC1"/>
        <w:tabs>
          <w:tab w:val="clear" w:pos="480"/>
          <w:tab w:val="clear" w:pos="8828"/>
        </w:tabs>
        <w:spacing w:before="0"/>
        <w:rPr>
          <w:noProof w:val="0"/>
          <w:szCs w:val="20"/>
          <w:lang w:val="es-419"/>
        </w:rPr>
      </w:pPr>
      <w:r w:rsidRPr="007E63A2">
        <w:rPr>
          <w:rFonts w:cs="Arial"/>
          <w:b/>
          <w:bCs/>
          <w:noProof w:val="0"/>
          <w:sz w:val="28"/>
          <w:szCs w:val="28"/>
          <w:lang w:val="es-419"/>
        </w:rPr>
        <w:fldChar w:fldCharType="begin"/>
      </w:r>
      <w:r w:rsidRPr="007E63A2">
        <w:rPr>
          <w:rFonts w:cs="Arial"/>
          <w:b/>
          <w:bCs/>
          <w:noProof w:val="0"/>
          <w:sz w:val="28"/>
          <w:szCs w:val="28"/>
          <w:lang w:val="es-419"/>
        </w:rPr>
        <w:instrText xml:space="preserve"> MERGEFIELD  Fecha  \* MERGEFORMAT </w:instrText>
      </w:r>
      <w:r w:rsidRPr="007E63A2">
        <w:rPr>
          <w:rFonts w:cs="Arial"/>
          <w:b/>
          <w:bCs/>
          <w:noProof w:val="0"/>
          <w:sz w:val="28"/>
          <w:szCs w:val="28"/>
          <w:lang w:val="es-419"/>
        </w:rPr>
        <w:fldChar w:fldCharType="separate"/>
      </w:r>
      <w:r w:rsidR="005B28B4" w:rsidRPr="007E63A2">
        <w:rPr>
          <w:rFonts w:cs="Arial"/>
          <w:b/>
          <w:bCs/>
          <w:noProof w:val="0"/>
          <w:sz w:val="28"/>
          <w:szCs w:val="28"/>
          <w:lang w:val="es-419"/>
        </w:rPr>
        <w:t>30 de octubre de 2025</w:t>
      </w:r>
      <w:r w:rsidRPr="007E63A2">
        <w:rPr>
          <w:rFonts w:cs="Arial"/>
          <w:b/>
          <w:bCs/>
          <w:noProof w:val="0"/>
          <w:sz w:val="28"/>
          <w:szCs w:val="28"/>
          <w:lang w:val="es-419"/>
        </w:rPr>
        <w:fldChar w:fldCharType="end"/>
      </w:r>
    </w:p>
    <w:tbl>
      <w:tblPr>
        <w:tblW w:w="0" w:type="auto"/>
        <w:tblInd w:w="4956" w:type="dxa"/>
        <w:tblCellMar>
          <w:left w:w="70" w:type="dxa"/>
          <w:right w:w="70" w:type="dxa"/>
        </w:tblCellMar>
        <w:tblLook w:val="0000" w:firstRow="0" w:lastRow="0" w:firstColumn="0" w:lastColumn="0" w:noHBand="0" w:noVBand="0"/>
      </w:tblPr>
      <w:tblGrid>
        <w:gridCol w:w="3884"/>
      </w:tblGrid>
      <w:tr w:rsidR="00020441" w:rsidRPr="007E63A2" w14:paraId="5605E53A" w14:textId="77777777" w:rsidTr="008525C1">
        <w:tc>
          <w:tcPr>
            <w:tcW w:w="3884" w:type="dxa"/>
          </w:tcPr>
          <w:p w14:paraId="177F53F6" w14:textId="77777777" w:rsidR="0077100C" w:rsidRPr="007E63A2" w:rsidRDefault="0077100C">
            <w:pPr>
              <w:jc w:val="left"/>
              <w:rPr>
                <w:b/>
                <w:bCs/>
              </w:rPr>
            </w:pPr>
          </w:p>
          <w:p w14:paraId="0AC4BEF7" w14:textId="77777777" w:rsidR="0077100C" w:rsidRPr="007E63A2" w:rsidRDefault="0077100C">
            <w:pPr>
              <w:jc w:val="left"/>
              <w:rPr>
                <w:b/>
                <w:bCs/>
              </w:rPr>
            </w:pPr>
          </w:p>
          <w:p w14:paraId="38DECA5B" w14:textId="77777777" w:rsidR="00020441" w:rsidRPr="007E63A2" w:rsidRDefault="00020441">
            <w:pPr>
              <w:jc w:val="left"/>
              <w:rPr>
                <w:b/>
                <w:bCs/>
              </w:rPr>
            </w:pPr>
            <w:r w:rsidRPr="007E63A2">
              <w:rPr>
                <w:b/>
                <w:bCs/>
              </w:rPr>
              <w:t>CIRCULACIÓN:</w:t>
            </w:r>
          </w:p>
        </w:tc>
      </w:tr>
      <w:tr w:rsidR="00020441" w:rsidRPr="007E63A2" w14:paraId="67D6E149" w14:textId="77777777" w:rsidTr="008525C1">
        <w:tc>
          <w:tcPr>
            <w:tcW w:w="3884" w:type="dxa"/>
          </w:tcPr>
          <w:p w14:paraId="3B37D443" w14:textId="77777777" w:rsidR="00020441" w:rsidRPr="007E63A2" w:rsidRDefault="00020441">
            <w:pPr>
              <w:jc w:val="left"/>
              <w:rPr>
                <w:b/>
                <w:bCs/>
              </w:rPr>
            </w:pPr>
            <w:r w:rsidRPr="007E63A2">
              <w:rPr>
                <w:b/>
                <w:bCs/>
              </w:rPr>
              <w:t>MIEMBROS DE LA COMISIÓN DE</w:t>
            </w:r>
          </w:p>
        </w:tc>
      </w:tr>
      <w:tr w:rsidR="00020441" w:rsidRPr="007E63A2" w14:paraId="05FEC10E" w14:textId="77777777" w:rsidTr="008525C1">
        <w:tc>
          <w:tcPr>
            <w:tcW w:w="3884" w:type="dxa"/>
          </w:tcPr>
          <w:p w14:paraId="398D8A48" w14:textId="4F031323" w:rsidR="00020441" w:rsidRPr="007E63A2" w:rsidRDefault="00020441">
            <w:pPr>
              <w:tabs>
                <w:tab w:val="left" w:pos="4606"/>
                <w:tab w:val="left" w:pos="9142"/>
              </w:tabs>
              <w:jc w:val="left"/>
              <w:rPr>
                <w:b/>
                <w:bCs/>
              </w:rPr>
            </w:pPr>
            <w:r w:rsidRPr="007E63A2">
              <w:rPr>
                <w:b/>
                <w:bCs/>
              </w:rPr>
              <w:t>REGULACIÓN DE ENERGÍA Y GAS</w:t>
            </w:r>
          </w:p>
        </w:tc>
      </w:tr>
    </w:tbl>
    <w:p w14:paraId="27A2A15B" w14:textId="77777777" w:rsidR="009A5ABD" w:rsidRPr="007E63A2" w:rsidRDefault="00020441">
      <w:pPr>
        <w:jc w:val="left"/>
      </w:pPr>
      <w:r w:rsidRPr="007E63A2">
        <w:br w:type="page"/>
      </w:r>
    </w:p>
    <w:sdt>
      <w:sdtPr>
        <w:rPr>
          <w:rFonts w:ascii="Arial" w:eastAsia="Times New Roman" w:hAnsi="Arial" w:cs="Times New Roman"/>
          <w:color w:val="auto"/>
          <w:sz w:val="24"/>
          <w:szCs w:val="20"/>
          <w:lang w:val="es-419" w:eastAsia="es-ES"/>
        </w:rPr>
        <w:id w:val="554207851"/>
        <w:docPartObj>
          <w:docPartGallery w:val="Table of Contents"/>
          <w:docPartUnique/>
        </w:docPartObj>
      </w:sdtPr>
      <w:sdtEndPr>
        <w:rPr>
          <w:b/>
          <w:bCs/>
        </w:rPr>
      </w:sdtEndPr>
      <w:sdtContent>
        <w:p w14:paraId="03F6D449" w14:textId="1C332605" w:rsidR="009A5ABD" w:rsidRPr="007E63A2" w:rsidRDefault="009A5ABD">
          <w:pPr>
            <w:pStyle w:val="TtuloTDC"/>
            <w:rPr>
              <w:rFonts w:asciiTheme="minorBidi" w:hAnsiTheme="minorBidi" w:cstheme="minorBidi"/>
              <w:color w:val="auto"/>
              <w:lang w:val="es-419"/>
            </w:rPr>
          </w:pPr>
          <w:r w:rsidRPr="007E63A2">
            <w:rPr>
              <w:rFonts w:asciiTheme="minorBidi" w:hAnsiTheme="minorBidi" w:cstheme="minorBidi"/>
              <w:color w:val="auto"/>
              <w:lang w:val="es-419"/>
            </w:rPr>
            <w:t>Contenido</w:t>
          </w:r>
        </w:p>
        <w:p w14:paraId="0B29D47A" w14:textId="60609CF1" w:rsidR="0054249C" w:rsidRDefault="009A5ABD">
          <w:pPr>
            <w:pStyle w:val="TDC1"/>
            <w:rPr>
              <w:rFonts w:asciiTheme="minorHAnsi" w:eastAsiaTheme="minorEastAsia" w:hAnsiTheme="minorHAnsi" w:cstheme="minorBidi"/>
              <w:kern w:val="2"/>
              <w:lang w:val="es-CO" w:eastAsia="es-CO"/>
              <w14:ligatures w14:val="standardContextual"/>
            </w:rPr>
          </w:pPr>
          <w:r w:rsidRPr="007E63A2">
            <w:rPr>
              <w:rFonts w:asciiTheme="minorBidi" w:hAnsiTheme="minorBidi" w:cstheme="minorBidi"/>
              <w:noProof w:val="0"/>
              <w:lang w:val="es-419"/>
            </w:rPr>
            <w:fldChar w:fldCharType="begin"/>
          </w:r>
          <w:r w:rsidRPr="007E63A2">
            <w:rPr>
              <w:rFonts w:asciiTheme="minorBidi" w:hAnsiTheme="minorBidi" w:cstheme="minorBidi"/>
              <w:noProof w:val="0"/>
              <w:lang w:val="es-419"/>
            </w:rPr>
            <w:instrText xml:space="preserve"> TOC \o "1-3" \h \z \u </w:instrText>
          </w:r>
          <w:r w:rsidRPr="007E63A2">
            <w:rPr>
              <w:rFonts w:asciiTheme="minorBidi" w:hAnsiTheme="minorBidi" w:cstheme="minorBidi"/>
              <w:noProof w:val="0"/>
              <w:lang w:val="es-419"/>
            </w:rPr>
            <w:fldChar w:fldCharType="separate"/>
          </w:r>
          <w:hyperlink w:anchor="_Toc212219318" w:history="1">
            <w:r w:rsidR="0054249C" w:rsidRPr="001875ED">
              <w:rPr>
                <w:rStyle w:val="Hipervnculo"/>
              </w:rPr>
              <w:t>1.</w:t>
            </w:r>
            <w:r w:rsidR="0054249C">
              <w:rPr>
                <w:rFonts w:asciiTheme="minorHAnsi" w:eastAsiaTheme="minorEastAsia" w:hAnsiTheme="minorHAnsi" w:cstheme="minorBidi"/>
                <w:kern w:val="2"/>
                <w:lang w:val="es-CO" w:eastAsia="es-CO"/>
                <w14:ligatures w14:val="standardContextual"/>
              </w:rPr>
              <w:tab/>
            </w:r>
            <w:r w:rsidR="0054249C" w:rsidRPr="001875ED">
              <w:rPr>
                <w:rStyle w:val="Hipervnculo"/>
              </w:rPr>
              <w:t>INFORMACIÓN GENERAL</w:t>
            </w:r>
            <w:r w:rsidR="0054249C">
              <w:rPr>
                <w:webHidden/>
              </w:rPr>
              <w:tab/>
            </w:r>
            <w:r w:rsidR="0054249C">
              <w:rPr>
                <w:webHidden/>
              </w:rPr>
              <w:fldChar w:fldCharType="begin"/>
            </w:r>
            <w:r w:rsidR="0054249C">
              <w:rPr>
                <w:webHidden/>
              </w:rPr>
              <w:instrText xml:space="preserve"> PAGEREF _Toc212219318 \h </w:instrText>
            </w:r>
            <w:r w:rsidR="0054249C">
              <w:rPr>
                <w:webHidden/>
              </w:rPr>
            </w:r>
            <w:r w:rsidR="0054249C">
              <w:rPr>
                <w:webHidden/>
              </w:rPr>
              <w:fldChar w:fldCharType="separate"/>
            </w:r>
            <w:r w:rsidR="0054249C">
              <w:rPr>
                <w:webHidden/>
              </w:rPr>
              <w:t>4</w:t>
            </w:r>
            <w:r w:rsidR="0054249C">
              <w:rPr>
                <w:webHidden/>
              </w:rPr>
              <w:fldChar w:fldCharType="end"/>
            </w:r>
          </w:hyperlink>
        </w:p>
        <w:p w14:paraId="5EC91646" w14:textId="28DFE817" w:rsidR="0054249C" w:rsidRDefault="0054249C">
          <w:pPr>
            <w:pStyle w:val="TDC1"/>
            <w:rPr>
              <w:rFonts w:asciiTheme="minorHAnsi" w:eastAsiaTheme="minorEastAsia" w:hAnsiTheme="minorHAnsi" w:cstheme="minorBidi"/>
              <w:kern w:val="2"/>
              <w:lang w:val="es-CO" w:eastAsia="es-CO"/>
              <w14:ligatures w14:val="standardContextual"/>
            </w:rPr>
          </w:pPr>
          <w:hyperlink w:anchor="_Toc212219319" w:history="1">
            <w:r w:rsidRPr="001875ED">
              <w:rPr>
                <w:rStyle w:val="Hipervnculo"/>
              </w:rPr>
              <w:t>2.</w:t>
            </w:r>
            <w:r>
              <w:rPr>
                <w:rFonts w:asciiTheme="minorHAnsi" w:eastAsiaTheme="minorEastAsia" w:hAnsiTheme="minorHAnsi" w:cstheme="minorBidi"/>
                <w:kern w:val="2"/>
                <w:lang w:val="es-CO" w:eastAsia="es-CO"/>
                <w14:ligatures w14:val="standardContextual"/>
              </w:rPr>
              <w:tab/>
            </w:r>
            <w:r w:rsidRPr="001875ED">
              <w:rPr>
                <w:rStyle w:val="Hipervnculo"/>
              </w:rPr>
              <w:t>ANTECEDENTES Y DIAGNÓSTICO</w:t>
            </w:r>
            <w:r>
              <w:rPr>
                <w:webHidden/>
              </w:rPr>
              <w:tab/>
            </w:r>
            <w:r>
              <w:rPr>
                <w:webHidden/>
              </w:rPr>
              <w:fldChar w:fldCharType="begin"/>
            </w:r>
            <w:r>
              <w:rPr>
                <w:webHidden/>
              </w:rPr>
              <w:instrText xml:space="preserve"> PAGEREF _Toc212219319 \h </w:instrText>
            </w:r>
            <w:r>
              <w:rPr>
                <w:webHidden/>
              </w:rPr>
            </w:r>
            <w:r>
              <w:rPr>
                <w:webHidden/>
              </w:rPr>
              <w:fldChar w:fldCharType="separate"/>
            </w:r>
            <w:r>
              <w:rPr>
                <w:webHidden/>
              </w:rPr>
              <w:t>4</w:t>
            </w:r>
            <w:r>
              <w:rPr>
                <w:webHidden/>
              </w:rPr>
              <w:fldChar w:fldCharType="end"/>
            </w:r>
          </w:hyperlink>
        </w:p>
        <w:p w14:paraId="63685FFB" w14:textId="55E1FBED"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20" w:history="1">
            <w:r w:rsidRPr="001875ED">
              <w:rPr>
                <w:rStyle w:val="Hipervnculo"/>
              </w:rPr>
              <w:t>2.1</w:t>
            </w:r>
            <w:r>
              <w:rPr>
                <w:rFonts w:asciiTheme="minorHAnsi" w:eastAsiaTheme="minorEastAsia" w:hAnsiTheme="minorHAnsi" w:cstheme="minorBidi"/>
                <w:kern w:val="2"/>
                <w:lang w:val="es-CO" w:eastAsia="es-CO"/>
                <w14:ligatures w14:val="standardContextual"/>
              </w:rPr>
              <w:tab/>
            </w:r>
            <w:r w:rsidRPr="001875ED">
              <w:rPr>
                <w:rStyle w:val="Hipervnculo"/>
              </w:rPr>
              <w:t>Traslado de compras de AGPE, GD, AC y GDC el usuario regulado a través del componente de Generación</w:t>
            </w:r>
            <w:r>
              <w:rPr>
                <w:webHidden/>
              </w:rPr>
              <w:tab/>
            </w:r>
            <w:r>
              <w:rPr>
                <w:webHidden/>
              </w:rPr>
              <w:fldChar w:fldCharType="begin"/>
            </w:r>
            <w:r>
              <w:rPr>
                <w:webHidden/>
              </w:rPr>
              <w:instrText xml:space="preserve"> PAGEREF _Toc212219320 \h </w:instrText>
            </w:r>
            <w:r>
              <w:rPr>
                <w:webHidden/>
              </w:rPr>
            </w:r>
            <w:r>
              <w:rPr>
                <w:webHidden/>
              </w:rPr>
              <w:fldChar w:fldCharType="separate"/>
            </w:r>
            <w:r>
              <w:rPr>
                <w:webHidden/>
              </w:rPr>
              <w:t>4</w:t>
            </w:r>
            <w:r>
              <w:rPr>
                <w:webHidden/>
              </w:rPr>
              <w:fldChar w:fldCharType="end"/>
            </w:r>
          </w:hyperlink>
        </w:p>
        <w:p w14:paraId="3637173F" w14:textId="34F711B8"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21" w:history="1">
            <w:r w:rsidRPr="001875ED">
              <w:rPr>
                <w:rStyle w:val="Hipervnculo"/>
              </w:rPr>
              <w:t>2.2</w:t>
            </w:r>
            <w:r>
              <w:rPr>
                <w:rFonts w:asciiTheme="minorHAnsi" w:eastAsiaTheme="minorEastAsia" w:hAnsiTheme="minorHAnsi" w:cstheme="minorBidi"/>
                <w:kern w:val="2"/>
                <w:lang w:val="es-CO" w:eastAsia="es-CO"/>
                <w14:ligatures w14:val="standardContextual"/>
              </w:rPr>
              <w:tab/>
            </w:r>
            <w:r w:rsidRPr="001875ED">
              <w:rPr>
                <w:rStyle w:val="Hipervnculo"/>
              </w:rPr>
              <w:t>Caso de borde. Balance negativo entre la demanda agregada y los usuarios AGPE de un comercializador no integrado con el OR</w:t>
            </w:r>
            <w:r>
              <w:rPr>
                <w:webHidden/>
              </w:rPr>
              <w:tab/>
            </w:r>
            <w:r>
              <w:rPr>
                <w:webHidden/>
              </w:rPr>
              <w:fldChar w:fldCharType="begin"/>
            </w:r>
            <w:r>
              <w:rPr>
                <w:webHidden/>
              </w:rPr>
              <w:instrText xml:space="preserve"> PAGEREF _Toc212219321 \h </w:instrText>
            </w:r>
            <w:r>
              <w:rPr>
                <w:webHidden/>
              </w:rPr>
            </w:r>
            <w:r>
              <w:rPr>
                <w:webHidden/>
              </w:rPr>
              <w:fldChar w:fldCharType="separate"/>
            </w:r>
            <w:r>
              <w:rPr>
                <w:webHidden/>
              </w:rPr>
              <w:t>8</w:t>
            </w:r>
            <w:r>
              <w:rPr>
                <w:webHidden/>
              </w:rPr>
              <w:fldChar w:fldCharType="end"/>
            </w:r>
          </w:hyperlink>
        </w:p>
        <w:p w14:paraId="7A839769" w14:textId="25EBDA4D"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22" w:history="1">
            <w:r w:rsidRPr="001875ED">
              <w:rPr>
                <w:rStyle w:val="Hipervnculo"/>
              </w:rPr>
              <w:t>2.3</w:t>
            </w:r>
            <w:r>
              <w:rPr>
                <w:rFonts w:asciiTheme="minorHAnsi" w:eastAsiaTheme="minorEastAsia" w:hAnsiTheme="minorHAnsi" w:cstheme="minorBidi"/>
                <w:kern w:val="2"/>
                <w:lang w:val="es-CO" w:eastAsia="es-CO"/>
                <w14:ligatures w14:val="standardContextual"/>
              </w:rPr>
              <w:tab/>
            </w:r>
            <w:r w:rsidRPr="001875ED">
              <w:rPr>
                <w:rStyle w:val="Hipervnculo"/>
              </w:rPr>
              <w:t>Reglas para el procedimiento de conexión de las comunidades energéticas</w:t>
            </w:r>
            <w:r>
              <w:rPr>
                <w:webHidden/>
              </w:rPr>
              <w:tab/>
            </w:r>
            <w:r>
              <w:rPr>
                <w:webHidden/>
              </w:rPr>
              <w:fldChar w:fldCharType="begin"/>
            </w:r>
            <w:r>
              <w:rPr>
                <w:webHidden/>
              </w:rPr>
              <w:instrText xml:space="preserve"> PAGEREF _Toc212219322 \h </w:instrText>
            </w:r>
            <w:r>
              <w:rPr>
                <w:webHidden/>
              </w:rPr>
            </w:r>
            <w:r>
              <w:rPr>
                <w:webHidden/>
              </w:rPr>
              <w:fldChar w:fldCharType="separate"/>
            </w:r>
            <w:r>
              <w:rPr>
                <w:webHidden/>
              </w:rPr>
              <w:t>10</w:t>
            </w:r>
            <w:r>
              <w:rPr>
                <w:webHidden/>
              </w:rPr>
              <w:fldChar w:fldCharType="end"/>
            </w:r>
          </w:hyperlink>
        </w:p>
        <w:p w14:paraId="25549AF2" w14:textId="185F5D59"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23" w:history="1">
            <w:r w:rsidRPr="001875ED">
              <w:rPr>
                <w:rStyle w:val="Hipervnculo"/>
                <w:lang w:eastAsia="es-CO"/>
              </w:rPr>
              <w:t>2.4</w:t>
            </w:r>
            <w:r>
              <w:rPr>
                <w:rFonts w:asciiTheme="minorHAnsi" w:eastAsiaTheme="minorEastAsia" w:hAnsiTheme="minorHAnsi" w:cstheme="minorBidi"/>
                <w:kern w:val="2"/>
                <w:lang w:val="es-CO" w:eastAsia="es-CO"/>
                <w14:ligatures w14:val="standardContextual"/>
              </w:rPr>
              <w:tab/>
            </w:r>
            <w:r w:rsidRPr="001875ED">
              <w:rPr>
                <w:rStyle w:val="Hipervnculo"/>
                <w:lang w:eastAsia="es-CO"/>
              </w:rPr>
              <w:t>Comunidades energéticas con energía proveniente de combustibles renovables y recursos energéticos distribuidos.</w:t>
            </w:r>
            <w:r>
              <w:rPr>
                <w:webHidden/>
              </w:rPr>
              <w:tab/>
            </w:r>
            <w:r>
              <w:rPr>
                <w:webHidden/>
              </w:rPr>
              <w:fldChar w:fldCharType="begin"/>
            </w:r>
            <w:r>
              <w:rPr>
                <w:webHidden/>
              </w:rPr>
              <w:instrText xml:space="preserve"> PAGEREF _Toc212219323 \h </w:instrText>
            </w:r>
            <w:r>
              <w:rPr>
                <w:webHidden/>
              </w:rPr>
            </w:r>
            <w:r>
              <w:rPr>
                <w:webHidden/>
              </w:rPr>
              <w:fldChar w:fldCharType="separate"/>
            </w:r>
            <w:r>
              <w:rPr>
                <w:webHidden/>
              </w:rPr>
              <w:t>11</w:t>
            </w:r>
            <w:r>
              <w:rPr>
                <w:webHidden/>
              </w:rPr>
              <w:fldChar w:fldCharType="end"/>
            </w:r>
          </w:hyperlink>
        </w:p>
        <w:p w14:paraId="39C8FCDF" w14:textId="40DBC5B7"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24" w:history="1">
            <w:r w:rsidRPr="001875ED">
              <w:rPr>
                <w:rStyle w:val="Hipervnculo"/>
                <w:lang w:eastAsia="es-CO"/>
              </w:rPr>
              <w:t>2.5</w:t>
            </w:r>
            <w:r>
              <w:rPr>
                <w:rFonts w:asciiTheme="minorHAnsi" w:eastAsiaTheme="minorEastAsia" w:hAnsiTheme="minorHAnsi" w:cstheme="minorBidi"/>
                <w:kern w:val="2"/>
                <w:lang w:val="es-CO" w:eastAsia="es-CO"/>
                <w14:ligatures w14:val="standardContextual"/>
              </w:rPr>
              <w:tab/>
            </w:r>
            <w:r w:rsidRPr="001875ED">
              <w:rPr>
                <w:rStyle w:val="Hipervnculo"/>
                <w:lang w:eastAsia="es-CO"/>
              </w:rPr>
              <w:t>Asistencia de la CREG a “Conversación Andesco - Comunidades Energéticas”</w:t>
            </w:r>
            <w:r>
              <w:rPr>
                <w:webHidden/>
              </w:rPr>
              <w:tab/>
            </w:r>
            <w:r>
              <w:rPr>
                <w:webHidden/>
              </w:rPr>
              <w:fldChar w:fldCharType="begin"/>
            </w:r>
            <w:r>
              <w:rPr>
                <w:webHidden/>
              </w:rPr>
              <w:instrText xml:space="preserve"> PAGEREF _Toc212219324 \h </w:instrText>
            </w:r>
            <w:r>
              <w:rPr>
                <w:webHidden/>
              </w:rPr>
            </w:r>
            <w:r>
              <w:rPr>
                <w:webHidden/>
              </w:rPr>
              <w:fldChar w:fldCharType="separate"/>
            </w:r>
            <w:r>
              <w:rPr>
                <w:webHidden/>
              </w:rPr>
              <w:t>12</w:t>
            </w:r>
            <w:r>
              <w:rPr>
                <w:webHidden/>
              </w:rPr>
              <w:fldChar w:fldCharType="end"/>
            </w:r>
          </w:hyperlink>
        </w:p>
        <w:p w14:paraId="6E99D15F" w14:textId="17D5DC3A"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25" w:history="1">
            <w:r w:rsidRPr="001875ED">
              <w:rPr>
                <w:rStyle w:val="Hipervnculo"/>
                <w:lang w:eastAsia="es-CO"/>
              </w:rPr>
              <w:t>2.6</w:t>
            </w:r>
            <w:r>
              <w:rPr>
                <w:rFonts w:asciiTheme="minorHAnsi" w:eastAsiaTheme="minorEastAsia" w:hAnsiTheme="minorHAnsi" w:cstheme="minorBidi"/>
                <w:kern w:val="2"/>
                <w:lang w:val="es-CO" w:eastAsia="es-CO"/>
                <w14:ligatures w14:val="standardContextual"/>
              </w:rPr>
              <w:tab/>
            </w:r>
            <w:r w:rsidRPr="001875ED">
              <w:rPr>
                <w:rStyle w:val="Hipervnculo"/>
                <w:lang w:eastAsia="es-CO"/>
              </w:rPr>
              <w:t>Solicitud de concepto CAC – Radicado CREG E2025007967</w:t>
            </w:r>
            <w:r>
              <w:rPr>
                <w:webHidden/>
              </w:rPr>
              <w:tab/>
            </w:r>
            <w:r>
              <w:rPr>
                <w:webHidden/>
              </w:rPr>
              <w:fldChar w:fldCharType="begin"/>
            </w:r>
            <w:r>
              <w:rPr>
                <w:webHidden/>
              </w:rPr>
              <w:instrText xml:space="preserve"> PAGEREF _Toc212219325 \h </w:instrText>
            </w:r>
            <w:r>
              <w:rPr>
                <w:webHidden/>
              </w:rPr>
            </w:r>
            <w:r>
              <w:rPr>
                <w:webHidden/>
              </w:rPr>
              <w:fldChar w:fldCharType="separate"/>
            </w:r>
            <w:r>
              <w:rPr>
                <w:webHidden/>
              </w:rPr>
              <w:t>14</w:t>
            </w:r>
            <w:r>
              <w:rPr>
                <w:webHidden/>
              </w:rPr>
              <w:fldChar w:fldCharType="end"/>
            </w:r>
          </w:hyperlink>
        </w:p>
        <w:p w14:paraId="1E022BF7" w14:textId="5F2004FE" w:rsidR="0054249C" w:rsidRDefault="0054249C">
          <w:pPr>
            <w:pStyle w:val="TDC1"/>
            <w:rPr>
              <w:rFonts w:asciiTheme="minorHAnsi" w:eastAsiaTheme="minorEastAsia" w:hAnsiTheme="minorHAnsi" w:cstheme="minorBidi"/>
              <w:kern w:val="2"/>
              <w:lang w:val="es-CO" w:eastAsia="es-CO"/>
              <w14:ligatures w14:val="standardContextual"/>
            </w:rPr>
          </w:pPr>
          <w:hyperlink w:anchor="_Toc212219326" w:history="1">
            <w:r w:rsidRPr="001875ED">
              <w:rPr>
                <w:rStyle w:val="Hipervnculo"/>
              </w:rPr>
              <w:t>3.</w:t>
            </w:r>
            <w:r>
              <w:rPr>
                <w:rFonts w:asciiTheme="minorHAnsi" w:eastAsiaTheme="minorEastAsia" w:hAnsiTheme="minorHAnsi" w:cstheme="minorBidi"/>
                <w:kern w:val="2"/>
                <w:lang w:val="es-CO" w:eastAsia="es-CO"/>
                <w14:ligatures w14:val="standardContextual"/>
              </w:rPr>
              <w:tab/>
            </w:r>
            <w:r w:rsidRPr="001875ED">
              <w:rPr>
                <w:rStyle w:val="Hipervnculo"/>
              </w:rPr>
              <w:t>PROBLEMA, CAUSAS y CONSECUENCIAS</w:t>
            </w:r>
            <w:r>
              <w:rPr>
                <w:webHidden/>
              </w:rPr>
              <w:tab/>
            </w:r>
            <w:r>
              <w:rPr>
                <w:webHidden/>
              </w:rPr>
              <w:fldChar w:fldCharType="begin"/>
            </w:r>
            <w:r>
              <w:rPr>
                <w:webHidden/>
              </w:rPr>
              <w:instrText xml:space="preserve"> PAGEREF _Toc212219326 \h </w:instrText>
            </w:r>
            <w:r>
              <w:rPr>
                <w:webHidden/>
              </w:rPr>
            </w:r>
            <w:r>
              <w:rPr>
                <w:webHidden/>
              </w:rPr>
              <w:fldChar w:fldCharType="separate"/>
            </w:r>
            <w:r>
              <w:rPr>
                <w:webHidden/>
              </w:rPr>
              <w:t>16</w:t>
            </w:r>
            <w:r>
              <w:rPr>
                <w:webHidden/>
              </w:rPr>
              <w:fldChar w:fldCharType="end"/>
            </w:r>
          </w:hyperlink>
        </w:p>
        <w:p w14:paraId="545D5F59" w14:textId="5CE74A3D"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27" w:history="1">
            <w:r w:rsidRPr="001875ED">
              <w:rPr>
                <w:rStyle w:val="Hipervnculo"/>
              </w:rPr>
              <w:t>3.1</w:t>
            </w:r>
            <w:r>
              <w:rPr>
                <w:rFonts w:asciiTheme="minorHAnsi" w:eastAsiaTheme="minorEastAsia" w:hAnsiTheme="minorHAnsi" w:cstheme="minorBidi"/>
                <w:kern w:val="2"/>
                <w:lang w:val="es-CO" w:eastAsia="es-CO"/>
                <w14:ligatures w14:val="standardContextual"/>
              </w:rPr>
              <w:tab/>
            </w:r>
            <w:r w:rsidRPr="001875ED">
              <w:rPr>
                <w:rStyle w:val="Hipervnculo"/>
              </w:rPr>
              <w:t>Traslado de compras de AGPE, GD, AC y GDC el usuario regulado a través del componente de Generación</w:t>
            </w:r>
            <w:r>
              <w:rPr>
                <w:webHidden/>
              </w:rPr>
              <w:tab/>
            </w:r>
            <w:r>
              <w:rPr>
                <w:webHidden/>
              </w:rPr>
              <w:fldChar w:fldCharType="begin"/>
            </w:r>
            <w:r>
              <w:rPr>
                <w:webHidden/>
              </w:rPr>
              <w:instrText xml:space="preserve"> PAGEREF _Toc212219327 \h </w:instrText>
            </w:r>
            <w:r>
              <w:rPr>
                <w:webHidden/>
              </w:rPr>
            </w:r>
            <w:r>
              <w:rPr>
                <w:webHidden/>
              </w:rPr>
              <w:fldChar w:fldCharType="separate"/>
            </w:r>
            <w:r>
              <w:rPr>
                <w:webHidden/>
              </w:rPr>
              <w:t>16</w:t>
            </w:r>
            <w:r>
              <w:rPr>
                <w:webHidden/>
              </w:rPr>
              <w:fldChar w:fldCharType="end"/>
            </w:r>
          </w:hyperlink>
        </w:p>
        <w:p w14:paraId="1D1FB127" w14:textId="22EFE406"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28" w:history="1">
            <w:r w:rsidRPr="001875ED">
              <w:rPr>
                <w:rStyle w:val="Hipervnculo"/>
              </w:rPr>
              <w:t>3.2</w:t>
            </w:r>
            <w:r>
              <w:rPr>
                <w:rFonts w:asciiTheme="minorHAnsi" w:eastAsiaTheme="minorEastAsia" w:hAnsiTheme="minorHAnsi" w:cstheme="minorBidi"/>
                <w:kern w:val="2"/>
                <w:lang w:val="es-CO" w:eastAsia="es-CO"/>
                <w14:ligatures w14:val="standardContextual"/>
              </w:rPr>
              <w:tab/>
            </w:r>
            <w:r w:rsidRPr="001875ED">
              <w:rPr>
                <w:rStyle w:val="Hipervnculo"/>
              </w:rPr>
              <w:t>Caso de borde. Balance negativo entre la demanda agregada y los usuarios AGPE de un comercializador no integrado con el OR</w:t>
            </w:r>
            <w:r>
              <w:rPr>
                <w:webHidden/>
              </w:rPr>
              <w:tab/>
            </w:r>
            <w:r>
              <w:rPr>
                <w:webHidden/>
              </w:rPr>
              <w:fldChar w:fldCharType="begin"/>
            </w:r>
            <w:r>
              <w:rPr>
                <w:webHidden/>
              </w:rPr>
              <w:instrText xml:space="preserve"> PAGEREF _Toc212219328 \h </w:instrText>
            </w:r>
            <w:r>
              <w:rPr>
                <w:webHidden/>
              </w:rPr>
            </w:r>
            <w:r>
              <w:rPr>
                <w:webHidden/>
              </w:rPr>
              <w:fldChar w:fldCharType="separate"/>
            </w:r>
            <w:r>
              <w:rPr>
                <w:webHidden/>
              </w:rPr>
              <w:t>17</w:t>
            </w:r>
            <w:r>
              <w:rPr>
                <w:webHidden/>
              </w:rPr>
              <w:fldChar w:fldCharType="end"/>
            </w:r>
          </w:hyperlink>
        </w:p>
        <w:p w14:paraId="63DBD425" w14:textId="19DF332E"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29" w:history="1">
            <w:r w:rsidRPr="001875ED">
              <w:rPr>
                <w:rStyle w:val="Hipervnculo"/>
              </w:rPr>
              <w:t>3.3</w:t>
            </w:r>
            <w:r>
              <w:rPr>
                <w:rFonts w:asciiTheme="minorHAnsi" w:eastAsiaTheme="minorEastAsia" w:hAnsiTheme="minorHAnsi" w:cstheme="minorBidi"/>
                <w:kern w:val="2"/>
                <w:lang w:val="es-CO" w:eastAsia="es-CO"/>
                <w14:ligatures w14:val="standardContextual"/>
              </w:rPr>
              <w:tab/>
            </w:r>
            <w:r w:rsidRPr="001875ED">
              <w:rPr>
                <w:rStyle w:val="Hipervnculo"/>
              </w:rPr>
              <w:t>Reglas para el procedimiento de conexión de las comunidades energéticas</w:t>
            </w:r>
            <w:r>
              <w:rPr>
                <w:webHidden/>
              </w:rPr>
              <w:tab/>
            </w:r>
            <w:r>
              <w:rPr>
                <w:webHidden/>
              </w:rPr>
              <w:fldChar w:fldCharType="begin"/>
            </w:r>
            <w:r>
              <w:rPr>
                <w:webHidden/>
              </w:rPr>
              <w:instrText xml:space="preserve"> PAGEREF _Toc212219329 \h </w:instrText>
            </w:r>
            <w:r>
              <w:rPr>
                <w:webHidden/>
              </w:rPr>
            </w:r>
            <w:r>
              <w:rPr>
                <w:webHidden/>
              </w:rPr>
              <w:fldChar w:fldCharType="separate"/>
            </w:r>
            <w:r>
              <w:rPr>
                <w:webHidden/>
              </w:rPr>
              <w:t>18</w:t>
            </w:r>
            <w:r>
              <w:rPr>
                <w:webHidden/>
              </w:rPr>
              <w:fldChar w:fldCharType="end"/>
            </w:r>
          </w:hyperlink>
        </w:p>
        <w:p w14:paraId="03668B60" w14:textId="00F896FB"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30" w:history="1">
            <w:r w:rsidRPr="001875ED">
              <w:rPr>
                <w:rStyle w:val="Hipervnculo"/>
                <w:lang w:eastAsia="es-CO"/>
              </w:rPr>
              <w:t>3.4</w:t>
            </w:r>
            <w:r>
              <w:rPr>
                <w:rFonts w:asciiTheme="minorHAnsi" w:eastAsiaTheme="minorEastAsia" w:hAnsiTheme="minorHAnsi" w:cstheme="minorBidi"/>
                <w:kern w:val="2"/>
                <w:lang w:val="es-CO" w:eastAsia="es-CO"/>
                <w14:ligatures w14:val="standardContextual"/>
              </w:rPr>
              <w:tab/>
            </w:r>
            <w:r w:rsidRPr="001875ED">
              <w:rPr>
                <w:rStyle w:val="Hipervnculo"/>
                <w:lang w:eastAsia="es-CO"/>
              </w:rPr>
              <w:t>Comunidades energéticas con energía proveniente de combustibles renovables y recursos energéticos distribuidos.</w:t>
            </w:r>
            <w:r>
              <w:rPr>
                <w:webHidden/>
              </w:rPr>
              <w:tab/>
            </w:r>
            <w:r>
              <w:rPr>
                <w:webHidden/>
              </w:rPr>
              <w:fldChar w:fldCharType="begin"/>
            </w:r>
            <w:r>
              <w:rPr>
                <w:webHidden/>
              </w:rPr>
              <w:instrText xml:space="preserve"> PAGEREF _Toc212219330 \h </w:instrText>
            </w:r>
            <w:r>
              <w:rPr>
                <w:webHidden/>
              </w:rPr>
            </w:r>
            <w:r>
              <w:rPr>
                <w:webHidden/>
              </w:rPr>
              <w:fldChar w:fldCharType="separate"/>
            </w:r>
            <w:r>
              <w:rPr>
                <w:webHidden/>
              </w:rPr>
              <w:t>18</w:t>
            </w:r>
            <w:r>
              <w:rPr>
                <w:webHidden/>
              </w:rPr>
              <w:fldChar w:fldCharType="end"/>
            </w:r>
          </w:hyperlink>
        </w:p>
        <w:p w14:paraId="0FFDA5FD" w14:textId="2AA2FF44"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31" w:history="1">
            <w:r w:rsidRPr="001875ED">
              <w:rPr>
                <w:rStyle w:val="Hipervnculo"/>
                <w:lang w:eastAsia="es-CO"/>
              </w:rPr>
              <w:t>3.5</w:t>
            </w:r>
            <w:r>
              <w:rPr>
                <w:rFonts w:asciiTheme="minorHAnsi" w:eastAsiaTheme="minorEastAsia" w:hAnsiTheme="minorHAnsi" w:cstheme="minorBidi"/>
                <w:kern w:val="2"/>
                <w:lang w:val="es-CO" w:eastAsia="es-CO"/>
                <w14:ligatures w14:val="standardContextual"/>
              </w:rPr>
              <w:tab/>
            </w:r>
            <w:r w:rsidRPr="001875ED">
              <w:rPr>
                <w:rStyle w:val="Hipervnculo"/>
                <w:lang w:eastAsia="es-CO"/>
              </w:rPr>
              <w:t>Solicitud de concepto CAC – Radicado CREG E2025007967</w:t>
            </w:r>
            <w:r>
              <w:rPr>
                <w:webHidden/>
              </w:rPr>
              <w:tab/>
            </w:r>
            <w:r>
              <w:rPr>
                <w:webHidden/>
              </w:rPr>
              <w:fldChar w:fldCharType="begin"/>
            </w:r>
            <w:r>
              <w:rPr>
                <w:webHidden/>
              </w:rPr>
              <w:instrText xml:space="preserve"> PAGEREF _Toc212219331 \h </w:instrText>
            </w:r>
            <w:r>
              <w:rPr>
                <w:webHidden/>
              </w:rPr>
            </w:r>
            <w:r>
              <w:rPr>
                <w:webHidden/>
              </w:rPr>
              <w:fldChar w:fldCharType="separate"/>
            </w:r>
            <w:r>
              <w:rPr>
                <w:webHidden/>
              </w:rPr>
              <w:t>19</w:t>
            </w:r>
            <w:r>
              <w:rPr>
                <w:webHidden/>
              </w:rPr>
              <w:fldChar w:fldCharType="end"/>
            </w:r>
          </w:hyperlink>
        </w:p>
        <w:p w14:paraId="10D592A9" w14:textId="6A9374B5" w:rsidR="0054249C" w:rsidRDefault="0054249C">
          <w:pPr>
            <w:pStyle w:val="TDC1"/>
            <w:rPr>
              <w:rFonts w:asciiTheme="minorHAnsi" w:eastAsiaTheme="minorEastAsia" w:hAnsiTheme="minorHAnsi" w:cstheme="minorBidi"/>
              <w:kern w:val="2"/>
              <w:lang w:val="es-CO" w:eastAsia="es-CO"/>
              <w14:ligatures w14:val="standardContextual"/>
            </w:rPr>
          </w:pPr>
          <w:hyperlink w:anchor="_Toc212219332" w:history="1">
            <w:r w:rsidRPr="001875ED">
              <w:rPr>
                <w:rStyle w:val="Hipervnculo"/>
              </w:rPr>
              <w:t>4.</w:t>
            </w:r>
            <w:r>
              <w:rPr>
                <w:rFonts w:asciiTheme="minorHAnsi" w:eastAsiaTheme="minorEastAsia" w:hAnsiTheme="minorHAnsi" w:cstheme="minorBidi"/>
                <w:kern w:val="2"/>
                <w:lang w:val="es-CO" w:eastAsia="es-CO"/>
                <w14:ligatures w14:val="standardContextual"/>
              </w:rPr>
              <w:tab/>
            </w:r>
            <w:r w:rsidRPr="001875ED">
              <w:rPr>
                <w:rStyle w:val="Hipervnculo"/>
              </w:rPr>
              <w:t>OBJETIVOS</w:t>
            </w:r>
            <w:r>
              <w:rPr>
                <w:webHidden/>
              </w:rPr>
              <w:tab/>
            </w:r>
            <w:r>
              <w:rPr>
                <w:webHidden/>
              </w:rPr>
              <w:fldChar w:fldCharType="begin"/>
            </w:r>
            <w:r>
              <w:rPr>
                <w:webHidden/>
              </w:rPr>
              <w:instrText xml:space="preserve"> PAGEREF _Toc212219332 \h </w:instrText>
            </w:r>
            <w:r>
              <w:rPr>
                <w:webHidden/>
              </w:rPr>
            </w:r>
            <w:r>
              <w:rPr>
                <w:webHidden/>
              </w:rPr>
              <w:fldChar w:fldCharType="separate"/>
            </w:r>
            <w:r>
              <w:rPr>
                <w:webHidden/>
              </w:rPr>
              <w:t>19</w:t>
            </w:r>
            <w:r>
              <w:rPr>
                <w:webHidden/>
              </w:rPr>
              <w:fldChar w:fldCharType="end"/>
            </w:r>
          </w:hyperlink>
        </w:p>
        <w:p w14:paraId="6C681643" w14:textId="00AF8360" w:rsidR="0054249C" w:rsidRDefault="0054249C">
          <w:pPr>
            <w:pStyle w:val="TDC1"/>
            <w:rPr>
              <w:rFonts w:asciiTheme="minorHAnsi" w:eastAsiaTheme="minorEastAsia" w:hAnsiTheme="minorHAnsi" w:cstheme="minorBidi"/>
              <w:kern w:val="2"/>
              <w:lang w:val="es-CO" w:eastAsia="es-CO"/>
              <w14:ligatures w14:val="standardContextual"/>
            </w:rPr>
          </w:pPr>
          <w:hyperlink w:anchor="_Toc212219333" w:history="1">
            <w:r w:rsidRPr="001875ED">
              <w:rPr>
                <w:rStyle w:val="Hipervnculo"/>
              </w:rPr>
              <w:t>5.</w:t>
            </w:r>
            <w:r>
              <w:rPr>
                <w:rFonts w:asciiTheme="minorHAnsi" w:eastAsiaTheme="minorEastAsia" w:hAnsiTheme="minorHAnsi" w:cstheme="minorBidi"/>
                <w:kern w:val="2"/>
                <w:lang w:val="es-CO" w:eastAsia="es-CO"/>
                <w14:ligatures w14:val="standardContextual"/>
              </w:rPr>
              <w:tab/>
            </w:r>
            <w:r w:rsidRPr="001875ED">
              <w:rPr>
                <w:rStyle w:val="Hipervnculo"/>
              </w:rPr>
              <w:t>ALTERNATIVAS</w:t>
            </w:r>
            <w:r>
              <w:rPr>
                <w:webHidden/>
              </w:rPr>
              <w:tab/>
            </w:r>
            <w:r>
              <w:rPr>
                <w:webHidden/>
              </w:rPr>
              <w:fldChar w:fldCharType="begin"/>
            </w:r>
            <w:r>
              <w:rPr>
                <w:webHidden/>
              </w:rPr>
              <w:instrText xml:space="preserve"> PAGEREF _Toc212219333 \h </w:instrText>
            </w:r>
            <w:r>
              <w:rPr>
                <w:webHidden/>
              </w:rPr>
            </w:r>
            <w:r>
              <w:rPr>
                <w:webHidden/>
              </w:rPr>
              <w:fldChar w:fldCharType="separate"/>
            </w:r>
            <w:r>
              <w:rPr>
                <w:webHidden/>
              </w:rPr>
              <w:t>20</w:t>
            </w:r>
            <w:r>
              <w:rPr>
                <w:webHidden/>
              </w:rPr>
              <w:fldChar w:fldCharType="end"/>
            </w:r>
          </w:hyperlink>
        </w:p>
        <w:p w14:paraId="702B035F" w14:textId="51A37F6C" w:rsidR="0054249C" w:rsidRDefault="0054249C">
          <w:pPr>
            <w:pStyle w:val="TDC1"/>
            <w:rPr>
              <w:rFonts w:asciiTheme="minorHAnsi" w:eastAsiaTheme="minorEastAsia" w:hAnsiTheme="minorHAnsi" w:cstheme="minorBidi"/>
              <w:kern w:val="2"/>
              <w:lang w:val="es-CO" w:eastAsia="es-CO"/>
              <w14:ligatures w14:val="standardContextual"/>
            </w:rPr>
          </w:pPr>
          <w:hyperlink w:anchor="_Toc212219334" w:history="1">
            <w:r w:rsidRPr="001875ED">
              <w:rPr>
                <w:rStyle w:val="Hipervnculo"/>
              </w:rPr>
              <w:t>6.</w:t>
            </w:r>
            <w:r>
              <w:rPr>
                <w:rFonts w:asciiTheme="minorHAnsi" w:eastAsiaTheme="minorEastAsia" w:hAnsiTheme="minorHAnsi" w:cstheme="minorBidi"/>
                <w:kern w:val="2"/>
                <w:lang w:val="es-CO" w:eastAsia="es-CO"/>
                <w14:ligatures w14:val="standardContextual"/>
              </w:rPr>
              <w:tab/>
            </w:r>
            <w:r w:rsidRPr="001875ED">
              <w:rPr>
                <w:rStyle w:val="Hipervnculo"/>
              </w:rPr>
              <w:t>SELECCIÓN DE ALTERNATIVAS PARA LA PROPUESTA</w:t>
            </w:r>
            <w:r>
              <w:rPr>
                <w:webHidden/>
              </w:rPr>
              <w:tab/>
            </w:r>
            <w:r>
              <w:rPr>
                <w:webHidden/>
              </w:rPr>
              <w:fldChar w:fldCharType="begin"/>
            </w:r>
            <w:r>
              <w:rPr>
                <w:webHidden/>
              </w:rPr>
              <w:instrText xml:space="preserve"> PAGEREF _Toc212219334 \h </w:instrText>
            </w:r>
            <w:r>
              <w:rPr>
                <w:webHidden/>
              </w:rPr>
            </w:r>
            <w:r>
              <w:rPr>
                <w:webHidden/>
              </w:rPr>
              <w:fldChar w:fldCharType="separate"/>
            </w:r>
            <w:r>
              <w:rPr>
                <w:webHidden/>
              </w:rPr>
              <w:t>22</w:t>
            </w:r>
            <w:r>
              <w:rPr>
                <w:webHidden/>
              </w:rPr>
              <w:fldChar w:fldCharType="end"/>
            </w:r>
          </w:hyperlink>
        </w:p>
        <w:p w14:paraId="3D2D373E" w14:textId="549D74DB" w:rsidR="0054249C" w:rsidRDefault="0054249C">
          <w:pPr>
            <w:pStyle w:val="TDC1"/>
            <w:rPr>
              <w:rFonts w:asciiTheme="minorHAnsi" w:eastAsiaTheme="minorEastAsia" w:hAnsiTheme="minorHAnsi" w:cstheme="minorBidi"/>
              <w:kern w:val="2"/>
              <w:lang w:val="es-CO" w:eastAsia="es-CO"/>
              <w14:ligatures w14:val="standardContextual"/>
            </w:rPr>
          </w:pPr>
          <w:hyperlink w:anchor="_Toc212219335" w:history="1">
            <w:r w:rsidRPr="001875ED">
              <w:rPr>
                <w:rStyle w:val="Hipervnculo"/>
              </w:rPr>
              <w:t>7.</w:t>
            </w:r>
            <w:r>
              <w:rPr>
                <w:rFonts w:asciiTheme="minorHAnsi" w:eastAsiaTheme="minorEastAsia" w:hAnsiTheme="minorHAnsi" w:cstheme="minorBidi"/>
                <w:kern w:val="2"/>
                <w:lang w:val="es-CO" w:eastAsia="es-CO"/>
                <w14:ligatures w14:val="standardContextual"/>
              </w:rPr>
              <w:tab/>
            </w:r>
            <w:r w:rsidRPr="001875ED">
              <w:rPr>
                <w:rStyle w:val="Hipervnculo"/>
              </w:rPr>
              <w:t>CONSULTA PÚBLICA</w:t>
            </w:r>
            <w:r>
              <w:rPr>
                <w:webHidden/>
              </w:rPr>
              <w:tab/>
            </w:r>
            <w:r>
              <w:rPr>
                <w:webHidden/>
              </w:rPr>
              <w:fldChar w:fldCharType="begin"/>
            </w:r>
            <w:r>
              <w:rPr>
                <w:webHidden/>
              </w:rPr>
              <w:instrText xml:space="preserve"> PAGEREF _Toc212219335 \h </w:instrText>
            </w:r>
            <w:r>
              <w:rPr>
                <w:webHidden/>
              </w:rPr>
            </w:r>
            <w:r>
              <w:rPr>
                <w:webHidden/>
              </w:rPr>
              <w:fldChar w:fldCharType="separate"/>
            </w:r>
            <w:r>
              <w:rPr>
                <w:webHidden/>
              </w:rPr>
              <w:t>23</w:t>
            </w:r>
            <w:r>
              <w:rPr>
                <w:webHidden/>
              </w:rPr>
              <w:fldChar w:fldCharType="end"/>
            </w:r>
          </w:hyperlink>
        </w:p>
        <w:p w14:paraId="0AAD1660" w14:textId="7DE8DBBF" w:rsidR="0054249C" w:rsidRDefault="0054249C">
          <w:pPr>
            <w:pStyle w:val="TDC1"/>
            <w:rPr>
              <w:rFonts w:asciiTheme="minorHAnsi" w:eastAsiaTheme="minorEastAsia" w:hAnsiTheme="minorHAnsi" w:cstheme="minorBidi"/>
              <w:kern w:val="2"/>
              <w:lang w:val="es-CO" w:eastAsia="es-CO"/>
              <w14:ligatures w14:val="standardContextual"/>
            </w:rPr>
          </w:pPr>
          <w:hyperlink w:anchor="_Toc212219336" w:history="1">
            <w:r w:rsidRPr="001875ED">
              <w:rPr>
                <w:rStyle w:val="Hipervnculo"/>
              </w:rPr>
              <w:t>8.</w:t>
            </w:r>
            <w:r>
              <w:rPr>
                <w:rFonts w:asciiTheme="minorHAnsi" w:eastAsiaTheme="minorEastAsia" w:hAnsiTheme="minorHAnsi" w:cstheme="minorBidi"/>
                <w:kern w:val="2"/>
                <w:lang w:val="es-CO" w:eastAsia="es-CO"/>
                <w14:ligatures w14:val="standardContextual"/>
              </w:rPr>
              <w:tab/>
            </w:r>
            <w:r w:rsidRPr="001875ED">
              <w:rPr>
                <w:rStyle w:val="Hipervnculo"/>
              </w:rPr>
              <w:t>AJUSTES A LA PROPUESTA CONSULTADA</w:t>
            </w:r>
            <w:r>
              <w:rPr>
                <w:webHidden/>
              </w:rPr>
              <w:tab/>
            </w:r>
            <w:r>
              <w:rPr>
                <w:webHidden/>
              </w:rPr>
              <w:fldChar w:fldCharType="begin"/>
            </w:r>
            <w:r>
              <w:rPr>
                <w:webHidden/>
              </w:rPr>
              <w:instrText xml:space="preserve"> PAGEREF _Toc212219336 \h </w:instrText>
            </w:r>
            <w:r>
              <w:rPr>
                <w:webHidden/>
              </w:rPr>
            </w:r>
            <w:r>
              <w:rPr>
                <w:webHidden/>
              </w:rPr>
              <w:fldChar w:fldCharType="separate"/>
            </w:r>
            <w:r>
              <w:rPr>
                <w:webHidden/>
              </w:rPr>
              <w:t>24</w:t>
            </w:r>
            <w:r>
              <w:rPr>
                <w:webHidden/>
              </w:rPr>
              <w:fldChar w:fldCharType="end"/>
            </w:r>
          </w:hyperlink>
        </w:p>
        <w:p w14:paraId="2D4013FA" w14:textId="51B284C7"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37" w:history="1">
            <w:r w:rsidRPr="001875ED">
              <w:rPr>
                <w:rStyle w:val="Hipervnculo"/>
                <w:lang w:eastAsia="es-CO"/>
              </w:rPr>
              <w:t>8.1</w:t>
            </w:r>
            <w:r>
              <w:rPr>
                <w:rFonts w:asciiTheme="minorHAnsi" w:eastAsiaTheme="minorEastAsia" w:hAnsiTheme="minorHAnsi" w:cstheme="minorBidi"/>
                <w:kern w:val="2"/>
                <w:lang w:val="es-CO" w:eastAsia="es-CO"/>
                <w14:ligatures w14:val="standardContextual"/>
              </w:rPr>
              <w:tab/>
            </w:r>
            <w:r w:rsidRPr="001875ED">
              <w:rPr>
                <w:rStyle w:val="Hipervnculo"/>
                <w:lang w:eastAsia="es-CO"/>
              </w:rPr>
              <w:t>Ajuste al plazo de aplicación del traslado del costo de compras de energía al valor del Mc</w:t>
            </w:r>
            <w:r w:rsidRPr="001875ED">
              <w:rPr>
                <w:rStyle w:val="Hipervnculo"/>
                <w:vertAlign w:val="subscript"/>
                <w:lang w:eastAsia="es-CO"/>
              </w:rPr>
              <w:t>m</w:t>
            </w:r>
            <w:r w:rsidRPr="001875ED">
              <w:rPr>
                <w:rStyle w:val="Hipervnculo"/>
                <w:lang w:eastAsia="es-CO"/>
              </w:rPr>
              <w:t>.</w:t>
            </w:r>
            <w:r>
              <w:rPr>
                <w:webHidden/>
              </w:rPr>
              <w:tab/>
            </w:r>
            <w:r>
              <w:rPr>
                <w:webHidden/>
              </w:rPr>
              <w:fldChar w:fldCharType="begin"/>
            </w:r>
            <w:r>
              <w:rPr>
                <w:webHidden/>
              </w:rPr>
              <w:instrText xml:space="preserve"> PAGEREF _Toc212219337 \h </w:instrText>
            </w:r>
            <w:r>
              <w:rPr>
                <w:webHidden/>
              </w:rPr>
            </w:r>
            <w:r>
              <w:rPr>
                <w:webHidden/>
              </w:rPr>
              <w:fldChar w:fldCharType="separate"/>
            </w:r>
            <w:r>
              <w:rPr>
                <w:webHidden/>
              </w:rPr>
              <w:t>24</w:t>
            </w:r>
            <w:r>
              <w:rPr>
                <w:webHidden/>
              </w:rPr>
              <w:fldChar w:fldCharType="end"/>
            </w:r>
          </w:hyperlink>
        </w:p>
        <w:p w14:paraId="0E4B3304" w14:textId="3AFD326E"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38" w:history="1">
            <w:r w:rsidRPr="001875ED">
              <w:rPr>
                <w:rStyle w:val="Hipervnculo"/>
                <w:lang w:eastAsia="es-CO"/>
              </w:rPr>
              <w:t>8.2</w:t>
            </w:r>
            <w:r>
              <w:rPr>
                <w:rFonts w:asciiTheme="minorHAnsi" w:eastAsiaTheme="minorEastAsia" w:hAnsiTheme="minorHAnsi" w:cstheme="minorBidi"/>
                <w:kern w:val="2"/>
                <w:lang w:val="es-CO" w:eastAsia="es-CO"/>
                <w14:ligatures w14:val="standardContextual"/>
              </w:rPr>
              <w:tab/>
            </w:r>
            <w:r w:rsidRPr="001875ED">
              <w:rPr>
                <w:rStyle w:val="Hipervnculo"/>
                <w:lang w:eastAsia="es-CO"/>
              </w:rPr>
              <w:t>Ajuste al punto ii) del literal d) del numeral 2.3 del artículo 24 de la Resolución CREG 174 de 2021 incorporado por el artículo 6 de la propuesta</w:t>
            </w:r>
            <w:r>
              <w:rPr>
                <w:webHidden/>
              </w:rPr>
              <w:tab/>
            </w:r>
            <w:r>
              <w:rPr>
                <w:webHidden/>
              </w:rPr>
              <w:fldChar w:fldCharType="begin"/>
            </w:r>
            <w:r>
              <w:rPr>
                <w:webHidden/>
              </w:rPr>
              <w:instrText xml:space="preserve"> PAGEREF _Toc212219338 \h </w:instrText>
            </w:r>
            <w:r>
              <w:rPr>
                <w:webHidden/>
              </w:rPr>
            </w:r>
            <w:r>
              <w:rPr>
                <w:webHidden/>
              </w:rPr>
              <w:fldChar w:fldCharType="separate"/>
            </w:r>
            <w:r>
              <w:rPr>
                <w:webHidden/>
              </w:rPr>
              <w:t>25</w:t>
            </w:r>
            <w:r>
              <w:rPr>
                <w:webHidden/>
              </w:rPr>
              <w:fldChar w:fldCharType="end"/>
            </w:r>
          </w:hyperlink>
        </w:p>
        <w:p w14:paraId="75F0E815" w14:textId="5BFC8F15"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39" w:history="1">
            <w:r w:rsidRPr="001875ED">
              <w:rPr>
                <w:rStyle w:val="Hipervnculo"/>
              </w:rPr>
              <w:t>8.3</w:t>
            </w:r>
            <w:r>
              <w:rPr>
                <w:rFonts w:asciiTheme="minorHAnsi" w:eastAsiaTheme="minorEastAsia" w:hAnsiTheme="minorHAnsi" w:cstheme="minorBidi"/>
                <w:kern w:val="2"/>
                <w:lang w:val="es-CO" w:eastAsia="es-CO"/>
                <w14:ligatures w14:val="standardContextual"/>
              </w:rPr>
              <w:tab/>
            </w:r>
            <w:r w:rsidRPr="001875ED">
              <w:rPr>
                <w:rStyle w:val="Hipervnculo"/>
                <w:lang w:eastAsia="es-CO"/>
              </w:rPr>
              <w:t>Incorporación de un plazo para aplicar los ajustes propuestos en los artículos 6 al 11 de la propuesta</w:t>
            </w:r>
            <w:r>
              <w:rPr>
                <w:webHidden/>
              </w:rPr>
              <w:tab/>
            </w:r>
            <w:r>
              <w:rPr>
                <w:webHidden/>
              </w:rPr>
              <w:fldChar w:fldCharType="begin"/>
            </w:r>
            <w:r>
              <w:rPr>
                <w:webHidden/>
              </w:rPr>
              <w:instrText xml:space="preserve"> PAGEREF _Toc212219339 \h </w:instrText>
            </w:r>
            <w:r>
              <w:rPr>
                <w:webHidden/>
              </w:rPr>
            </w:r>
            <w:r>
              <w:rPr>
                <w:webHidden/>
              </w:rPr>
              <w:fldChar w:fldCharType="separate"/>
            </w:r>
            <w:r>
              <w:rPr>
                <w:webHidden/>
              </w:rPr>
              <w:t>25</w:t>
            </w:r>
            <w:r>
              <w:rPr>
                <w:webHidden/>
              </w:rPr>
              <w:fldChar w:fldCharType="end"/>
            </w:r>
          </w:hyperlink>
        </w:p>
        <w:p w14:paraId="36046058" w14:textId="331A2F90" w:rsidR="0054249C" w:rsidRDefault="0054249C">
          <w:pPr>
            <w:pStyle w:val="TDC2"/>
            <w:rPr>
              <w:rFonts w:asciiTheme="minorHAnsi" w:eastAsiaTheme="minorEastAsia" w:hAnsiTheme="minorHAnsi" w:cstheme="minorBidi"/>
              <w:kern w:val="2"/>
              <w:lang w:val="es-CO" w:eastAsia="es-CO"/>
              <w14:ligatures w14:val="standardContextual"/>
            </w:rPr>
          </w:pPr>
          <w:hyperlink w:anchor="_Toc212219340" w:history="1">
            <w:r w:rsidRPr="001875ED">
              <w:rPr>
                <w:rStyle w:val="Hipervnculo"/>
              </w:rPr>
              <w:t>8.4</w:t>
            </w:r>
            <w:r>
              <w:rPr>
                <w:rFonts w:asciiTheme="minorHAnsi" w:eastAsiaTheme="minorEastAsia" w:hAnsiTheme="minorHAnsi" w:cstheme="minorBidi"/>
                <w:kern w:val="2"/>
                <w:lang w:val="es-CO" w:eastAsia="es-CO"/>
                <w14:ligatures w14:val="standardContextual"/>
              </w:rPr>
              <w:tab/>
            </w:r>
            <w:r w:rsidRPr="001875ED">
              <w:rPr>
                <w:rStyle w:val="Hipervnculo"/>
                <w:lang w:eastAsia="es-CO"/>
              </w:rPr>
              <w:t>Incorporación de una regla para la entrada en aplicación del procedimiento de conexión simplificado para GD menores a 5MW</w:t>
            </w:r>
            <w:r>
              <w:rPr>
                <w:webHidden/>
              </w:rPr>
              <w:tab/>
            </w:r>
            <w:r>
              <w:rPr>
                <w:webHidden/>
              </w:rPr>
              <w:fldChar w:fldCharType="begin"/>
            </w:r>
            <w:r>
              <w:rPr>
                <w:webHidden/>
              </w:rPr>
              <w:instrText xml:space="preserve"> PAGEREF _Toc212219340 \h </w:instrText>
            </w:r>
            <w:r>
              <w:rPr>
                <w:webHidden/>
              </w:rPr>
            </w:r>
            <w:r>
              <w:rPr>
                <w:webHidden/>
              </w:rPr>
              <w:fldChar w:fldCharType="separate"/>
            </w:r>
            <w:r>
              <w:rPr>
                <w:webHidden/>
              </w:rPr>
              <w:t>26</w:t>
            </w:r>
            <w:r>
              <w:rPr>
                <w:webHidden/>
              </w:rPr>
              <w:fldChar w:fldCharType="end"/>
            </w:r>
          </w:hyperlink>
        </w:p>
        <w:p w14:paraId="60F0ED67" w14:textId="1838FD33" w:rsidR="0054249C" w:rsidRDefault="0054249C">
          <w:pPr>
            <w:pStyle w:val="TDC1"/>
            <w:rPr>
              <w:rFonts w:asciiTheme="minorHAnsi" w:eastAsiaTheme="minorEastAsia" w:hAnsiTheme="minorHAnsi" w:cstheme="minorBidi"/>
              <w:kern w:val="2"/>
              <w:lang w:val="es-CO" w:eastAsia="es-CO"/>
              <w14:ligatures w14:val="standardContextual"/>
            </w:rPr>
          </w:pPr>
          <w:hyperlink w:anchor="_Toc212219341" w:history="1">
            <w:r w:rsidRPr="001875ED">
              <w:rPr>
                <w:rStyle w:val="Hipervnculo"/>
              </w:rPr>
              <w:t>9.</w:t>
            </w:r>
            <w:r>
              <w:rPr>
                <w:rFonts w:asciiTheme="minorHAnsi" w:eastAsiaTheme="minorEastAsia" w:hAnsiTheme="minorHAnsi" w:cstheme="minorBidi"/>
                <w:kern w:val="2"/>
                <w:lang w:val="es-CO" w:eastAsia="es-CO"/>
                <w14:ligatures w14:val="standardContextual"/>
              </w:rPr>
              <w:tab/>
            </w:r>
            <w:r w:rsidRPr="001875ED">
              <w:rPr>
                <w:rStyle w:val="Hipervnculo"/>
              </w:rPr>
              <w:t>CUESTIONARIO DE ABOGACÍA DE LA COMPETENCIA</w:t>
            </w:r>
            <w:r>
              <w:rPr>
                <w:webHidden/>
              </w:rPr>
              <w:tab/>
            </w:r>
            <w:r>
              <w:rPr>
                <w:webHidden/>
              </w:rPr>
              <w:fldChar w:fldCharType="begin"/>
            </w:r>
            <w:r>
              <w:rPr>
                <w:webHidden/>
              </w:rPr>
              <w:instrText xml:space="preserve"> PAGEREF _Toc212219341 \h </w:instrText>
            </w:r>
            <w:r>
              <w:rPr>
                <w:webHidden/>
              </w:rPr>
            </w:r>
            <w:r>
              <w:rPr>
                <w:webHidden/>
              </w:rPr>
              <w:fldChar w:fldCharType="separate"/>
            </w:r>
            <w:r>
              <w:rPr>
                <w:webHidden/>
              </w:rPr>
              <w:t>26</w:t>
            </w:r>
            <w:r>
              <w:rPr>
                <w:webHidden/>
              </w:rPr>
              <w:fldChar w:fldCharType="end"/>
            </w:r>
          </w:hyperlink>
        </w:p>
        <w:p w14:paraId="15D075AB" w14:textId="5244C6CF" w:rsidR="0054249C" w:rsidRDefault="0054249C">
          <w:pPr>
            <w:pStyle w:val="TDC1"/>
            <w:rPr>
              <w:rFonts w:asciiTheme="minorHAnsi" w:eastAsiaTheme="minorEastAsia" w:hAnsiTheme="minorHAnsi" w:cstheme="minorBidi"/>
              <w:kern w:val="2"/>
              <w:lang w:val="es-CO" w:eastAsia="es-CO"/>
              <w14:ligatures w14:val="standardContextual"/>
            </w:rPr>
          </w:pPr>
          <w:hyperlink w:anchor="_Toc212219342" w:history="1">
            <w:r w:rsidRPr="001875ED">
              <w:rPr>
                <w:rStyle w:val="Hipervnculo"/>
              </w:rPr>
              <w:t>ANEXO 1. FORMULARIO ABOGACÍA DE LA COMPETENCIA</w:t>
            </w:r>
            <w:r>
              <w:rPr>
                <w:webHidden/>
              </w:rPr>
              <w:tab/>
            </w:r>
            <w:r>
              <w:rPr>
                <w:webHidden/>
              </w:rPr>
              <w:fldChar w:fldCharType="begin"/>
            </w:r>
            <w:r>
              <w:rPr>
                <w:webHidden/>
              </w:rPr>
              <w:instrText xml:space="preserve"> PAGEREF _Toc212219342 \h </w:instrText>
            </w:r>
            <w:r>
              <w:rPr>
                <w:webHidden/>
              </w:rPr>
            </w:r>
            <w:r>
              <w:rPr>
                <w:webHidden/>
              </w:rPr>
              <w:fldChar w:fldCharType="separate"/>
            </w:r>
            <w:r>
              <w:rPr>
                <w:webHidden/>
              </w:rPr>
              <w:t>28</w:t>
            </w:r>
            <w:r>
              <w:rPr>
                <w:webHidden/>
              </w:rPr>
              <w:fldChar w:fldCharType="end"/>
            </w:r>
          </w:hyperlink>
        </w:p>
        <w:p w14:paraId="793ECE26" w14:textId="1642BEED" w:rsidR="0054249C" w:rsidRDefault="0054249C">
          <w:pPr>
            <w:pStyle w:val="TDC1"/>
            <w:rPr>
              <w:rFonts w:asciiTheme="minorHAnsi" w:eastAsiaTheme="minorEastAsia" w:hAnsiTheme="minorHAnsi" w:cstheme="minorBidi"/>
              <w:kern w:val="2"/>
              <w:lang w:val="es-CO" w:eastAsia="es-CO"/>
              <w14:ligatures w14:val="standardContextual"/>
            </w:rPr>
          </w:pPr>
          <w:hyperlink w:anchor="_Toc212219343" w:history="1">
            <w:r w:rsidRPr="001875ED">
              <w:rPr>
                <w:rStyle w:val="Hipervnculo"/>
              </w:rPr>
              <w:t>ANEXO 2. RESPUESTA A LOS COMENTARIOS DE LA RESOLUCIÓN CREG 701 097 DE 2025</w:t>
            </w:r>
            <w:r>
              <w:rPr>
                <w:webHidden/>
              </w:rPr>
              <w:tab/>
            </w:r>
            <w:r>
              <w:rPr>
                <w:webHidden/>
              </w:rPr>
              <w:fldChar w:fldCharType="begin"/>
            </w:r>
            <w:r>
              <w:rPr>
                <w:webHidden/>
              </w:rPr>
              <w:instrText xml:space="preserve"> PAGEREF _Toc212219343 \h </w:instrText>
            </w:r>
            <w:r>
              <w:rPr>
                <w:webHidden/>
              </w:rPr>
            </w:r>
            <w:r>
              <w:rPr>
                <w:webHidden/>
              </w:rPr>
              <w:fldChar w:fldCharType="separate"/>
            </w:r>
            <w:r>
              <w:rPr>
                <w:webHidden/>
              </w:rPr>
              <w:t>31</w:t>
            </w:r>
            <w:r>
              <w:rPr>
                <w:webHidden/>
              </w:rPr>
              <w:fldChar w:fldCharType="end"/>
            </w:r>
          </w:hyperlink>
        </w:p>
        <w:p w14:paraId="000E483C" w14:textId="79778E5F" w:rsidR="003B7CF7" w:rsidRPr="007E63A2" w:rsidRDefault="009A5ABD" w:rsidP="003B7CF7">
          <w:pPr>
            <w:rPr>
              <w:b/>
              <w:bCs/>
            </w:rPr>
          </w:pPr>
          <w:r w:rsidRPr="007E63A2">
            <w:rPr>
              <w:rFonts w:asciiTheme="minorBidi" w:hAnsiTheme="minorBidi" w:cstheme="minorBidi"/>
              <w:b/>
              <w:bCs/>
            </w:rPr>
            <w:fldChar w:fldCharType="end"/>
          </w:r>
        </w:p>
      </w:sdtContent>
    </w:sdt>
    <w:p w14:paraId="2C63694D" w14:textId="732225BA" w:rsidR="009A5ABD" w:rsidRPr="007E63A2" w:rsidRDefault="009A5ABD">
      <w:pPr>
        <w:jc w:val="left"/>
        <w:rPr>
          <w:b/>
        </w:rPr>
      </w:pPr>
      <w:r w:rsidRPr="007E63A2">
        <w:br w:type="page"/>
      </w:r>
    </w:p>
    <w:p w14:paraId="6924F84D" w14:textId="08FE0309" w:rsidR="00020441" w:rsidRPr="007E63A2" w:rsidRDefault="007F614C" w:rsidP="00823DDB">
      <w:pPr>
        <w:pStyle w:val="Ttulo"/>
        <w:spacing w:line="276" w:lineRule="auto"/>
      </w:pPr>
      <w:r w:rsidRPr="007E63A2">
        <w:lastRenderedPageBreak/>
        <w:t>POR LA CUAL SE MODIFICAN LAS RESOLUCIONES CREG 174 DE 2021 Y CREG 101 072 DE 2025 Y SE DICTAN OTRAS DISPOSICIONES</w:t>
      </w:r>
    </w:p>
    <w:p w14:paraId="4A56A433" w14:textId="77777777" w:rsidR="00020441" w:rsidRPr="007E63A2" w:rsidRDefault="00020441"/>
    <w:p w14:paraId="23ECCF58" w14:textId="06CC0727" w:rsidR="004C4214" w:rsidRPr="007E63A2" w:rsidRDefault="004C4214" w:rsidP="004C4214">
      <w:pPr>
        <w:pStyle w:val="Ttulo1"/>
        <w:spacing w:after="0"/>
        <w:ind w:left="431" w:hanging="431"/>
        <w:rPr>
          <w:sz w:val="22"/>
        </w:rPr>
      </w:pPr>
      <w:bookmarkStart w:id="0" w:name="_Toc212219318"/>
      <w:bookmarkStart w:id="1" w:name="_Toc494863466"/>
      <w:bookmarkStart w:id="2" w:name="_Toc506979468"/>
      <w:bookmarkStart w:id="3" w:name="_Toc41901972"/>
      <w:r w:rsidRPr="007E63A2">
        <w:rPr>
          <w:sz w:val="22"/>
        </w:rPr>
        <w:t>INFORMACIÓN GENERAL</w:t>
      </w:r>
      <w:bookmarkEnd w:id="0"/>
    </w:p>
    <w:p w14:paraId="5D295C46" w14:textId="77777777" w:rsidR="004C4214" w:rsidRPr="007E63A2" w:rsidRDefault="004C4214" w:rsidP="004C4214"/>
    <w:p w14:paraId="0D2F948E" w14:textId="470FA5B5" w:rsidR="00B60AC7" w:rsidRPr="007E63A2" w:rsidRDefault="00B60AC7" w:rsidP="006B6490">
      <w:pPr>
        <w:spacing w:line="276" w:lineRule="auto"/>
      </w:pPr>
      <w:r w:rsidRPr="007E63A2">
        <w:t xml:space="preserve">La Comisión de Regulación de Energía y </w:t>
      </w:r>
      <w:r w:rsidR="000A4472" w:rsidRPr="007E63A2">
        <w:t>Gas (CREG) expid</w:t>
      </w:r>
      <w:r w:rsidR="00E653CC" w:rsidRPr="007E63A2">
        <w:t>ió las Resoluciones CREG 174 de 2021</w:t>
      </w:r>
      <w:r w:rsidR="000A020D" w:rsidRPr="007E63A2">
        <w:t xml:space="preserve"> “</w:t>
      </w:r>
      <w:r w:rsidR="000A020D" w:rsidRPr="007E63A2">
        <w:rPr>
          <w:i/>
          <w:iCs/>
        </w:rPr>
        <w:t>Por la cual se regulan las actividades de autogeneración a pequeña escala y de generación distribuida en el Sistema Interconectado Nacional</w:t>
      </w:r>
      <w:r w:rsidR="000A020D" w:rsidRPr="007E63A2">
        <w:t>”</w:t>
      </w:r>
      <w:r w:rsidR="00E653CC" w:rsidRPr="007E63A2">
        <w:t xml:space="preserve"> y CREG 101 072 de 2025</w:t>
      </w:r>
      <w:r w:rsidR="00E648FC" w:rsidRPr="007E63A2">
        <w:t xml:space="preserve"> “</w:t>
      </w:r>
      <w:r w:rsidR="00E648FC" w:rsidRPr="007E63A2">
        <w:rPr>
          <w:i/>
          <w:iCs/>
        </w:rPr>
        <w:t>Por la cual se armoniza la regulación para la integración de las comunidades energéticas al Sistema Energético Nacional y se dictan otras disposiciones</w:t>
      </w:r>
      <w:r w:rsidR="00E648FC" w:rsidRPr="007E63A2">
        <w:t xml:space="preserve">” </w:t>
      </w:r>
      <w:r w:rsidR="00BE3671" w:rsidRPr="007E63A2">
        <w:t xml:space="preserve">donde se establecieron las reglas para la incorporación </w:t>
      </w:r>
      <w:r w:rsidR="00E61BBE" w:rsidRPr="007E63A2">
        <w:t>de los autogeneradores a pequeña escala (AGPE) y generadores distribuidos (GD) al sistema eléctrico colombiano y la armonización para permitir la entrada de</w:t>
      </w:r>
      <w:r w:rsidR="00225284" w:rsidRPr="007E63A2">
        <w:t xml:space="preserve"> las comunidades energéticas al sistema entendidos como autogenerador colectivo</w:t>
      </w:r>
      <w:r w:rsidR="00823DDB" w:rsidRPr="007E63A2">
        <w:t xml:space="preserve"> (AC)</w:t>
      </w:r>
      <w:r w:rsidR="00225284" w:rsidRPr="007E63A2">
        <w:t xml:space="preserve"> y </w:t>
      </w:r>
      <w:r w:rsidR="0003199E" w:rsidRPr="007E63A2">
        <w:t>generador distribuido colectivo (GD</w:t>
      </w:r>
      <w:r w:rsidR="00823DDB" w:rsidRPr="007E63A2">
        <w:t>C</w:t>
      </w:r>
      <w:r w:rsidR="0003199E" w:rsidRPr="007E63A2">
        <w:t>).</w:t>
      </w:r>
    </w:p>
    <w:p w14:paraId="0CF14587" w14:textId="77777777" w:rsidR="0003199E" w:rsidRPr="007E63A2" w:rsidRDefault="0003199E" w:rsidP="006B6490">
      <w:pPr>
        <w:spacing w:line="276" w:lineRule="auto"/>
      </w:pPr>
    </w:p>
    <w:p w14:paraId="7FEA602A" w14:textId="4AA2246F" w:rsidR="0003199E" w:rsidRPr="007E63A2" w:rsidRDefault="0003199E" w:rsidP="0003199E">
      <w:pPr>
        <w:pStyle w:val="Ttulo1"/>
        <w:spacing w:after="0"/>
        <w:ind w:left="431" w:hanging="431"/>
        <w:rPr>
          <w:sz w:val="22"/>
        </w:rPr>
      </w:pPr>
      <w:bookmarkStart w:id="4" w:name="_Toc212219319"/>
      <w:r w:rsidRPr="007E63A2">
        <w:rPr>
          <w:sz w:val="22"/>
        </w:rPr>
        <w:t>ANTECEDENTES</w:t>
      </w:r>
      <w:r w:rsidR="0026362D" w:rsidRPr="007E63A2">
        <w:rPr>
          <w:sz w:val="22"/>
        </w:rPr>
        <w:t xml:space="preserve"> Y DIAGNÓSTICO</w:t>
      </w:r>
      <w:bookmarkEnd w:id="4"/>
    </w:p>
    <w:p w14:paraId="69DDE83F" w14:textId="77777777" w:rsidR="00B60AC7" w:rsidRPr="007E63A2" w:rsidRDefault="00B60AC7" w:rsidP="006B6490">
      <w:pPr>
        <w:spacing w:line="276" w:lineRule="auto"/>
      </w:pPr>
    </w:p>
    <w:p w14:paraId="739EBB44" w14:textId="38F61149" w:rsidR="000E7FFA" w:rsidRPr="007E63A2" w:rsidRDefault="000E7FFA" w:rsidP="000E7FFA">
      <w:pPr>
        <w:pStyle w:val="Ttulo2"/>
      </w:pPr>
      <w:bookmarkStart w:id="5" w:name="_Toc212219320"/>
      <w:r w:rsidRPr="007E63A2">
        <w:t>Traslado de compras de AGPE, GD, AC y GDC el usuario regulado a través del componente de Generación</w:t>
      </w:r>
      <w:bookmarkEnd w:id="5"/>
    </w:p>
    <w:p w14:paraId="44EE2C08" w14:textId="797AB5D6" w:rsidR="00715BDD" w:rsidRPr="007E63A2" w:rsidRDefault="00715BDD" w:rsidP="006B6490">
      <w:pPr>
        <w:spacing w:line="276" w:lineRule="auto"/>
      </w:pPr>
      <w:r w:rsidRPr="007E63A2">
        <w:t>A través de la Resolución CREG 174 de 2021</w:t>
      </w:r>
      <w:r w:rsidR="00F41DD6" w:rsidRPr="007E63A2">
        <w:t xml:space="preserve"> la Comisión de Regulación de Energía y Gas (CREG) </w:t>
      </w:r>
      <w:r w:rsidR="00A343C9" w:rsidRPr="007E63A2">
        <w:t>reguló las actividades de autogeneración a pequeña escala y de generación distribuida en el Sistema Interconectado Nacional</w:t>
      </w:r>
      <w:r w:rsidR="00610BA4" w:rsidRPr="007E63A2">
        <w:t xml:space="preserve">. Dentro de dichas reglas estableció, entre otras cosas, </w:t>
      </w:r>
      <w:r w:rsidR="00FD5626" w:rsidRPr="007E63A2">
        <w:t>las siguientes definiciones:</w:t>
      </w:r>
    </w:p>
    <w:p w14:paraId="4E3C50D9" w14:textId="77777777" w:rsidR="00FD5626" w:rsidRPr="007E63A2" w:rsidRDefault="00FD5626" w:rsidP="006B6490">
      <w:pPr>
        <w:spacing w:line="276" w:lineRule="auto"/>
      </w:pPr>
    </w:p>
    <w:p w14:paraId="5D0BB69E" w14:textId="44806491" w:rsidR="00FD5626" w:rsidRPr="007E63A2" w:rsidRDefault="00500ED6" w:rsidP="006B6490">
      <w:pPr>
        <w:spacing w:line="276" w:lineRule="auto"/>
        <w:ind w:left="708" w:firstLine="2"/>
      </w:pPr>
      <w:r w:rsidRPr="007E63A2">
        <w:rPr>
          <w:b/>
          <w:bCs/>
        </w:rPr>
        <w:t>Crédito de energía.</w:t>
      </w:r>
      <w:r w:rsidRPr="007E63A2">
        <w:t xml:space="preserve"> Cantidad de excedentes de energía entregados a la red por un AGPE con FNCER, que se permuta contra la importación de energía que éste realice durante un período de facturación.</w:t>
      </w:r>
    </w:p>
    <w:p w14:paraId="4B7ADB8F" w14:textId="77777777" w:rsidR="00500ED6" w:rsidRPr="007E63A2" w:rsidRDefault="00500ED6" w:rsidP="006B6490">
      <w:pPr>
        <w:spacing w:line="276" w:lineRule="auto"/>
      </w:pPr>
    </w:p>
    <w:p w14:paraId="686ABF45" w14:textId="0B3D29FC" w:rsidR="00500ED6" w:rsidRPr="007E63A2" w:rsidRDefault="00500ED6" w:rsidP="006B6490">
      <w:pPr>
        <w:spacing w:line="276" w:lineRule="auto"/>
        <w:ind w:left="708"/>
      </w:pPr>
      <w:r w:rsidRPr="007E63A2">
        <w:rPr>
          <w:b/>
          <w:bCs/>
        </w:rPr>
        <w:t>Excedentes de energía.</w:t>
      </w:r>
      <w:r w:rsidRPr="007E63A2">
        <w:t xml:space="preserve"> Toda entrega de energía eléctrica a la red realizada por un autogenerador, expresada en kWh.</w:t>
      </w:r>
    </w:p>
    <w:p w14:paraId="23708A2E" w14:textId="25C93219" w:rsidR="00610BA4" w:rsidRPr="007E63A2" w:rsidRDefault="00610BA4" w:rsidP="006B6490">
      <w:pPr>
        <w:spacing w:line="276" w:lineRule="auto"/>
      </w:pPr>
    </w:p>
    <w:p w14:paraId="6B4F50DA" w14:textId="59C252E5" w:rsidR="00251F5B" w:rsidRPr="007E63A2" w:rsidRDefault="00251F5B" w:rsidP="006B6490">
      <w:pPr>
        <w:spacing w:line="276" w:lineRule="auto"/>
      </w:pPr>
      <w:r w:rsidRPr="007E63A2">
        <w:t>Así mismo, estableció que:</w:t>
      </w:r>
    </w:p>
    <w:p w14:paraId="19250BCA" w14:textId="77777777" w:rsidR="00251F5B" w:rsidRPr="007E63A2" w:rsidRDefault="00251F5B" w:rsidP="006B6490">
      <w:pPr>
        <w:spacing w:line="276" w:lineRule="auto"/>
      </w:pPr>
    </w:p>
    <w:p w14:paraId="27A33B07" w14:textId="385D46DF" w:rsidR="00251F5B" w:rsidRPr="007E63A2" w:rsidRDefault="00227CD6" w:rsidP="004747D9">
      <w:pPr>
        <w:pStyle w:val="Prrafodelista"/>
        <w:numPr>
          <w:ilvl w:val="0"/>
          <w:numId w:val="17"/>
        </w:numPr>
        <w:spacing w:line="276" w:lineRule="auto"/>
        <w:jc w:val="both"/>
        <w:rPr>
          <w:rFonts w:ascii="Arial" w:eastAsia="Times New Roman" w:hAnsi="Arial" w:cs="Times New Roman"/>
          <w:kern w:val="0"/>
          <w:szCs w:val="20"/>
          <w:lang w:eastAsia="es-ES"/>
          <w14:ligatures w14:val="none"/>
        </w:rPr>
      </w:pPr>
      <w:r w:rsidRPr="007E63A2">
        <w:rPr>
          <w:rFonts w:ascii="Arial" w:eastAsia="Times New Roman" w:hAnsi="Arial" w:cs="Times New Roman"/>
          <w:kern w:val="0"/>
          <w:szCs w:val="20"/>
          <w:lang w:eastAsia="es-ES"/>
          <w14:ligatures w14:val="none"/>
        </w:rPr>
        <w:t xml:space="preserve">Como una de las </w:t>
      </w:r>
      <w:r w:rsidR="00532B97" w:rsidRPr="007E63A2">
        <w:rPr>
          <w:rFonts w:ascii="Arial" w:eastAsia="Times New Roman" w:hAnsi="Arial" w:cs="Times New Roman"/>
          <w:kern w:val="0"/>
          <w:szCs w:val="20"/>
          <w:lang w:eastAsia="es-ES"/>
          <w14:ligatures w14:val="none"/>
        </w:rPr>
        <w:t xml:space="preserve">alternativas de comercialización </w:t>
      </w:r>
      <w:r w:rsidR="00311067" w:rsidRPr="007E63A2">
        <w:rPr>
          <w:rFonts w:ascii="Arial" w:eastAsia="Times New Roman" w:hAnsi="Arial" w:cs="Times New Roman"/>
          <w:kern w:val="0"/>
          <w:szCs w:val="20"/>
          <w:lang w:eastAsia="es-ES"/>
          <w14:ligatures w14:val="none"/>
        </w:rPr>
        <w:t xml:space="preserve">de la </w:t>
      </w:r>
      <w:r w:rsidRPr="007E63A2">
        <w:rPr>
          <w:rFonts w:ascii="Arial" w:eastAsia="Times New Roman" w:hAnsi="Arial" w:cs="Times New Roman"/>
          <w:kern w:val="0"/>
          <w:szCs w:val="20"/>
          <w:lang w:eastAsia="es-ES"/>
          <w14:ligatures w14:val="none"/>
        </w:rPr>
        <w:t>generación distribuida conforme al artículo 22</w:t>
      </w:r>
      <w:r w:rsidR="002932F8" w:rsidRPr="007E63A2">
        <w:rPr>
          <w:rFonts w:ascii="Arial" w:eastAsia="Times New Roman" w:hAnsi="Arial" w:cs="Times New Roman"/>
          <w:kern w:val="0"/>
          <w:szCs w:val="20"/>
          <w:lang w:eastAsia="es-ES"/>
          <w14:ligatures w14:val="none"/>
        </w:rPr>
        <w:t xml:space="preserve">, se estableció que puede vender directamente al comercializador integrado con el OR, el cual </w:t>
      </w:r>
      <w:r w:rsidR="00B63720" w:rsidRPr="007E63A2">
        <w:rPr>
          <w:rFonts w:ascii="Arial" w:eastAsia="Times New Roman" w:hAnsi="Arial" w:cs="Times New Roman"/>
          <w:kern w:val="0"/>
          <w:szCs w:val="20"/>
          <w:lang w:eastAsia="es-ES"/>
          <w14:ligatures w14:val="none"/>
        </w:rPr>
        <w:t>está</w:t>
      </w:r>
      <w:r w:rsidR="002932F8" w:rsidRPr="007E63A2">
        <w:rPr>
          <w:rFonts w:ascii="Arial" w:eastAsia="Times New Roman" w:hAnsi="Arial" w:cs="Times New Roman"/>
          <w:kern w:val="0"/>
          <w:szCs w:val="20"/>
          <w:lang w:eastAsia="es-ES"/>
          <w14:ligatures w14:val="none"/>
        </w:rPr>
        <w:t xml:space="preserve"> obligado a comp</w:t>
      </w:r>
      <w:r w:rsidR="007618CE" w:rsidRPr="007E63A2">
        <w:rPr>
          <w:rFonts w:ascii="Arial" w:eastAsia="Times New Roman" w:hAnsi="Arial" w:cs="Times New Roman"/>
          <w:kern w:val="0"/>
          <w:szCs w:val="20"/>
          <w:lang w:eastAsia="es-ES"/>
          <w14:ligatures w14:val="none"/>
        </w:rPr>
        <w:t>rar la energía a un precio en función del precio de bolsa horario</w:t>
      </w:r>
      <w:r w:rsidR="00354060" w:rsidRPr="007E63A2">
        <w:rPr>
          <w:rFonts w:ascii="Arial" w:eastAsia="Times New Roman" w:hAnsi="Arial" w:cs="Times New Roman"/>
          <w:kern w:val="0"/>
          <w:szCs w:val="20"/>
          <w:lang w:eastAsia="es-ES"/>
          <w14:ligatures w14:val="none"/>
        </w:rPr>
        <w:t xml:space="preserve"> (Pb)</w:t>
      </w:r>
      <w:r w:rsidR="008C74E7" w:rsidRPr="007E63A2">
        <w:rPr>
          <w:rFonts w:ascii="Arial" w:eastAsia="Times New Roman" w:hAnsi="Arial" w:cs="Times New Roman"/>
          <w:kern w:val="0"/>
          <w:szCs w:val="20"/>
          <w:lang w:eastAsia="es-ES"/>
          <w14:ligatures w14:val="none"/>
        </w:rPr>
        <w:t xml:space="preserve"> más unos beneficios entendidos como el 50% de las pérdidas </w:t>
      </w:r>
      <w:r w:rsidR="00C52E9A" w:rsidRPr="007E63A2">
        <w:rPr>
          <w:rFonts w:ascii="Arial" w:eastAsia="Times New Roman" w:hAnsi="Arial" w:cs="Times New Roman"/>
          <w:kern w:val="0"/>
          <w:szCs w:val="20"/>
          <w:lang w:eastAsia="es-ES"/>
          <w14:ligatures w14:val="none"/>
        </w:rPr>
        <w:t>técnicas.</w:t>
      </w:r>
    </w:p>
    <w:p w14:paraId="2BC5F5EA" w14:textId="77777777" w:rsidR="00B63720" w:rsidRPr="007E63A2" w:rsidRDefault="00B63720" w:rsidP="006B6490">
      <w:pPr>
        <w:pStyle w:val="Prrafodelista"/>
        <w:spacing w:line="276" w:lineRule="auto"/>
        <w:rPr>
          <w:rFonts w:ascii="Arial" w:eastAsia="Times New Roman" w:hAnsi="Arial" w:cs="Times New Roman"/>
          <w:kern w:val="0"/>
          <w:szCs w:val="20"/>
          <w:lang w:eastAsia="es-ES"/>
          <w14:ligatures w14:val="none"/>
        </w:rPr>
      </w:pPr>
    </w:p>
    <w:p w14:paraId="64B45720" w14:textId="2363328F" w:rsidR="00B63720" w:rsidRPr="007E63A2" w:rsidRDefault="00B63720" w:rsidP="000F6EE7">
      <w:pPr>
        <w:pStyle w:val="Prrafodelista"/>
        <w:spacing w:line="276" w:lineRule="auto"/>
        <w:jc w:val="both"/>
        <w:rPr>
          <w:rFonts w:ascii="Arial" w:eastAsia="Times New Roman" w:hAnsi="Arial" w:cs="Times New Roman"/>
          <w:kern w:val="0"/>
          <w:szCs w:val="20"/>
          <w:lang w:eastAsia="es-ES"/>
          <w14:ligatures w14:val="none"/>
        </w:rPr>
      </w:pPr>
      <w:r w:rsidRPr="007E63A2">
        <w:rPr>
          <w:rFonts w:ascii="Arial" w:eastAsia="Times New Roman" w:hAnsi="Arial" w:cs="Times New Roman"/>
          <w:kern w:val="0"/>
          <w:szCs w:val="20"/>
          <w:lang w:eastAsia="es-ES"/>
          <w14:ligatures w14:val="none"/>
        </w:rPr>
        <w:t xml:space="preserve">Posteriormente con </w:t>
      </w:r>
      <w:r w:rsidR="00DE3AA9" w:rsidRPr="007E63A2">
        <w:rPr>
          <w:rFonts w:ascii="Arial" w:eastAsia="Times New Roman" w:hAnsi="Arial" w:cs="Times New Roman"/>
          <w:kern w:val="0"/>
          <w:szCs w:val="20"/>
          <w:lang w:eastAsia="es-ES"/>
          <w14:ligatures w14:val="none"/>
        </w:rPr>
        <w:t>l</w:t>
      </w:r>
      <w:r w:rsidRPr="007E63A2">
        <w:rPr>
          <w:rFonts w:ascii="Arial" w:eastAsia="Times New Roman" w:hAnsi="Arial" w:cs="Times New Roman"/>
          <w:kern w:val="0"/>
          <w:szCs w:val="20"/>
          <w:lang w:eastAsia="es-ES"/>
          <w14:ligatures w14:val="none"/>
        </w:rPr>
        <w:t>a expedición de la Resolución CREG 101 072 de 2025</w:t>
      </w:r>
      <w:r w:rsidR="00DE3AA9" w:rsidRPr="007E63A2">
        <w:rPr>
          <w:rFonts w:ascii="Arial" w:eastAsia="Times New Roman" w:hAnsi="Arial" w:cs="Times New Roman"/>
          <w:kern w:val="0"/>
          <w:szCs w:val="20"/>
          <w:lang w:eastAsia="es-ES"/>
          <w14:ligatures w14:val="none"/>
        </w:rPr>
        <w:t xml:space="preserve">, se modifica el artículo 22 de la Resolución CREG 174 de 2021 cambiando el precio </w:t>
      </w:r>
      <w:r w:rsidR="00F4700D" w:rsidRPr="007E63A2">
        <w:rPr>
          <w:rFonts w:ascii="Arial" w:eastAsia="Times New Roman" w:hAnsi="Arial" w:cs="Times New Roman"/>
          <w:kern w:val="0"/>
          <w:szCs w:val="20"/>
          <w:lang w:eastAsia="es-ES"/>
          <w14:ligatures w14:val="none"/>
        </w:rPr>
        <w:t>de bolsa por el costo promedio ponderado por energía (Mc).</w:t>
      </w:r>
      <w:r w:rsidR="00D55662" w:rsidRPr="007E63A2">
        <w:rPr>
          <w:rFonts w:ascii="Arial" w:eastAsia="Times New Roman" w:hAnsi="Arial" w:cs="Times New Roman"/>
          <w:kern w:val="0"/>
          <w:szCs w:val="20"/>
          <w:lang w:eastAsia="es-ES"/>
          <w14:ligatures w14:val="none"/>
        </w:rPr>
        <w:t xml:space="preserve"> Así mismo, se estableció que e</w:t>
      </w:r>
      <w:r w:rsidR="001E0123" w:rsidRPr="007E63A2">
        <w:rPr>
          <w:rFonts w:ascii="Arial" w:eastAsia="Times New Roman" w:hAnsi="Arial" w:cs="Times New Roman"/>
          <w:kern w:val="0"/>
          <w:szCs w:val="20"/>
          <w:lang w:eastAsia="es-ES"/>
          <w14:ligatures w14:val="none"/>
        </w:rPr>
        <w:t>l</w:t>
      </w:r>
      <w:r w:rsidR="00D55662" w:rsidRPr="007E63A2">
        <w:rPr>
          <w:rFonts w:ascii="Arial" w:eastAsia="Times New Roman" w:hAnsi="Arial" w:cs="Times New Roman"/>
          <w:kern w:val="0"/>
          <w:szCs w:val="20"/>
          <w:lang w:eastAsia="es-ES"/>
          <w14:ligatures w14:val="none"/>
        </w:rPr>
        <w:t xml:space="preserve"> ajuste entraría en aplicación a partir del séptimo mes de expedida la Resolución CREG 101 072 de 2025.</w:t>
      </w:r>
    </w:p>
    <w:p w14:paraId="18ECBFF5" w14:textId="77777777" w:rsidR="00D55662" w:rsidRPr="007E63A2" w:rsidRDefault="00D55662" w:rsidP="006B6490">
      <w:pPr>
        <w:pStyle w:val="Prrafodelista"/>
        <w:spacing w:line="276" w:lineRule="auto"/>
        <w:rPr>
          <w:rFonts w:ascii="Arial" w:eastAsia="Times New Roman" w:hAnsi="Arial" w:cs="Times New Roman"/>
          <w:kern w:val="0"/>
          <w:szCs w:val="20"/>
          <w:lang w:eastAsia="es-ES"/>
          <w14:ligatures w14:val="none"/>
        </w:rPr>
      </w:pPr>
    </w:p>
    <w:p w14:paraId="2F90E3E3" w14:textId="3283908A" w:rsidR="00D55662" w:rsidRPr="007E63A2" w:rsidRDefault="00BE145A" w:rsidP="00203653">
      <w:pPr>
        <w:pStyle w:val="Prrafodelista"/>
        <w:numPr>
          <w:ilvl w:val="0"/>
          <w:numId w:val="17"/>
        </w:numPr>
        <w:spacing w:line="276" w:lineRule="auto"/>
        <w:jc w:val="both"/>
        <w:rPr>
          <w:rFonts w:ascii="Arial" w:eastAsia="Times New Roman" w:hAnsi="Arial" w:cs="Times New Roman"/>
          <w:kern w:val="0"/>
          <w:szCs w:val="20"/>
          <w:lang w:eastAsia="es-ES"/>
          <w14:ligatures w14:val="none"/>
        </w:rPr>
      </w:pPr>
      <w:r w:rsidRPr="007E63A2">
        <w:rPr>
          <w:rFonts w:ascii="Arial" w:eastAsia="Times New Roman" w:hAnsi="Arial" w:cs="Times New Roman"/>
          <w:kern w:val="0"/>
          <w:szCs w:val="20"/>
          <w:lang w:eastAsia="es-ES"/>
          <w14:ligatures w14:val="none"/>
        </w:rPr>
        <w:t xml:space="preserve">Para los AGPE, </w:t>
      </w:r>
      <w:r w:rsidR="00556942" w:rsidRPr="007E63A2">
        <w:rPr>
          <w:rFonts w:ascii="Arial" w:eastAsia="Times New Roman" w:hAnsi="Arial" w:cs="Times New Roman"/>
          <w:kern w:val="0"/>
          <w:szCs w:val="20"/>
          <w:lang w:eastAsia="es-ES"/>
          <w14:ligatures w14:val="none"/>
        </w:rPr>
        <w:t>los artículos</w:t>
      </w:r>
      <w:r w:rsidR="00027608" w:rsidRPr="007E63A2">
        <w:rPr>
          <w:rFonts w:ascii="Arial" w:eastAsia="Times New Roman" w:hAnsi="Arial" w:cs="Times New Roman"/>
          <w:kern w:val="0"/>
          <w:szCs w:val="20"/>
          <w:lang w:eastAsia="es-ES"/>
          <w14:ligatures w14:val="none"/>
        </w:rPr>
        <w:t xml:space="preserve"> 23 y 25 definieron </w:t>
      </w:r>
      <w:r w:rsidR="00E96BF6" w:rsidRPr="007E63A2">
        <w:rPr>
          <w:rFonts w:ascii="Arial" w:eastAsia="Times New Roman" w:hAnsi="Arial" w:cs="Times New Roman"/>
          <w:kern w:val="0"/>
          <w:szCs w:val="20"/>
          <w:lang w:eastAsia="es-ES"/>
          <w14:ligatures w14:val="none"/>
        </w:rPr>
        <w:t>dos tipos de excedentes, i) aquellos que se intercambian mediante un esquema de créditos (Exc1) y ii) aquellos que superan la energía importada del usuario</w:t>
      </w:r>
      <w:r w:rsidR="000B7297" w:rsidRPr="007E63A2">
        <w:rPr>
          <w:rFonts w:ascii="Arial" w:eastAsia="Times New Roman" w:hAnsi="Arial" w:cs="Times New Roman"/>
          <w:kern w:val="0"/>
          <w:szCs w:val="20"/>
          <w:lang w:eastAsia="es-ES"/>
          <w14:ligatures w14:val="none"/>
        </w:rPr>
        <w:t xml:space="preserve"> (Exc2). En todo caso, el sistema de créditos</w:t>
      </w:r>
      <w:r w:rsidR="00BF1F93" w:rsidRPr="007E63A2">
        <w:rPr>
          <w:rFonts w:ascii="Arial" w:eastAsia="Times New Roman" w:hAnsi="Arial" w:cs="Times New Roman"/>
          <w:kern w:val="0"/>
          <w:szCs w:val="20"/>
          <w:lang w:eastAsia="es-ES"/>
          <w14:ligatures w14:val="none"/>
        </w:rPr>
        <w:t xml:space="preserve"> (Exc1)</w:t>
      </w:r>
      <w:r w:rsidR="000B7297" w:rsidRPr="007E63A2">
        <w:rPr>
          <w:rFonts w:ascii="Arial" w:eastAsia="Times New Roman" w:hAnsi="Arial" w:cs="Times New Roman"/>
          <w:kern w:val="0"/>
          <w:szCs w:val="20"/>
          <w:lang w:eastAsia="es-ES"/>
          <w14:ligatures w14:val="none"/>
        </w:rPr>
        <w:t xml:space="preserve"> dependiendo de la capacidad instalada </w:t>
      </w:r>
      <w:r w:rsidR="00BB1F44" w:rsidRPr="007E63A2">
        <w:rPr>
          <w:rFonts w:ascii="Arial" w:eastAsia="Times New Roman" w:hAnsi="Arial" w:cs="Times New Roman"/>
          <w:kern w:val="0"/>
          <w:szCs w:val="20"/>
          <w:lang w:eastAsia="es-ES"/>
          <w14:ligatures w14:val="none"/>
        </w:rPr>
        <w:t xml:space="preserve">del AGPE, se reconocen a precio de costo unitario menos comercialización o se reconocen a </w:t>
      </w:r>
      <w:r w:rsidR="00BF1F93" w:rsidRPr="007E63A2">
        <w:rPr>
          <w:rFonts w:ascii="Arial" w:eastAsia="Times New Roman" w:hAnsi="Arial" w:cs="Times New Roman"/>
          <w:kern w:val="0"/>
          <w:szCs w:val="20"/>
          <w:lang w:eastAsia="es-ES"/>
          <w14:ligatures w14:val="none"/>
        </w:rPr>
        <w:t>componente de Generación. Para los Exc2, se definición que su reconocimiento se realizaría en función del precio de bolsa horario.</w:t>
      </w:r>
    </w:p>
    <w:p w14:paraId="0B68262F" w14:textId="77777777" w:rsidR="00BF1F93" w:rsidRPr="007E63A2" w:rsidRDefault="00BF1F93" w:rsidP="006B6490">
      <w:pPr>
        <w:pStyle w:val="Prrafodelista"/>
        <w:spacing w:line="276" w:lineRule="auto"/>
        <w:rPr>
          <w:rFonts w:ascii="Arial" w:eastAsia="Times New Roman" w:hAnsi="Arial" w:cs="Times New Roman"/>
          <w:kern w:val="0"/>
          <w:szCs w:val="20"/>
          <w:lang w:eastAsia="es-ES"/>
          <w14:ligatures w14:val="none"/>
        </w:rPr>
      </w:pPr>
    </w:p>
    <w:p w14:paraId="5ECEF0FE" w14:textId="433CFBDC" w:rsidR="00556942" w:rsidRPr="007E63A2" w:rsidRDefault="00556942" w:rsidP="00203653">
      <w:pPr>
        <w:pStyle w:val="Prrafodelista"/>
        <w:spacing w:line="276" w:lineRule="auto"/>
        <w:jc w:val="both"/>
        <w:rPr>
          <w:rFonts w:ascii="Arial" w:eastAsia="Times New Roman" w:hAnsi="Arial" w:cs="Times New Roman"/>
          <w:kern w:val="0"/>
          <w:szCs w:val="20"/>
          <w:lang w:eastAsia="es-ES"/>
          <w14:ligatures w14:val="none"/>
        </w:rPr>
      </w:pPr>
      <w:r w:rsidRPr="007E63A2">
        <w:rPr>
          <w:rFonts w:ascii="Arial" w:eastAsia="Times New Roman" w:hAnsi="Arial" w:cs="Times New Roman"/>
          <w:kern w:val="0"/>
          <w:szCs w:val="20"/>
          <w:lang w:eastAsia="es-ES"/>
          <w14:ligatures w14:val="none"/>
        </w:rPr>
        <w:t xml:space="preserve">Posteriormente con la expedición de la Resolución CREG 101 072 de 2025, se modifican los artículos 23 y 25 de la Resolución CREG 174 de 2021 cambiando la valoración de los Exc2 </w:t>
      </w:r>
      <w:r w:rsidR="00C310C1" w:rsidRPr="007E63A2">
        <w:rPr>
          <w:rFonts w:ascii="Arial" w:eastAsia="Times New Roman" w:hAnsi="Arial" w:cs="Times New Roman"/>
          <w:kern w:val="0"/>
          <w:szCs w:val="20"/>
          <w:lang w:eastAsia="es-ES"/>
          <w14:ligatures w14:val="none"/>
        </w:rPr>
        <w:t>de</w:t>
      </w:r>
      <w:r w:rsidRPr="007E63A2">
        <w:rPr>
          <w:rFonts w:ascii="Arial" w:eastAsia="Times New Roman" w:hAnsi="Arial" w:cs="Times New Roman"/>
          <w:kern w:val="0"/>
          <w:szCs w:val="20"/>
          <w:lang w:eastAsia="es-ES"/>
          <w14:ligatures w14:val="none"/>
        </w:rPr>
        <w:t xml:space="preserve"> precio de bolsa por el costo promedio ponderado por energía (Mc). Así mismo, se estableció que el ajuste entraría en aplicación a partir del séptimo mes de expedida la Resolución CREG 101 072 de 2025.</w:t>
      </w:r>
    </w:p>
    <w:p w14:paraId="6722E681" w14:textId="62D74C05" w:rsidR="00610BA4" w:rsidRPr="007E63A2" w:rsidRDefault="000B1F16" w:rsidP="00203653">
      <w:pPr>
        <w:spacing w:line="276" w:lineRule="auto"/>
        <w:ind w:left="708" w:firstLine="2"/>
      </w:pPr>
      <w:r w:rsidRPr="007E63A2">
        <w:t>A través del Anexo 1</w:t>
      </w:r>
      <w:r w:rsidR="00F111A2" w:rsidRPr="007E63A2">
        <w:t xml:space="preserve"> se establecieron las reglas y fórmulas de los componentes de traslado de compras de energía de AGPE y GD</w:t>
      </w:r>
      <w:r w:rsidR="005C062A" w:rsidRPr="007E63A2">
        <w:t>. Estas reglas permiten el trasl</w:t>
      </w:r>
      <w:r w:rsidR="006D20EA" w:rsidRPr="007E63A2">
        <w:t xml:space="preserve">ado de estas compras </w:t>
      </w:r>
      <w:r w:rsidR="00E2034D" w:rsidRPr="007E63A2">
        <w:t>al usuario final regulado a través de un componente denominado G Transitorio que hace parte del componente de Generación del Costo Unitario de Prestación del Servicio (CU)</w:t>
      </w:r>
      <w:r w:rsidR="008C74E7" w:rsidRPr="007E63A2">
        <w:t xml:space="preserve"> que</w:t>
      </w:r>
      <w:r w:rsidR="00EF0889" w:rsidRPr="007E63A2">
        <w:t xml:space="preserve"> permite calcular un valor en $/kWh </w:t>
      </w:r>
      <w:r w:rsidR="001325F8" w:rsidRPr="007E63A2">
        <w:t>por</w:t>
      </w:r>
      <w:r w:rsidR="00EF0889" w:rsidRPr="007E63A2">
        <w:t xml:space="preserve"> cada uno de los segmentos </w:t>
      </w:r>
      <w:r w:rsidR="002330AE" w:rsidRPr="007E63A2">
        <w:t>de la fórmula de valoración de excedentes establecidos en el artículo 25; sin embargo, a hoy estas fórmulas</w:t>
      </w:r>
      <w:r w:rsidR="005533F1" w:rsidRPr="007E63A2">
        <w:t xml:space="preserve">, </w:t>
      </w:r>
      <w:r w:rsidR="00BC00F2" w:rsidRPr="007E63A2">
        <w:t>según corresponda</w:t>
      </w:r>
      <w:r w:rsidR="005533F1" w:rsidRPr="007E63A2">
        <w:t xml:space="preserve">, siguen </w:t>
      </w:r>
      <w:r w:rsidR="00074615" w:rsidRPr="007E63A2">
        <w:t>considerando</w:t>
      </w:r>
      <w:r w:rsidR="005533F1" w:rsidRPr="007E63A2">
        <w:t xml:space="preserve"> el precio de bolsa </w:t>
      </w:r>
      <w:r w:rsidR="00074615" w:rsidRPr="007E63A2">
        <w:t>horario y no el costo promedio ponderado por energía (Mc)</w:t>
      </w:r>
      <w:r w:rsidR="001D193E" w:rsidRPr="007E63A2">
        <w:t xml:space="preserve"> </w:t>
      </w:r>
      <w:r w:rsidR="008C74E7" w:rsidRPr="007E63A2">
        <w:t>establecido</w:t>
      </w:r>
      <w:r w:rsidR="001D193E" w:rsidRPr="007E63A2">
        <w:t xml:space="preserve"> </w:t>
      </w:r>
      <w:r w:rsidR="008C74E7" w:rsidRPr="007E63A2">
        <w:t>en</w:t>
      </w:r>
      <w:r w:rsidR="001D193E" w:rsidRPr="007E63A2">
        <w:t xml:space="preserve"> la modificación realizada por la Resolución CREG 101 072 de 2025.</w:t>
      </w:r>
    </w:p>
    <w:p w14:paraId="181071D6" w14:textId="77777777" w:rsidR="00715BDD" w:rsidRPr="007E63A2" w:rsidRDefault="00715BDD" w:rsidP="006B6490">
      <w:pPr>
        <w:spacing w:line="276" w:lineRule="auto"/>
        <w:rPr>
          <w:color w:val="000000"/>
          <w:lang w:eastAsia="es-CO"/>
        </w:rPr>
      </w:pPr>
    </w:p>
    <w:p w14:paraId="4F4F3C33" w14:textId="2534898C" w:rsidR="00427A7D" w:rsidRPr="007E63A2" w:rsidRDefault="00427A7D" w:rsidP="006B6490">
      <w:pPr>
        <w:spacing w:line="276" w:lineRule="auto"/>
      </w:pPr>
      <w:r w:rsidRPr="007E63A2">
        <w:rPr>
          <w:color w:val="000000"/>
          <w:lang w:eastAsia="es-CO"/>
        </w:rPr>
        <w:t>Con se mencionó anterior</w:t>
      </w:r>
      <w:r w:rsidR="00C26740" w:rsidRPr="007E63A2">
        <w:rPr>
          <w:color w:val="000000"/>
          <w:lang w:eastAsia="es-CO"/>
        </w:rPr>
        <w:t>mente</w:t>
      </w:r>
      <w:r w:rsidRPr="007E63A2">
        <w:rPr>
          <w:color w:val="000000"/>
          <w:lang w:eastAsia="es-CO"/>
        </w:rPr>
        <w:t>,</w:t>
      </w:r>
      <w:r w:rsidR="00C26740" w:rsidRPr="007E63A2">
        <w:rPr>
          <w:color w:val="000000"/>
          <w:lang w:eastAsia="es-CO"/>
        </w:rPr>
        <w:t xml:space="preserve"> con</w:t>
      </w:r>
      <w:r w:rsidRPr="007E63A2">
        <w:rPr>
          <w:color w:val="000000"/>
          <w:lang w:eastAsia="es-CO"/>
        </w:rPr>
        <w:t xml:space="preserve"> la expedición de la Resolución CREG 101 072 de 2025</w:t>
      </w:r>
      <w:r w:rsidR="002C7853" w:rsidRPr="007E63A2">
        <w:rPr>
          <w:color w:val="000000"/>
          <w:lang w:eastAsia="es-CO"/>
        </w:rPr>
        <w:t xml:space="preserve"> “</w:t>
      </w:r>
      <w:r w:rsidR="002C7853" w:rsidRPr="007E63A2">
        <w:rPr>
          <w:i/>
          <w:iCs/>
          <w:color w:val="000000"/>
          <w:lang w:eastAsia="es-CO"/>
        </w:rPr>
        <w:t>Por la cual se armoniza la regulación para la integración de las comunidades energéticas al Sistema Energético Nacional y se dictan otras disposiciones</w:t>
      </w:r>
      <w:r w:rsidR="002C7853" w:rsidRPr="007E63A2">
        <w:rPr>
          <w:color w:val="000000"/>
          <w:lang w:eastAsia="es-CO"/>
        </w:rPr>
        <w:t xml:space="preserve">” </w:t>
      </w:r>
      <w:r w:rsidR="00C26740" w:rsidRPr="007E63A2">
        <w:rPr>
          <w:color w:val="000000"/>
          <w:lang w:eastAsia="es-CO"/>
        </w:rPr>
        <w:t xml:space="preserve">se </w:t>
      </w:r>
      <w:r w:rsidR="00707914" w:rsidRPr="007E63A2">
        <w:rPr>
          <w:color w:val="000000"/>
          <w:lang w:eastAsia="es-CO"/>
        </w:rPr>
        <w:t>modificaron</w:t>
      </w:r>
      <w:r w:rsidR="00514A7A" w:rsidRPr="007E63A2">
        <w:rPr>
          <w:color w:val="000000"/>
          <w:lang w:eastAsia="es-CO"/>
        </w:rPr>
        <w:t>, entre otras cosas,</w:t>
      </w:r>
      <w:r w:rsidR="00707914" w:rsidRPr="007E63A2">
        <w:rPr>
          <w:color w:val="000000"/>
          <w:lang w:eastAsia="es-CO"/>
        </w:rPr>
        <w:t xml:space="preserve"> las variables de precio de bolsa horario para el reconocimiento de la energía de los </w:t>
      </w:r>
      <w:r w:rsidR="00670B2A" w:rsidRPr="007E63A2">
        <w:rPr>
          <w:color w:val="000000"/>
          <w:lang w:eastAsia="es-CO"/>
        </w:rPr>
        <w:t>G</w:t>
      </w:r>
      <w:r w:rsidR="00707914" w:rsidRPr="007E63A2">
        <w:rPr>
          <w:color w:val="000000"/>
          <w:lang w:eastAsia="es-CO"/>
        </w:rPr>
        <w:t xml:space="preserve">D y </w:t>
      </w:r>
      <w:r w:rsidR="00B94A6D" w:rsidRPr="007E63A2">
        <w:rPr>
          <w:color w:val="000000"/>
          <w:lang w:eastAsia="es-CO"/>
        </w:rPr>
        <w:t xml:space="preserve">excedentaria de los </w:t>
      </w:r>
      <w:r w:rsidR="00707914" w:rsidRPr="007E63A2">
        <w:rPr>
          <w:color w:val="000000"/>
          <w:lang w:eastAsia="es-CO"/>
        </w:rPr>
        <w:t>AGPE</w:t>
      </w:r>
      <w:r w:rsidR="00514A7A" w:rsidRPr="007E63A2">
        <w:rPr>
          <w:color w:val="000000"/>
          <w:lang w:eastAsia="es-CO"/>
        </w:rPr>
        <w:t xml:space="preserve"> </w:t>
      </w:r>
      <w:r w:rsidR="00514A7A" w:rsidRPr="007E63A2">
        <w:rPr>
          <w:color w:val="000000"/>
          <w:lang w:eastAsia="es-CO"/>
        </w:rPr>
        <w:lastRenderedPageBreak/>
        <w:t>por el costo</w:t>
      </w:r>
      <w:r w:rsidR="00514A7A" w:rsidRPr="007E63A2">
        <w:t xml:space="preserve"> promedio ponderado por energía (Mc) y se definió una transición de seis meses para su entrada en aplicación.</w:t>
      </w:r>
    </w:p>
    <w:p w14:paraId="56EDE24B" w14:textId="77777777" w:rsidR="009E0F5C" w:rsidRPr="007E63A2" w:rsidRDefault="009E0F5C" w:rsidP="006B6490">
      <w:pPr>
        <w:spacing w:line="276" w:lineRule="auto"/>
      </w:pPr>
    </w:p>
    <w:p w14:paraId="0802BE2F" w14:textId="274F03E0" w:rsidR="00353BF3" w:rsidRPr="007E63A2" w:rsidRDefault="00E922D1" w:rsidP="006B6490">
      <w:pPr>
        <w:spacing w:line="276" w:lineRule="auto"/>
      </w:pPr>
      <w:r w:rsidRPr="007E63A2">
        <w:rPr>
          <w:color w:val="000000"/>
          <w:lang w:eastAsia="es-CO"/>
        </w:rPr>
        <w:t xml:space="preserve">De la misma manera, </w:t>
      </w:r>
      <w:r w:rsidR="00353BF3" w:rsidRPr="007E63A2">
        <w:t>el artículo 13 estableció que la metodología para el traslado del costo de compras de energía a los AC y los GDC, se haría en resolución aparte, lo que permite trasladar al componente de Generación del CU los componentes de traslado de compras de energía de AC y GDC similar a como se hace actualmente con la energía comprada a los AGPE y GD a través del Anexo 1 de la Resolución CREG 174 de 2021</w:t>
      </w:r>
      <w:r w:rsidR="000E7FFA" w:rsidRPr="007E63A2">
        <w:t xml:space="preserve"> pero ajustando el precio de bolsa por Mc, aplicable también para el Anexo 1 de la Resolución CREG 174 de 2021.</w:t>
      </w:r>
    </w:p>
    <w:p w14:paraId="2046519C" w14:textId="77777777" w:rsidR="0044266C" w:rsidRPr="007E63A2" w:rsidRDefault="0044266C" w:rsidP="006B6490">
      <w:pPr>
        <w:spacing w:line="276" w:lineRule="auto"/>
      </w:pPr>
    </w:p>
    <w:p w14:paraId="70AA405C" w14:textId="11749215" w:rsidR="005B0A8B" w:rsidRPr="007E63A2" w:rsidRDefault="005B0A8B" w:rsidP="005B0A8B">
      <w:pPr>
        <w:spacing w:line="276" w:lineRule="auto"/>
        <w:rPr>
          <w:szCs w:val="24"/>
        </w:rPr>
      </w:pPr>
      <w:r w:rsidRPr="007E63A2">
        <w:rPr>
          <w:szCs w:val="24"/>
        </w:rPr>
        <w:t>Para esto, la Comisión estableció un periodo de seis meses para que a partir del mes siete de expedida la Resolución CREG 101 072 de 2025, i) se diera inicio con la valoración de excedentes de los usuarios AGPE y los usuarios pertenecientes a un AC, específicamente los excedentes tipo 2 (Exc2), empezaran a ser liquidados con el Mc y no con el Pb; y ii) las compras de energía al generador distribuido GD o generador distribuido colectivo GDC al Mc y no con el Pb.</w:t>
      </w:r>
    </w:p>
    <w:p w14:paraId="4E740EF2" w14:textId="77777777" w:rsidR="005B0A8B" w:rsidRPr="007E63A2" w:rsidRDefault="005B0A8B" w:rsidP="005B0A8B">
      <w:pPr>
        <w:spacing w:line="276" w:lineRule="auto"/>
        <w:rPr>
          <w:szCs w:val="24"/>
        </w:rPr>
      </w:pPr>
    </w:p>
    <w:p w14:paraId="556E27C3" w14:textId="124B5F7A" w:rsidR="005B0A8B" w:rsidRPr="007E63A2" w:rsidRDefault="005B0A8B" w:rsidP="005B0A8B">
      <w:pPr>
        <w:spacing w:line="276" w:lineRule="auto"/>
        <w:rPr>
          <w:szCs w:val="24"/>
        </w:rPr>
      </w:pPr>
      <w:r w:rsidRPr="007E63A2">
        <w:rPr>
          <w:szCs w:val="24"/>
        </w:rPr>
        <w:t xml:space="preserve">Una vez se cumpla el tiempo de transición, los comercializadores deben contar con el mecanismo para trasladar estas compras de energía a los AGPE, GD, AC y GDC </w:t>
      </w:r>
      <w:r w:rsidR="002E0A27" w:rsidRPr="007E63A2">
        <w:rPr>
          <w:szCs w:val="24"/>
        </w:rPr>
        <w:t>en el</w:t>
      </w:r>
      <w:r w:rsidRPr="007E63A2">
        <w:rPr>
          <w:szCs w:val="24"/>
        </w:rPr>
        <w:t xml:space="preserve"> componente de Generación del CU, donde a la fecha las fórmulas del anexo 1 de la Resolución CREG 174 de 2021, aplicable a las compras a AGPE y GD, están en función del Pb y no del Mc</w:t>
      </w:r>
      <w:r w:rsidR="002E0A27" w:rsidRPr="007E63A2">
        <w:rPr>
          <w:szCs w:val="24"/>
        </w:rPr>
        <w:t>; por lo cual,</w:t>
      </w:r>
      <w:r w:rsidRPr="007E63A2">
        <w:rPr>
          <w:szCs w:val="24"/>
        </w:rPr>
        <w:t xml:space="preserve"> se hace necesaria su modificación y para el caso de los AC y GDC, estás fórmulas aún no existen en la regulación y deben ser creadas tal como lo estableció el artículo 13 de la Resolución CREG 101 072 de 2025.</w:t>
      </w:r>
    </w:p>
    <w:p w14:paraId="7DF85979" w14:textId="77777777" w:rsidR="005B0A8B" w:rsidRPr="007E63A2" w:rsidRDefault="005B0A8B" w:rsidP="005B0A8B">
      <w:pPr>
        <w:spacing w:line="276" w:lineRule="auto"/>
        <w:rPr>
          <w:szCs w:val="24"/>
        </w:rPr>
      </w:pPr>
    </w:p>
    <w:p w14:paraId="3B8D7DE7" w14:textId="6530BF8E" w:rsidR="005B0A8B" w:rsidRPr="007E63A2" w:rsidRDefault="005B0A8B" w:rsidP="005B0A8B">
      <w:pPr>
        <w:spacing w:line="276" w:lineRule="auto"/>
        <w:rPr>
          <w:szCs w:val="24"/>
        </w:rPr>
      </w:pPr>
      <w:r w:rsidRPr="007E63A2">
        <w:rPr>
          <w:szCs w:val="24"/>
        </w:rPr>
        <w:t xml:space="preserve">Sin embargo, la Comisión considera pertinente realizar una revisión a estas fórmulas de traslado ya que se tiene conocimiento del impacto que está teniendo en el componente de Generación </w:t>
      </w:r>
      <w:r w:rsidR="005D1B14" w:rsidRPr="007E63A2">
        <w:rPr>
          <w:szCs w:val="24"/>
        </w:rPr>
        <w:t>en</w:t>
      </w:r>
      <w:r w:rsidRPr="007E63A2">
        <w:rPr>
          <w:szCs w:val="24"/>
        </w:rPr>
        <w:t xml:space="preserve"> comercializadores no integrados con el operador de red por lo que el tiempo de transición de seis meses definido actualmente debe ser ampliado para profundizar.</w:t>
      </w:r>
    </w:p>
    <w:p w14:paraId="0BFDB1DC" w14:textId="77777777" w:rsidR="005B0A8B" w:rsidRPr="007E63A2" w:rsidRDefault="005B0A8B" w:rsidP="005B0A8B">
      <w:pPr>
        <w:spacing w:line="276" w:lineRule="auto"/>
        <w:rPr>
          <w:szCs w:val="24"/>
        </w:rPr>
      </w:pPr>
    </w:p>
    <w:p w14:paraId="71C6A5AF" w14:textId="61A1BAA3" w:rsidR="004F3B60" w:rsidRPr="007E63A2" w:rsidRDefault="005B0A8B" w:rsidP="005B0A8B">
      <w:pPr>
        <w:spacing w:line="276" w:lineRule="auto"/>
        <w:rPr>
          <w:szCs w:val="24"/>
        </w:rPr>
      </w:pPr>
      <w:r w:rsidRPr="007E63A2">
        <w:rPr>
          <w:szCs w:val="24"/>
        </w:rPr>
        <w:t>Lo anterior, se sustenta</w:t>
      </w:r>
      <w:r w:rsidR="004F3B60" w:rsidRPr="007E63A2">
        <w:rPr>
          <w:szCs w:val="24"/>
        </w:rPr>
        <w:t xml:space="preserve"> en</w:t>
      </w:r>
      <w:r w:rsidRPr="007E63A2">
        <w:rPr>
          <w:szCs w:val="24"/>
        </w:rPr>
        <w:t xml:space="preserve"> </w:t>
      </w:r>
      <w:r w:rsidR="004F3B60" w:rsidRPr="007E63A2">
        <w:rPr>
          <w:szCs w:val="24"/>
        </w:rPr>
        <w:t>análisis realizados por</w:t>
      </w:r>
      <w:r w:rsidRPr="007E63A2">
        <w:rPr>
          <w:szCs w:val="24"/>
        </w:rPr>
        <w:t xml:space="preserve"> la Comisión </w:t>
      </w:r>
      <w:r w:rsidR="004F3B60" w:rsidRPr="007E63A2">
        <w:rPr>
          <w:szCs w:val="24"/>
        </w:rPr>
        <w:t>con base en la información</w:t>
      </w:r>
      <w:r w:rsidRPr="007E63A2">
        <w:rPr>
          <w:szCs w:val="24"/>
        </w:rPr>
        <w:t xml:space="preserve"> </w:t>
      </w:r>
      <w:r w:rsidRPr="007E63A2">
        <w:rPr>
          <w:b/>
          <w:bCs/>
          <w:szCs w:val="24"/>
        </w:rPr>
        <w:t xml:space="preserve">T9. </w:t>
      </w:r>
      <w:r w:rsidR="004F3B60" w:rsidRPr="007E63A2">
        <w:rPr>
          <w:b/>
          <w:bCs/>
          <w:szCs w:val="24"/>
        </w:rPr>
        <w:t>Variables Costo Unitario de Prestación del Servicio CU 119 – UR</w:t>
      </w:r>
      <w:r w:rsidR="00A42CBA" w:rsidRPr="007E63A2">
        <w:rPr>
          <w:rStyle w:val="Refdenotaalpie"/>
          <w:b/>
          <w:bCs/>
          <w:szCs w:val="24"/>
        </w:rPr>
        <w:footnoteReference w:id="1"/>
      </w:r>
      <w:r w:rsidR="004F3B60" w:rsidRPr="007E63A2">
        <w:rPr>
          <w:b/>
          <w:bCs/>
          <w:szCs w:val="24"/>
        </w:rPr>
        <w:t xml:space="preserve"> </w:t>
      </w:r>
      <w:r w:rsidR="004F3B60" w:rsidRPr="007E63A2">
        <w:rPr>
          <w:szCs w:val="24"/>
        </w:rPr>
        <w:t xml:space="preserve">de la </w:t>
      </w:r>
      <w:r w:rsidR="004F3B60" w:rsidRPr="007E63A2">
        <w:rPr>
          <w:b/>
          <w:bCs/>
          <w:szCs w:val="24"/>
        </w:rPr>
        <w:t>Resolución SSPD 20212200012515 de 2021</w:t>
      </w:r>
      <w:r w:rsidR="004F3B60" w:rsidRPr="007E63A2">
        <w:rPr>
          <w:szCs w:val="24"/>
        </w:rPr>
        <w:t xml:space="preserve"> donde los Comercializadores de energía reportan, entre otras cosas, el valor del G Transitorio </w:t>
      </w:r>
      <w:r w:rsidR="004F3B60" w:rsidRPr="007E63A2">
        <w:rPr>
          <w:szCs w:val="24"/>
        </w:rPr>
        <w:lastRenderedPageBreak/>
        <w:t>del componente de Generación del CU encontrando valores significativos tal como se muestra a continuación:</w:t>
      </w:r>
    </w:p>
    <w:p w14:paraId="60FE849C" w14:textId="77777777" w:rsidR="004F3B60" w:rsidRPr="007E63A2" w:rsidRDefault="004F3B60" w:rsidP="005B0A8B">
      <w:pPr>
        <w:spacing w:line="276" w:lineRule="auto"/>
        <w:rPr>
          <w:szCs w:val="24"/>
        </w:rPr>
      </w:pPr>
    </w:p>
    <w:p w14:paraId="6503B42E" w14:textId="17BFA168" w:rsidR="004F3B60" w:rsidRPr="007E63A2" w:rsidRDefault="004F3B60" w:rsidP="005B0A8B">
      <w:pPr>
        <w:spacing w:line="276" w:lineRule="auto"/>
        <w:rPr>
          <w:szCs w:val="24"/>
        </w:rPr>
      </w:pPr>
      <w:r w:rsidRPr="007E63A2">
        <w:rPr>
          <w:noProof/>
        </w:rPr>
        <w:drawing>
          <wp:inline distT="0" distB="0" distL="0" distR="0" wp14:anchorId="2D9FD744" wp14:editId="0B6CA1FF">
            <wp:extent cx="5613400" cy="2696845"/>
            <wp:effectExtent l="0" t="0" r="6350" b="8255"/>
            <wp:docPr id="50731743" name="Gráfico 1">
              <a:extLst xmlns:a="http://schemas.openxmlformats.org/drawingml/2006/main">
                <a:ext uri="{FF2B5EF4-FFF2-40B4-BE49-F238E27FC236}">
                  <a16:creationId xmlns:a16="http://schemas.microsoft.com/office/drawing/2014/main" id="{652482DC-936E-43D4-E8D9-1FF6D85D4C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8683447" w14:textId="404CC17F" w:rsidR="005B0A8B" w:rsidRPr="007E63A2" w:rsidRDefault="004F3B60" w:rsidP="004F3B60">
      <w:pPr>
        <w:pStyle w:val="Descripcin"/>
        <w:jc w:val="center"/>
        <w:rPr>
          <w:color w:val="auto"/>
        </w:rPr>
      </w:pPr>
      <w:r w:rsidRPr="007E63A2">
        <w:rPr>
          <w:color w:val="auto"/>
        </w:rPr>
        <w:t xml:space="preserve">Ilustración </w:t>
      </w:r>
      <w:r w:rsidRPr="007E63A2">
        <w:rPr>
          <w:color w:val="auto"/>
        </w:rPr>
        <w:fldChar w:fldCharType="begin"/>
      </w:r>
      <w:r w:rsidRPr="007E63A2">
        <w:rPr>
          <w:color w:val="auto"/>
        </w:rPr>
        <w:instrText xml:space="preserve"> SEQ Ilustración \* ARABIC </w:instrText>
      </w:r>
      <w:r w:rsidRPr="007E63A2">
        <w:rPr>
          <w:color w:val="auto"/>
        </w:rPr>
        <w:fldChar w:fldCharType="separate"/>
      </w:r>
      <w:r w:rsidR="00A42CBA" w:rsidRPr="007E63A2">
        <w:rPr>
          <w:color w:val="auto"/>
        </w:rPr>
        <w:t>1</w:t>
      </w:r>
      <w:r w:rsidRPr="007E63A2">
        <w:rPr>
          <w:color w:val="auto"/>
        </w:rPr>
        <w:fldChar w:fldCharType="end"/>
      </w:r>
      <w:r w:rsidRPr="007E63A2">
        <w:rPr>
          <w:color w:val="auto"/>
        </w:rPr>
        <w:t xml:space="preserve">. G transitorio NEU ENERGY. Fuente: </w:t>
      </w:r>
      <w:r w:rsidR="00A42CBA" w:rsidRPr="007E63A2">
        <w:rPr>
          <w:color w:val="auto"/>
        </w:rPr>
        <w:t xml:space="preserve">Formato T9 </w:t>
      </w:r>
      <w:r w:rsidRPr="007E63A2">
        <w:rPr>
          <w:color w:val="auto"/>
        </w:rPr>
        <w:t>SUI. Elaboración CREG</w:t>
      </w:r>
    </w:p>
    <w:p w14:paraId="48E9AF14" w14:textId="77777777" w:rsidR="004F3B60" w:rsidRPr="007E63A2" w:rsidRDefault="004F3B60" w:rsidP="006B6490">
      <w:pPr>
        <w:spacing w:line="276" w:lineRule="auto"/>
      </w:pPr>
    </w:p>
    <w:p w14:paraId="56BB96AB" w14:textId="0C50906F" w:rsidR="00A42CBA" w:rsidRPr="007E63A2" w:rsidRDefault="00A42CBA" w:rsidP="00A42CBA">
      <w:pPr>
        <w:spacing w:line="276" w:lineRule="auto"/>
        <w:jc w:val="center"/>
      </w:pPr>
      <w:r w:rsidRPr="007E63A2">
        <w:rPr>
          <w:noProof/>
        </w:rPr>
        <w:drawing>
          <wp:inline distT="0" distB="0" distL="0" distR="0" wp14:anchorId="09C1B10B" wp14:editId="61EF82EC">
            <wp:extent cx="5613400" cy="2696845"/>
            <wp:effectExtent l="0" t="0" r="6350" b="8255"/>
            <wp:docPr id="631612137" name="Gráfico 1">
              <a:extLst xmlns:a="http://schemas.openxmlformats.org/drawingml/2006/main">
                <a:ext uri="{FF2B5EF4-FFF2-40B4-BE49-F238E27FC236}">
                  <a16:creationId xmlns:a16="http://schemas.microsoft.com/office/drawing/2014/main" id="{652482DC-936E-43D4-E8D9-1FF6D85D4C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F2042A9" w14:textId="60866FD8" w:rsidR="00A42CBA" w:rsidRPr="007E63A2" w:rsidRDefault="00A42CBA" w:rsidP="00A42CBA">
      <w:pPr>
        <w:pStyle w:val="Descripcin"/>
        <w:jc w:val="center"/>
        <w:rPr>
          <w:color w:val="auto"/>
        </w:rPr>
      </w:pPr>
      <w:r w:rsidRPr="007E63A2">
        <w:rPr>
          <w:color w:val="auto"/>
        </w:rPr>
        <w:t xml:space="preserve">Ilustración </w:t>
      </w:r>
      <w:r w:rsidRPr="007E63A2">
        <w:rPr>
          <w:color w:val="auto"/>
        </w:rPr>
        <w:fldChar w:fldCharType="begin"/>
      </w:r>
      <w:r w:rsidRPr="007E63A2">
        <w:rPr>
          <w:color w:val="auto"/>
        </w:rPr>
        <w:instrText xml:space="preserve"> SEQ Ilustración \* ARABIC </w:instrText>
      </w:r>
      <w:r w:rsidRPr="007E63A2">
        <w:rPr>
          <w:color w:val="auto"/>
        </w:rPr>
        <w:fldChar w:fldCharType="separate"/>
      </w:r>
      <w:r w:rsidRPr="007E63A2">
        <w:rPr>
          <w:color w:val="auto"/>
        </w:rPr>
        <w:t>2</w:t>
      </w:r>
      <w:r w:rsidRPr="007E63A2">
        <w:rPr>
          <w:color w:val="auto"/>
        </w:rPr>
        <w:fldChar w:fldCharType="end"/>
      </w:r>
      <w:r w:rsidRPr="007E63A2">
        <w:rPr>
          <w:color w:val="auto"/>
        </w:rPr>
        <w:t>. G transitorio Sol &amp; Cielo Energía. Fuente: Formato T9  SUI. Elaboración CREG.</w:t>
      </w:r>
    </w:p>
    <w:p w14:paraId="31C62BE8" w14:textId="77777777" w:rsidR="00A42CBA" w:rsidRPr="007E63A2" w:rsidRDefault="00A42CBA" w:rsidP="006B6490">
      <w:pPr>
        <w:spacing w:line="276" w:lineRule="auto"/>
      </w:pPr>
    </w:p>
    <w:p w14:paraId="07A0C813" w14:textId="2F04EBA2" w:rsidR="00A42CBA" w:rsidRPr="007E63A2" w:rsidRDefault="00A42CBA" w:rsidP="006B6490">
      <w:pPr>
        <w:spacing w:line="276" w:lineRule="auto"/>
      </w:pPr>
      <w:r w:rsidRPr="007E63A2">
        <w:rPr>
          <w:noProof/>
        </w:rPr>
        <w:lastRenderedPageBreak/>
        <w:drawing>
          <wp:inline distT="0" distB="0" distL="0" distR="0" wp14:anchorId="6AD08169" wp14:editId="7591DFA8">
            <wp:extent cx="5613400" cy="2696845"/>
            <wp:effectExtent l="0" t="0" r="6350" b="8255"/>
            <wp:docPr id="1439496563" name="Gráfico 1">
              <a:extLst xmlns:a="http://schemas.openxmlformats.org/drawingml/2006/main">
                <a:ext uri="{FF2B5EF4-FFF2-40B4-BE49-F238E27FC236}">
                  <a16:creationId xmlns:a16="http://schemas.microsoft.com/office/drawing/2014/main" id="{652482DC-936E-43D4-E8D9-1FF6D85D4C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1DA2CA9" w14:textId="0DE50A3B" w:rsidR="00A42CBA" w:rsidRPr="007E63A2" w:rsidRDefault="00A42CBA" w:rsidP="00A42CBA">
      <w:pPr>
        <w:pStyle w:val="Descripcin"/>
        <w:jc w:val="center"/>
        <w:rPr>
          <w:color w:val="auto"/>
        </w:rPr>
      </w:pPr>
      <w:r w:rsidRPr="007E63A2">
        <w:rPr>
          <w:color w:val="auto"/>
        </w:rPr>
        <w:t xml:space="preserve">Ilustración </w:t>
      </w:r>
      <w:r w:rsidRPr="007E63A2">
        <w:rPr>
          <w:color w:val="auto"/>
        </w:rPr>
        <w:fldChar w:fldCharType="begin"/>
      </w:r>
      <w:r w:rsidRPr="007E63A2">
        <w:rPr>
          <w:color w:val="auto"/>
        </w:rPr>
        <w:instrText xml:space="preserve"> SEQ Ilustración \* ARABIC </w:instrText>
      </w:r>
      <w:r w:rsidRPr="007E63A2">
        <w:rPr>
          <w:color w:val="auto"/>
        </w:rPr>
        <w:fldChar w:fldCharType="separate"/>
      </w:r>
      <w:r w:rsidRPr="007E63A2">
        <w:rPr>
          <w:color w:val="auto"/>
        </w:rPr>
        <w:t>3</w:t>
      </w:r>
      <w:r w:rsidRPr="007E63A2">
        <w:rPr>
          <w:color w:val="auto"/>
        </w:rPr>
        <w:fldChar w:fldCharType="end"/>
      </w:r>
      <w:r w:rsidRPr="007E63A2">
        <w:rPr>
          <w:color w:val="auto"/>
        </w:rPr>
        <w:t>. G transitorio Terpel Energía. Fuente: Formato T9  SUI. Elaboración CREG.</w:t>
      </w:r>
    </w:p>
    <w:p w14:paraId="190C86C7" w14:textId="77777777" w:rsidR="00A42CBA" w:rsidRPr="007E63A2" w:rsidRDefault="00A42CBA" w:rsidP="006B6490">
      <w:pPr>
        <w:spacing w:line="276" w:lineRule="auto"/>
      </w:pPr>
    </w:p>
    <w:p w14:paraId="79D1C9AD" w14:textId="77777777" w:rsidR="00414555" w:rsidRPr="007E63A2" w:rsidRDefault="00A42CBA" w:rsidP="006B6490">
      <w:pPr>
        <w:spacing w:line="276" w:lineRule="auto"/>
      </w:pPr>
      <w:r w:rsidRPr="007E63A2">
        <w:t xml:space="preserve">Con base en la información del SUI, se identifican valores de G transitorio </w:t>
      </w:r>
      <w:r w:rsidR="00BC79FC" w:rsidRPr="007E63A2">
        <w:t xml:space="preserve">por encima de los 2.000 $/kWh en el año 2024 para la empresa Terpel Energía cuyo último reporte fue en septiembre de 2024. </w:t>
      </w:r>
    </w:p>
    <w:p w14:paraId="1711755E" w14:textId="77777777" w:rsidR="00414555" w:rsidRPr="007E63A2" w:rsidRDefault="00414555" w:rsidP="006B6490">
      <w:pPr>
        <w:spacing w:line="276" w:lineRule="auto"/>
      </w:pPr>
    </w:p>
    <w:p w14:paraId="31930AE6" w14:textId="3B466806" w:rsidR="00A42CBA" w:rsidRPr="007E63A2" w:rsidRDefault="00BC79FC" w:rsidP="006B6490">
      <w:pPr>
        <w:spacing w:line="276" w:lineRule="auto"/>
      </w:pPr>
      <w:r w:rsidRPr="007E63A2">
        <w:t>Por otro lado, aclarando que el último reporte de la empresa Sol y Cielo Energía fue en marzo de 2025, se encuentran valores de G transitorio entre 100 $/kWh y 470,40 $/kWh; sin embargo llama la atención de la CREG que esta empresa presente valores de G Transitorio por mercado de Comercialización cuando la metodología de traslado establecida en el Anexo 1 de la Resolución CREG 174 de 2021 es clara en establecer que se calcula un valor único de esta variable por empresa independientemente de los mercados de comercialización que atienda.</w:t>
      </w:r>
    </w:p>
    <w:p w14:paraId="2876B304" w14:textId="77777777" w:rsidR="00A42CBA" w:rsidRPr="007E63A2" w:rsidRDefault="00A42CBA" w:rsidP="006B6490">
      <w:pPr>
        <w:spacing w:line="276" w:lineRule="auto"/>
      </w:pPr>
    </w:p>
    <w:p w14:paraId="23F60C64" w14:textId="0848A4A0" w:rsidR="000E7FFA" w:rsidRPr="007E63A2" w:rsidRDefault="000E7FFA" w:rsidP="000E7FFA">
      <w:pPr>
        <w:pStyle w:val="Ttulo2"/>
      </w:pPr>
      <w:bookmarkStart w:id="6" w:name="_Toc212219321"/>
      <w:r w:rsidRPr="007E63A2">
        <w:t>Caso de borde. Balance negativo entre la demanda agregada y los usuarios AGPE de un comercializador no integrado con el OR</w:t>
      </w:r>
      <w:bookmarkEnd w:id="6"/>
    </w:p>
    <w:p w14:paraId="05DA15EF" w14:textId="2022F1D3" w:rsidR="0044266C" w:rsidRPr="007E63A2" w:rsidRDefault="0073437F" w:rsidP="006B6490">
      <w:pPr>
        <w:spacing w:line="276" w:lineRule="auto"/>
      </w:pPr>
      <w:r w:rsidRPr="007E63A2">
        <w:t>E</w:t>
      </w:r>
      <w:r w:rsidR="00C91A21" w:rsidRPr="007E63A2">
        <w:t>n el documento soporte de la Resolución CREG 002 de 2021 “</w:t>
      </w:r>
      <w:r w:rsidR="00C91A21" w:rsidRPr="007E63A2">
        <w:rPr>
          <w:i/>
          <w:iCs/>
        </w:rPr>
        <w:t>Por la cual se ordena hacer público el proyecto de resolución ‘Por la cual se regulan las actividades de autogeneración a pequeña escala y de generación distribuida en el Sistema Interconectado Nacional</w:t>
      </w:r>
      <w:r w:rsidR="00C91A21" w:rsidRPr="007E63A2">
        <w:t>" en el inciso 2.5 del numeral 2 de la sección</w:t>
      </w:r>
      <w:r w:rsidR="003237A6" w:rsidRPr="007E63A2">
        <w:t xml:space="preserve"> 7.6.4.2</w:t>
      </w:r>
      <w:r w:rsidR="00C91A21" w:rsidRPr="007E63A2">
        <w:t xml:space="preserve"> la Comisión identificó un caso de borde donde la resta al momento de hacer el balance entre la demanda agregada y los usuarios AGPE en otro mercado de los excedentes que se venden al comercializador no integrado con el OR, daba negativa, por lo que </w:t>
      </w:r>
      <w:r w:rsidR="00C91A21" w:rsidRPr="007E63A2">
        <w:lastRenderedPageBreak/>
        <w:t>se proponía que dicha energía quedara a favor del comercializador en bolsa. Tal como se muestra a continuación:</w:t>
      </w:r>
    </w:p>
    <w:p w14:paraId="621B50AC" w14:textId="77777777" w:rsidR="00C91A21" w:rsidRPr="007E63A2" w:rsidRDefault="00C91A21" w:rsidP="006B6490">
      <w:pPr>
        <w:spacing w:line="276" w:lineRule="auto"/>
      </w:pPr>
    </w:p>
    <w:p w14:paraId="1546731F" w14:textId="61E5FDDF" w:rsidR="00C91A21" w:rsidRPr="007E63A2" w:rsidRDefault="0099713E" w:rsidP="0099713E">
      <w:pPr>
        <w:spacing w:line="276" w:lineRule="auto"/>
        <w:ind w:left="708"/>
      </w:pPr>
      <w:r w:rsidRPr="007E63A2">
        <w:t>«</w:t>
      </w:r>
      <w:r w:rsidRPr="007E63A2">
        <w:rPr>
          <w:i/>
          <w:iCs/>
          <w:sz w:val="22"/>
          <w:szCs w:val="22"/>
        </w:rPr>
        <w:t>2.5. Existe un caso de borde en el numeral 2.2 anterior, para el caso en que se venden los excedentes al comercializador no integrado, en el que podría suceder que cuando se realice el balance entre la demanda agregada y los usuarios AGPE en otros mercados, la resta de un valor negativo. Aquí el tratamiento propuesto es que dicha energía queda a favor del comercializador en bolsa.</w:t>
      </w:r>
      <w:r w:rsidRPr="007E63A2">
        <w:t>»</w:t>
      </w:r>
    </w:p>
    <w:p w14:paraId="2A214C9A" w14:textId="77777777" w:rsidR="004316E9" w:rsidRPr="007E63A2" w:rsidRDefault="004316E9" w:rsidP="006B6490">
      <w:pPr>
        <w:spacing w:line="276" w:lineRule="auto"/>
      </w:pPr>
    </w:p>
    <w:p w14:paraId="79C0D076" w14:textId="08217B50" w:rsidR="009976C6" w:rsidRPr="007E63A2" w:rsidRDefault="000F4F09" w:rsidP="006B6490">
      <w:pPr>
        <w:spacing w:line="276" w:lineRule="auto"/>
      </w:pPr>
      <w:r w:rsidRPr="007E63A2">
        <w:t>En ese sentido, en el proyecto de resolución mencionado se había propuesto el parágrafo 3 del artículo 20 para atender el caso de borde identificado</w:t>
      </w:r>
      <w:r w:rsidR="0040350A" w:rsidRPr="007E63A2">
        <w:t xml:space="preserve"> proponiendo lo siguiente:</w:t>
      </w:r>
    </w:p>
    <w:p w14:paraId="33CBCB84" w14:textId="77777777" w:rsidR="00CF34D2" w:rsidRPr="007E63A2" w:rsidRDefault="00CF34D2" w:rsidP="006B6490">
      <w:pPr>
        <w:spacing w:line="276" w:lineRule="auto"/>
      </w:pPr>
    </w:p>
    <w:p w14:paraId="5F7754E4" w14:textId="524DEE41" w:rsidR="00125C15" w:rsidRPr="007E63A2" w:rsidRDefault="00125C15" w:rsidP="00125C15">
      <w:pPr>
        <w:spacing w:line="276" w:lineRule="auto"/>
        <w:ind w:left="708"/>
        <w:rPr>
          <w:i/>
          <w:iCs/>
          <w:sz w:val="22"/>
          <w:szCs w:val="22"/>
        </w:rPr>
      </w:pPr>
      <w:r w:rsidRPr="007E63A2">
        <w:t>«</w:t>
      </w:r>
      <w:r w:rsidRPr="007E63A2">
        <w:rPr>
          <w:b/>
          <w:bCs/>
          <w:i/>
          <w:iCs/>
          <w:sz w:val="22"/>
          <w:szCs w:val="22"/>
        </w:rPr>
        <w:t>Artículo 20.</w:t>
      </w:r>
      <w:r w:rsidRPr="007E63A2">
        <w:rPr>
          <w:i/>
          <w:iCs/>
          <w:sz w:val="22"/>
          <w:szCs w:val="22"/>
        </w:rPr>
        <w:t xml:space="preserve"> Tratamiento de Excedentes de los usuarios AGPE en el ASIC</w:t>
      </w:r>
    </w:p>
    <w:p w14:paraId="6FE2295C" w14:textId="00009C4D" w:rsidR="009976C6" w:rsidRPr="007E63A2" w:rsidRDefault="00125C15" w:rsidP="00125C15">
      <w:pPr>
        <w:spacing w:line="276" w:lineRule="auto"/>
        <w:ind w:left="708"/>
        <w:rPr>
          <w:i/>
          <w:iCs/>
          <w:sz w:val="22"/>
          <w:szCs w:val="22"/>
        </w:rPr>
      </w:pPr>
      <w:r w:rsidRPr="007E63A2">
        <w:rPr>
          <w:i/>
          <w:iCs/>
          <w:sz w:val="22"/>
          <w:szCs w:val="22"/>
        </w:rPr>
        <w:t>el LAC</w:t>
      </w:r>
    </w:p>
    <w:p w14:paraId="0B020FC5" w14:textId="77777777" w:rsidR="00125C15" w:rsidRPr="007E63A2" w:rsidRDefault="00125C15" w:rsidP="00125C15">
      <w:pPr>
        <w:spacing w:line="276" w:lineRule="auto"/>
        <w:ind w:left="708"/>
        <w:rPr>
          <w:i/>
          <w:iCs/>
          <w:sz w:val="22"/>
          <w:szCs w:val="22"/>
        </w:rPr>
      </w:pPr>
    </w:p>
    <w:p w14:paraId="55286653" w14:textId="153774F8" w:rsidR="009976C6" w:rsidRPr="007E63A2" w:rsidRDefault="00125C15" w:rsidP="009976C6">
      <w:pPr>
        <w:spacing w:line="276" w:lineRule="auto"/>
        <w:ind w:left="708"/>
        <w:rPr>
          <w:i/>
          <w:iCs/>
          <w:sz w:val="22"/>
          <w:szCs w:val="22"/>
        </w:rPr>
      </w:pPr>
      <w:r w:rsidRPr="007E63A2">
        <w:rPr>
          <w:i/>
          <w:iCs/>
          <w:sz w:val="22"/>
          <w:szCs w:val="22"/>
        </w:rPr>
        <w:t>(…)</w:t>
      </w:r>
    </w:p>
    <w:p w14:paraId="1B29B58A" w14:textId="77777777" w:rsidR="00125C15" w:rsidRPr="007E63A2" w:rsidRDefault="00125C15" w:rsidP="009976C6">
      <w:pPr>
        <w:spacing w:line="276" w:lineRule="auto"/>
        <w:ind w:left="708"/>
        <w:rPr>
          <w:i/>
          <w:iCs/>
          <w:sz w:val="22"/>
          <w:szCs w:val="22"/>
        </w:rPr>
      </w:pPr>
    </w:p>
    <w:p w14:paraId="52D53193" w14:textId="2A262109" w:rsidR="000F4F09" w:rsidRPr="007E63A2" w:rsidRDefault="009976C6" w:rsidP="009976C6">
      <w:pPr>
        <w:spacing w:line="276" w:lineRule="auto"/>
        <w:ind w:left="708"/>
      </w:pPr>
      <w:r w:rsidRPr="007E63A2">
        <w:rPr>
          <w:b/>
          <w:bCs/>
          <w:i/>
          <w:iCs/>
          <w:sz w:val="22"/>
          <w:szCs w:val="22"/>
        </w:rPr>
        <w:t>Parágrafo 3.</w:t>
      </w:r>
      <w:r w:rsidRPr="007E63A2">
        <w:rPr>
          <w:i/>
          <w:iCs/>
          <w:sz w:val="22"/>
          <w:szCs w:val="22"/>
        </w:rPr>
        <w:t xml:space="preserve"> Para el literal b) del numeral 2.2, y que como resultado del cálculo de la diferencia entre la demanda agregada del comercializador y la generación de excedentes de energía a la red de los AGPE se obtenga un valor negativo, entonces el ASIC debe considerar ese valor negativo de forma equivalente como la diferencia entre la energía contratada de todos los excedentes de sus usuarios AGPE y su demanda.</w:t>
      </w:r>
      <w:r w:rsidR="00125C15" w:rsidRPr="007E63A2">
        <w:t>»</w:t>
      </w:r>
    </w:p>
    <w:p w14:paraId="1BF00F6C" w14:textId="77777777" w:rsidR="00CF34D2" w:rsidRPr="007E63A2" w:rsidRDefault="00CF34D2" w:rsidP="006B6490">
      <w:pPr>
        <w:spacing w:line="276" w:lineRule="auto"/>
      </w:pPr>
    </w:p>
    <w:p w14:paraId="7C6F7C79" w14:textId="5EE1EA8D" w:rsidR="000F4F09" w:rsidRPr="007E63A2" w:rsidRDefault="00F15945" w:rsidP="006B6490">
      <w:pPr>
        <w:spacing w:line="276" w:lineRule="auto"/>
      </w:pPr>
      <w:r w:rsidRPr="007E63A2">
        <w:t>No obstante, la Comisión al momento de expedir la Resolución CREG 174 de 2021 no lo consideró, aclarando que se analizaría posteriormente</w:t>
      </w:r>
      <w:r w:rsidR="005B3E3B" w:rsidRPr="007E63A2">
        <w:t xml:space="preserve"> tal como se muestra a con</w:t>
      </w:r>
      <w:r w:rsidR="006D10FA" w:rsidRPr="007E63A2">
        <w:t>tinuación con base en la matriz de atención a comentarios publicada junto con la Resolución CREG 174 de 2021:</w:t>
      </w:r>
    </w:p>
    <w:p w14:paraId="30CC2F07" w14:textId="77777777" w:rsidR="006D10FA" w:rsidRPr="007E63A2" w:rsidRDefault="006D10FA" w:rsidP="006B6490">
      <w:pPr>
        <w:spacing w:line="276" w:lineRule="auto"/>
      </w:pPr>
    </w:p>
    <w:p w14:paraId="29C6BAF7" w14:textId="77777777" w:rsidR="00EB3412" w:rsidRPr="007E63A2" w:rsidRDefault="00EB3412" w:rsidP="00EB3412">
      <w:pPr>
        <w:spacing w:line="276" w:lineRule="auto"/>
        <w:ind w:left="708"/>
        <w:rPr>
          <w:highlight w:val="yellow"/>
          <w:u w:val="single"/>
        </w:rPr>
      </w:pPr>
      <w:r w:rsidRPr="007E63A2">
        <w:rPr>
          <w:u w:val="single"/>
        </w:rPr>
        <w:t>Comentario 906:</w:t>
      </w:r>
    </w:p>
    <w:p w14:paraId="4A649781" w14:textId="508B1E3E" w:rsidR="009E1A97" w:rsidRPr="007E63A2" w:rsidRDefault="00EB3412" w:rsidP="009E1A97">
      <w:pPr>
        <w:spacing w:line="276" w:lineRule="auto"/>
        <w:ind w:left="708"/>
        <w:rPr>
          <w:i/>
          <w:iCs/>
          <w:sz w:val="22"/>
          <w:szCs w:val="22"/>
        </w:rPr>
      </w:pPr>
      <w:r w:rsidRPr="007E63A2">
        <w:t>«</w:t>
      </w:r>
      <w:r w:rsidR="009E1A97" w:rsidRPr="007E63A2">
        <w:rPr>
          <w:i/>
          <w:iCs/>
          <w:sz w:val="22"/>
          <w:szCs w:val="22"/>
        </w:rPr>
        <w:t>(…) Al respecto llamamos la atención del Regulador en que se puede presentar el caso en el que el agente comercializador que representa el AGPE no atienda demanda regulada, o que dicha demanda sea menor a las exportaciones de los AGPE. Por lo anterior, consideramos necesario que en la resolución definitiva se planteen las reglas que consideren esta condición.</w:t>
      </w:r>
    </w:p>
    <w:p w14:paraId="10150236" w14:textId="77777777" w:rsidR="009E1A97" w:rsidRPr="007E63A2" w:rsidRDefault="009E1A97" w:rsidP="009E1A97">
      <w:pPr>
        <w:spacing w:line="276" w:lineRule="auto"/>
        <w:ind w:firstLine="708"/>
        <w:rPr>
          <w:i/>
          <w:iCs/>
          <w:sz w:val="22"/>
          <w:szCs w:val="22"/>
        </w:rPr>
      </w:pPr>
    </w:p>
    <w:p w14:paraId="5C7947FF" w14:textId="04140FC3" w:rsidR="00EB3412" w:rsidRPr="007E63A2" w:rsidRDefault="009E1A97" w:rsidP="009E1A97">
      <w:pPr>
        <w:spacing w:line="276" w:lineRule="auto"/>
        <w:ind w:left="708"/>
      </w:pPr>
      <w:r w:rsidRPr="007E63A2">
        <w:rPr>
          <w:i/>
          <w:iCs/>
          <w:sz w:val="22"/>
          <w:szCs w:val="22"/>
        </w:rPr>
        <w:t>Este mismo comentario es aplicable al literal b del Numeral 2 del mismo artículo.</w:t>
      </w:r>
      <w:r w:rsidRPr="007E63A2">
        <w:t>»</w:t>
      </w:r>
    </w:p>
    <w:p w14:paraId="65682105" w14:textId="77777777" w:rsidR="009E1A97" w:rsidRPr="007E63A2" w:rsidRDefault="009E1A97" w:rsidP="009E1A97">
      <w:pPr>
        <w:spacing w:line="276" w:lineRule="auto"/>
        <w:ind w:left="708"/>
      </w:pPr>
    </w:p>
    <w:p w14:paraId="1438C232" w14:textId="759C1578" w:rsidR="009E1A97" w:rsidRPr="007E63A2" w:rsidRDefault="009E1A97" w:rsidP="009E1A97">
      <w:pPr>
        <w:spacing w:line="276" w:lineRule="auto"/>
        <w:ind w:left="708"/>
      </w:pPr>
      <w:r w:rsidRPr="007E63A2">
        <w:lastRenderedPageBreak/>
        <w:t xml:space="preserve">Respuesta de la Comisión: </w:t>
      </w:r>
      <w:r w:rsidR="007E122E" w:rsidRPr="007E63A2">
        <w:t>«</w:t>
      </w:r>
      <w:r w:rsidR="007E122E" w:rsidRPr="007E63A2">
        <w:rPr>
          <w:i/>
          <w:iCs/>
          <w:sz w:val="22"/>
          <w:szCs w:val="22"/>
        </w:rPr>
        <w:t>(…) En cuanto a si la demanda es menor que las exportaciones, el caso será analizado de forma posterior.</w:t>
      </w:r>
      <w:r w:rsidR="007E122E" w:rsidRPr="007E63A2">
        <w:t>»</w:t>
      </w:r>
    </w:p>
    <w:p w14:paraId="2F2B436F" w14:textId="77777777" w:rsidR="00EB3412" w:rsidRPr="007E63A2" w:rsidRDefault="00EB3412" w:rsidP="006F3ACF">
      <w:pPr>
        <w:spacing w:line="276" w:lineRule="auto"/>
        <w:ind w:firstLine="708"/>
        <w:rPr>
          <w:u w:val="single"/>
        </w:rPr>
      </w:pPr>
    </w:p>
    <w:p w14:paraId="1C3C59B6" w14:textId="33CBDEB3" w:rsidR="006D10FA" w:rsidRPr="007E63A2" w:rsidRDefault="00892DC6" w:rsidP="006F3ACF">
      <w:pPr>
        <w:spacing w:line="276" w:lineRule="auto"/>
        <w:ind w:firstLine="708"/>
      </w:pPr>
      <w:r w:rsidRPr="007E63A2">
        <w:rPr>
          <w:u w:val="single"/>
        </w:rPr>
        <w:t xml:space="preserve">Comentario </w:t>
      </w:r>
      <w:r w:rsidR="006F3ACF" w:rsidRPr="007E63A2">
        <w:rPr>
          <w:u w:val="single"/>
        </w:rPr>
        <w:t>911</w:t>
      </w:r>
      <w:r w:rsidR="006F3ACF" w:rsidRPr="007E63A2">
        <w:t>:</w:t>
      </w:r>
    </w:p>
    <w:p w14:paraId="640CEB3D" w14:textId="1F149A2A" w:rsidR="00536F2A" w:rsidRPr="007E63A2" w:rsidRDefault="00536F2A" w:rsidP="00536F2A">
      <w:pPr>
        <w:spacing w:line="276" w:lineRule="auto"/>
        <w:ind w:left="708"/>
      </w:pPr>
      <w:r w:rsidRPr="007E63A2">
        <w:t>«(…)</w:t>
      </w:r>
      <w:r w:rsidRPr="007E63A2">
        <w:rPr>
          <w:i/>
          <w:iCs/>
          <w:sz w:val="22"/>
          <w:szCs w:val="22"/>
        </w:rPr>
        <w:t xml:space="preserve"> Teniendo en cuenta este entendimiento, se puede presentar un caso en el cual se tenga que la cantidad de excedentes de los AGPE con destino al mercado regulado sea superior a la demanda que este comercializador represente en el mismo mercado regulado, llevando a tener valores negativos en esta resta. Lo anterior, con independencia de que este comercializador tenga demanda no regulada muy superior a su demanda regulada. Para este escenario, entendemos que el ASIC debería considerar una demanda regulada igual cero (0kWh) y dar aplicación a lo establecido en el Parágrafo 3 del Artículo 20 del proyecto en consulta. (…)</w:t>
      </w:r>
      <w:r w:rsidRPr="007E63A2">
        <w:t>»</w:t>
      </w:r>
    </w:p>
    <w:p w14:paraId="63C9522A" w14:textId="77777777" w:rsidR="006978E8" w:rsidRPr="007E63A2" w:rsidRDefault="006978E8" w:rsidP="00536F2A">
      <w:pPr>
        <w:spacing w:line="276" w:lineRule="auto"/>
        <w:ind w:left="708"/>
      </w:pPr>
    </w:p>
    <w:p w14:paraId="764008A6" w14:textId="42DAA42D" w:rsidR="006978E8" w:rsidRPr="007E63A2" w:rsidRDefault="006978E8" w:rsidP="00536F2A">
      <w:pPr>
        <w:spacing w:line="276" w:lineRule="auto"/>
        <w:ind w:left="708"/>
      </w:pPr>
      <w:r w:rsidRPr="007E63A2">
        <w:t xml:space="preserve">Respuesta de la Comisión: </w:t>
      </w:r>
      <w:r w:rsidR="002543C6" w:rsidRPr="007E63A2">
        <w:t>«</w:t>
      </w:r>
      <w:r w:rsidR="002543C6" w:rsidRPr="007E63A2">
        <w:rPr>
          <w:i/>
          <w:iCs/>
          <w:sz w:val="22"/>
          <w:szCs w:val="22"/>
        </w:rPr>
        <w:t>Se acepta el comentario y se ajusta en la resolución con base en reuniones. Respecto del tratamiento en caso de exceso, por el momento no será considerado (parágrafo 3)</w:t>
      </w:r>
      <w:r w:rsidR="002543C6" w:rsidRPr="007E63A2">
        <w:t>»</w:t>
      </w:r>
    </w:p>
    <w:p w14:paraId="1F0AF8E7" w14:textId="77777777" w:rsidR="002543C6" w:rsidRPr="007E63A2" w:rsidRDefault="002543C6" w:rsidP="00536F2A">
      <w:pPr>
        <w:spacing w:line="276" w:lineRule="auto"/>
        <w:ind w:left="708"/>
      </w:pPr>
    </w:p>
    <w:p w14:paraId="06CFA246" w14:textId="669FE882" w:rsidR="002543C6" w:rsidRPr="007E63A2" w:rsidRDefault="00E736C9" w:rsidP="00536F2A">
      <w:pPr>
        <w:spacing w:line="276" w:lineRule="auto"/>
        <w:ind w:left="708"/>
        <w:rPr>
          <w:u w:val="single"/>
        </w:rPr>
      </w:pPr>
      <w:r w:rsidRPr="007E63A2">
        <w:rPr>
          <w:u w:val="single"/>
        </w:rPr>
        <w:t>Comentario 915:</w:t>
      </w:r>
    </w:p>
    <w:p w14:paraId="7E77AD5E" w14:textId="53B87B81" w:rsidR="00E736C9" w:rsidRPr="007E63A2" w:rsidRDefault="00E736C9" w:rsidP="00536F2A">
      <w:pPr>
        <w:spacing w:line="276" w:lineRule="auto"/>
        <w:ind w:left="708"/>
      </w:pPr>
      <w:r w:rsidRPr="007E63A2">
        <w:t>«</w:t>
      </w:r>
      <w:r w:rsidRPr="007E63A2">
        <w:rPr>
          <w:i/>
          <w:iCs/>
          <w:sz w:val="22"/>
          <w:szCs w:val="22"/>
        </w:rPr>
        <w:t>e. En el Parágrafo 3 del Artículo 20 del proyecto se establecen las reglas que debería aplicar el ASIC en los casos en los cuales la aplicación del literal b) del Numeral 2.2. del mismo artículo de como resultado un valor negativo. Sin embargo, no es claro para el ASIC dicha disposición ni la forma como la misma permitiría que las transacciones en la bolsa puedan cerrar.</w:t>
      </w:r>
      <w:r w:rsidRPr="007E63A2">
        <w:t>»</w:t>
      </w:r>
    </w:p>
    <w:p w14:paraId="1AFAB111" w14:textId="77777777" w:rsidR="00D07933" w:rsidRPr="007E63A2" w:rsidRDefault="00D07933" w:rsidP="00536F2A">
      <w:pPr>
        <w:spacing w:line="276" w:lineRule="auto"/>
        <w:ind w:left="708"/>
      </w:pPr>
    </w:p>
    <w:p w14:paraId="098DE62D" w14:textId="431FC180" w:rsidR="00D07933" w:rsidRPr="007E63A2" w:rsidRDefault="00D07933" w:rsidP="00536F2A">
      <w:pPr>
        <w:spacing w:line="276" w:lineRule="auto"/>
        <w:ind w:left="708"/>
      </w:pPr>
      <w:r w:rsidRPr="007E63A2">
        <w:t>Respuesta de la Comisión: «</w:t>
      </w:r>
      <w:r w:rsidRPr="007E63A2">
        <w:rPr>
          <w:i/>
          <w:iCs/>
          <w:sz w:val="22"/>
          <w:szCs w:val="22"/>
        </w:rPr>
        <w:t xml:space="preserve">Por el momento no se definirá dicha regla, se </w:t>
      </w:r>
      <w:r w:rsidR="008061B1" w:rsidRPr="007E63A2">
        <w:rPr>
          <w:i/>
          <w:iCs/>
          <w:sz w:val="22"/>
          <w:szCs w:val="22"/>
        </w:rPr>
        <w:t>analizará</w:t>
      </w:r>
      <w:r w:rsidRPr="007E63A2">
        <w:rPr>
          <w:i/>
          <w:iCs/>
          <w:sz w:val="22"/>
          <w:szCs w:val="22"/>
        </w:rPr>
        <w:t xml:space="preserve"> de forma posterior.</w:t>
      </w:r>
      <w:r w:rsidRPr="007E63A2">
        <w:t>»</w:t>
      </w:r>
    </w:p>
    <w:p w14:paraId="2A83E1A1" w14:textId="77777777" w:rsidR="007032B7" w:rsidRPr="007E63A2" w:rsidRDefault="007032B7" w:rsidP="007D78C5">
      <w:pPr>
        <w:spacing w:line="276" w:lineRule="auto"/>
      </w:pPr>
    </w:p>
    <w:p w14:paraId="42BB635F" w14:textId="66DC3FAE" w:rsidR="00EE7C6A" w:rsidRPr="007E63A2" w:rsidRDefault="007D78C5" w:rsidP="00EE7C6A">
      <w:pPr>
        <w:spacing w:line="276" w:lineRule="auto"/>
        <w:rPr>
          <w:color w:val="000000"/>
          <w:lang w:eastAsia="es-CO"/>
        </w:rPr>
      </w:pPr>
      <w:r w:rsidRPr="007E63A2">
        <w:t xml:space="preserve">Mencionado lo anterior, la Comisión tiene conocimiento </w:t>
      </w:r>
      <w:r w:rsidR="000A4709" w:rsidRPr="007E63A2">
        <w:t>del caso allegado por un agente</w:t>
      </w:r>
      <w:r w:rsidR="00CF03D1" w:rsidRPr="007E63A2">
        <w:t xml:space="preserve"> </w:t>
      </w:r>
      <w:r w:rsidR="0073437F" w:rsidRPr="007E63A2">
        <w:t xml:space="preserve">con radicado CREG </w:t>
      </w:r>
      <w:r w:rsidR="00B8309C" w:rsidRPr="007E63A2">
        <w:t>E2025008669</w:t>
      </w:r>
      <w:r w:rsidR="00387936" w:rsidRPr="007E63A2">
        <w:t xml:space="preserve"> </w:t>
      </w:r>
      <w:r w:rsidR="00CF03D1" w:rsidRPr="007E63A2">
        <w:t xml:space="preserve">donde expone que el caso de borde ya se está presentando </w:t>
      </w:r>
      <w:r w:rsidR="00C46C6E" w:rsidRPr="007E63A2">
        <w:t>y solicita</w:t>
      </w:r>
      <w:r w:rsidR="007D6A35" w:rsidRPr="007E63A2">
        <w:t xml:space="preserve"> se tomen medidas al respecto.</w:t>
      </w:r>
    </w:p>
    <w:p w14:paraId="16DA887E" w14:textId="29E01020" w:rsidR="007D78C5" w:rsidRPr="007E63A2" w:rsidRDefault="007D78C5" w:rsidP="007D78C5">
      <w:pPr>
        <w:spacing w:line="276" w:lineRule="auto"/>
      </w:pPr>
    </w:p>
    <w:p w14:paraId="1579237B" w14:textId="19E6FD10" w:rsidR="000E7FFA" w:rsidRPr="007E63A2" w:rsidRDefault="000E7FFA" w:rsidP="000E7FFA">
      <w:pPr>
        <w:pStyle w:val="Ttulo2"/>
      </w:pPr>
      <w:bookmarkStart w:id="7" w:name="_Toc212219322"/>
      <w:r w:rsidRPr="007E63A2">
        <w:t xml:space="preserve">Reglas para el procedimiento de conexión de las </w:t>
      </w:r>
      <w:r w:rsidR="00B40C5E" w:rsidRPr="007E63A2">
        <w:t>comunidades energéticas</w:t>
      </w:r>
      <w:bookmarkEnd w:id="7"/>
    </w:p>
    <w:p w14:paraId="03C13758" w14:textId="1D60A56F" w:rsidR="009E0F5C" w:rsidRPr="007E63A2" w:rsidRDefault="00B40C5E" w:rsidP="00B17E86">
      <w:pPr>
        <w:spacing w:line="276" w:lineRule="auto"/>
      </w:pPr>
      <w:r w:rsidRPr="007E63A2">
        <w:t>En el proyecto de resolución de Autogeneración remota CREG 701 091 de 2025 se incluyó que cualquier generador o autogenerador de capacidad efectiva neta menor a 5MW aplicaría la Resolución CREG 174 de 2021, en línea con lo anterior se considera pertinente ajustar la Resolución CREG 101 072 de 2025 para que todas las comunidades energéticas se rijan bajo esta regla.</w:t>
      </w:r>
    </w:p>
    <w:p w14:paraId="55A27274" w14:textId="77777777" w:rsidR="00B40C5E" w:rsidRPr="007E63A2" w:rsidRDefault="00B40C5E" w:rsidP="00B17E86">
      <w:pPr>
        <w:spacing w:line="276" w:lineRule="auto"/>
        <w:rPr>
          <w:color w:val="000000"/>
          <w:lang w:eastAsia="es-CO"/>
        </w:rPr>
      </w:pPr>
    </w:p>
    <w:p w14:paraId="6788496B" w14:textId="581C0A20" w:rsidR="000E7FFA" w:rsidRPr="007E63A2" w:rsidRDefault="00FA2A13" w:rsidP="000E7FFA">
      <w:pPr>
        <w:pStyle w:val="Ttulo2"/>
        <w:rPr>
          <w:lang w:eastAsia="es-CO"/>
        </w:rPr>
      </w:pPr>
      <w:bookmarkStart w:id="8" w:name="_Toc212219323"/>
      <w:r w:rsidRPr="007E63A2">
        <w:rPr>
          <w:lang w:eastAsia="es-CO"/>
        </w:rPr>
        <w:t>C</w:t>
      </w:r>
      <w:r w:rsidR="000E7FFA" w:rsidRPr="007E63A2">
        <w:rPr>
          <w:lang w:eastAsia="es-CO"/>
        </w:rPr>
        <w:t>omunidades energéticas con energía proveniente de combustibles renovables y recursos energéticos distribuidos</w:t>
      </w:r>
      <w:r w:rsidR="00B40C5E" w:rsidRPr="007E63A2">
        <w:rPr>
          <w:lang w:eastAsia="es-CO"/>
        </w:rPr>
        <w:t>.</w:t>
      </w:r>
      <w:bookmarkEnd w:id="8"/>
    </w:p>
    <w:p w14:paraId="1F5768ED" w14:textId="77777777" w:rsidR="000E7FFA" w:rsidRPr="007E63A2" w:rsidRDefault="000E7FFA" w:rsidP="00B17E86">
      <w:pPr>
        <w:spacing w:line="276" w:lineRule="auto"/>
        <w:rPr>
          <w:color w:val="000000"/>
          <w:lang w:eastAsia="es-CO"/>
        </w:rPr>
      </w:pPr>
    </w:p>
    <w:p w14:paraId="776200BC" w14:textId="77777777" w:rsidR="00FB3588" w:rsidRPr="007E63A2" w:rsidRDefault="00B40C5E" w:rsidP="00FB3588">
      <w:pPr>
        <w:spacing w:line="276" w:lineRule="auto"/>
        <w:rPr>
          <w:color w:val="000000"/>
          <w:lang w:eastAsia="es-CO"/>
        </w:rPr>
      </w:pPr>
      <w:r w:rsidRPr="007E63A2">
        <w:rPr>
          <w:color w:val="000000"/>
          <w:lang w:eastAsia="es-CO"/>
        </w:rPr>
        <w:t xml:space="preserve">A través del radicado CREG E2025009689 se planteó una consulta para la Comisión asociada al alcance de la definición de comunidad energética </w:t>
      </w:r>
      <w:r w:rsidR="00FB3588" w:rsidRPr="007E63A2">
        <w:rPr>
          <w:color w:val="000000"/>
          <w:lang w:eastAsia="es-CO"/>
        </w:rPr>
        <w:t xml:space="preserve">contenida en la Resolución CREG 101 072 de 2025 y la contenida en el artículo 2.2.9.1.2 del Decreto 2236 de 2023. </w:t>
      </w:r>
    </w:p>
    <w:p w14:paraId="27DD46DF" w14:textId="77777777" w:rsidR="00FB3588" w:rsidRPr="007E63A2" w:rsidRDefault="00FB3588" w:rsidP="00FB3588">
      <w:pPr>
        <w:spacing w:line="276" w:lineRule="auto"/>
        <w:rPr>
          <w:color w:val="000000"/>
          <w:lang w:eastAsia="es-CO"/>
        </w:rPr>
      </w:pPr>
    </w:p>
    <w:p w14:paraId="2ADACE7F" w14:textId="477F33D4" w:rsidR="00FB3588" w:rsidRPr="007E63A2" w:rsidRDefault="00FB3588" w:rsidP="00FB3588">
      <w:pPr>
        <w:spacing w:line="276" w:lineRule="auto"/>
        <w:rPr>
          <w:color w:val="000000"/>
          <w:lang w:eastAsia="es-CO"/>
        </w:rPr>
      </w:pPr>
      <w:r w:rsidRPr="007E63A2">
        <w:rPr>
          <w:color w:val="000000"/>
          <w:lang w:eastAsia="es-CO"/>
        </w:rPr>
        <w:t>El artículo 3 de la Resolución CREG 101 072 de 2025 establece:</w:t>
      </w:r>
    </w:p>
    <w:p w14:paraId="0FCD2900" w14:textId="77777777" w:rsidR="00FB3588" w:rsidRPr="007E63A2" w:rsidRDefault="00FB3588" w:rsidP="00FB3588">
      <w:pPr>
        <w:spacing w:line="276" w:lineRule="auto"/>
        <w:rPr>
          <w:color w:val="000000"/>
          <w:lang w:eastAsia="es-CO"/>
        </w:rPr>
      </w:pPr>
    </w:p>
    <w:p w14:paraId="3ABADB2C" w14:textId="27C01D6A" w:rsidR="00FB3588" w:rsidRPr="007E63A2" w:rsidRDefault="00FB3588" w:rsidP="00FB3588">
      <w:pPr>
        <w:spacing w:line="276" w:lineRule="auto"/>
        <w:ind w:left="708"/>
        <w:rPr>
          <w:color w:val="000000"/>
          <w:lang w:eastAsia="es-CO"/>
        </w:rPr>
      </w:pPr>
      <w:r w:rsidRPr="007E63A2">
        <w:rPr>
          <w:color w:val="000000"/>
          <w:lang w:eastAsia="es-CO"/>
        </w:rPr>
        <w:t>«</w:t>
      </w:r>
      <w:r w:rsidRPr="007E63A2">
        <w:rPr>
          <w:b/>
          <w:bCs/>
          <w:i/>
          <w:iCs/>
          <w:color w:val="000000"/>
          <w:sz w:val="22"/>
          <w:szCs w:val="22"/>
          <w:lang w:eastAsia="es-CO"/>
        </w:rPr>
        <w:t>Comunidad Energética (CE).</w:t>
      </w:r>
      <w:r w:rsidRPr="007E63A2">
        <w:rPr>
          <w:i/>
          <w:iCs/>
          <w:color w:val="000000"/>
          <w:sz w:val="22"/>
          <w:szCs w:val="22"/>
          <w:lang w:eastAsia="es-CO"/>
        </w:rPr>
        <w:t xml:space="preserve"> Comunidad organizada que surge en virtud de un acuerdo entre personas naturales y/o jurídicas de derecho público o privado que cooperan entre sí a través de un contrato o convenio asociativo para desarrollar las siguientes actividades: generación, comercialización y uso eficiente de la energía a través del uso de Fuentes No Convencionales de Energía Renovables (FNCER), </w:t>
      </w:r>
      <w:r w:rsidRPr="007E63A2">
        <w:rPr>
          <w:i/>
          <w:iCs/>
          <w:color w:val="000000"/>
          <w:sz w:val="22"/>
          <w:szCs w:val="22"/>
          <w:u w:val="single"/>
          <w:lang w:eastAsia="es-CO"/>
        </w:rPr>
        <w:t>combustibles renovables y recursos energéticos distribuidos</w:t>
      </w:r>
      <w:r w:rsidRPr="007E63A2">
        <w:rPr>
          <w:i/>
          <w:iCs/>
          <w:color w:val="000000"/>
          <w:sz w:val="22"/>
          <w:szCs w:val="22"/>
          <w:lang w:eastAsia="es-CO"/>
        </w:rPr>
        <w:t>, de acuerdo con lo dispuesto en el artículo 2.2.9.1.2 del Decreto número 2236 de 2023.”</w:t>
      </w:r>
      <w:r w:rsidRPr="007E63A2">
        <w:rPr>
          <w:color w:val="000000"/>
          <w:lang w:eastAsia="es-CO"/>
        </w:rPr>
        <w:t>» (Subrayado fuera de texto)</w:t>
      </w:r>
    </w:p>
    <w:p w14:paraId="665BFCE2" w14:textId="77777777" w:rsidR="00FB3588" w:rsidRPr="007E63A2" w:rsidRDefault="00FB3588" w:rsidP="00FB3588">
      <w:pPr>
        <w:spacing w:line="276" w:lineRule="auto"/>
        <w:rPr>
          <w:color w:val="000000"/>
          <w:lang w:eastAsia="es-CO"/>
        </w:rPr>
      </w:pPr>
    </w:p>
    <w:p w14:paraId="3D226CF3" w14:textId="140EE153" w:rsidR="00FB3588" w:rsidRPr="007E63A2" w:rsidRDefault="00FB3588" w:rsidP="00FB3588">
      <w:pPr>
        <w:spacing w:line="276" w:lineRule="auto"/>
        <w:rPr>
          <w:color w:val="000000"/>
          <w:lang w:eastAsia="es-CO"/>
        </w:rPr>
      </w:pPr>
      <w:r w:rsidRPr="007E63A2">
        <w:rPr>
          <w:color w:val="000000"/>
          <w:lang w:eastAsia="es-CO"/>
        </w:rPr>
        <w:t xml:space="preserve">El artículo 2.2.9.1.2 del Decreto 2236 de 2023 establece la siguiente </w:t>
      </w:r>
      <w:r w:rsidR="0062512C" w:rsidRPr="007E63A2">
        <w:rPr>
          <w:color w:val="000000"/>
          <w:lang w:eastAsia="es-CO"/>
        </w:rPr>
        <w:t>definición</w:t>
      </w:r>
      <w:r w:rsidRPr="007E63A2">
        <w:rPr>
          <w:color w:val="000000"/>
          <w:lang w:eastAsia="es-CO"/>
        </w:rPr>
        <w:t xml:space="preserve"> de comunidades energéticas:</w:t>
      </w:r>
    </w:p>
    <w:p w14:paraId="6800B2A7" w14:textId="506E91DC" w:rsidR="00FB3588" w:rsidRPr="007E63A2" w:rsidRDefault="00FB3588" w:rsidP="00FB3588">
      <w:pPr>
        <w:spacing w:line="276" w:lineRule="auto"/>
        <w:rPr>
          <w:color w:val="000000"/>
          <w:lang w:eastAsia="es-CO"/>
        </w:rPr>
      </w:pPr>
    </w:p>
    <w:p w14:paraId="066E30D5" w14:textId="3A34703E" w:rsidR="00FB3588" w:rsidRPr="007E63A2" w:rsidRDefault="00FB3588" w:rsidP="002B7F2D">
      <w:pPr>
        <w:spacing w:line="276" w:lineRule="auto"/>
        <w:ind w:left="708"/>
        <w:rPr>
          <w:color w:val="000000"/>
          <w:lang w:eastAsia="es-CO"/>
        </w:rPr>
      </w:pPr>
      <w:r w:rsidRPr="007E63A2">
        <w:rPr>
          <w:color w:val="000000"/>
          <w:lang w:eastAsia="es-CO"/>
        </w:rPr>
        <w:t>«</w:t>
      </w:r>
      <w:r w:rsidR="00971FA9" w:rsidRPr="007E63A2">
        <w:rPr>
          <w:i/>
          <w:iCs/>
          <w:color w:val="000000"/>
          <w:sz w:val="22"/>
          <w:szCs w:val="22"/>
          <w:lang w:eastAsia="es-CO"/>
        </w:rPr>
        <w:t xml:space="preserve">Artículo 2.2.9.1.2. Naturaleza jurídica y objetivos de las Comunidades Energéticas. Las Comunidades Energéticas son comunidades organizadas que surgen en virtud de un acuerdo entre personas naturales y/o jurídicas de derecho público o privado que cooperan entre sí a través de un contrato o convenio asociativo para desarrollar las siguientes actividades: generación, comercialización y uso eficiente de la energía a través del uso de </w:t>
      </w:r>
      <w:r w:rsidR="00971FA9" w:rsidRPr="007E63A2">
        <w:rPr>
          <w:i/>
          <w:iCs/>
          <w:color w:val="000000"/>
          <w:sz w:val="22"/>
          <w:szCs w:val="22"/>
          <w:u w:val="single"/>
          <w:lang w:eastAsia="es-CO"/>
        </w:rPr>
        <w:t>Fuentes No Convencionales de Energía Renovables (FNCER), combustibles renovables y recursos energéticos distribuidos</w:t>
      </w:r>
      <w:r w:rsidR="00971FA9" w:rsidRPr="007E63A2">
        <w:rPr>
          <w:i/>
          <w:iCs/>
          <w:color w:val="000000"/>
          <w:sz w:val="22"/>
          <w:szCs w:val="22"/>
          <w:lang w:eastAsia="es-CO"/>
        </w:rPr>
        <w:t xml:space="preserve"> cuyos objetivos deben incluir, por lo menos, alguno de los siguientes:(…)</w:t>
      </w:r>
      <w:r w:rsidR="00971FA9" w:rsidRPr="007E63A2">
        <w:rPr>
          <w:color w:val="000000"/>
          <w:lang w:eastAsia="es-CO"/>
        </w:rPr>
        <w:t>»</w:t>
      </w:r>
      <w:r w:rsidR="002B7F2D" w:rsidRPr="007E63A2">
        <w:rPr>
          <w:color w:val="000000"/>
          <w:lang w:eastAsia="es-CO"/>
        </w:rPr>
        <w:t xml:space="preserve"> (Subrayaco fuera de texto)</w:t>
      </w:r>
    </w:p>
    <w:p w14:paraId="36CEB842" w14:textId="77777777" w:rsidR="00FB3588" w:rsidRPr="007E63A2" w:rsidRDefault="00FB3588" w:rsidP="00971FA9">
      <w:pPr>
        <w:spacing w:line="276" w:lineRule="auto"/>
        <w:rPr>
          <w:color w:val="000000"/>
          <w:lang w:eastAsia="es-CO"/>
        </w:rPr>
      </w:pPr>
    </w:p>
    <w:p w14:paraId="027816D6" w14:textId="66D42405" w:rsidR="00B40C5E" w:rsidRPr="007E63A2" w:rsidRDefault="00FB3588" w:rsidP="00FB3588">
      <w:pPr>
        <w:spacing w:line="276" w:lineRule="auto"/>
        <w:rPr>
          <w:color w:val="000000"/>
          <w:lang w:eastAsia="es-CO"/>
        </w:rPr>
      </w:pPr>
      <w:r w:rsidRPr="007E63A2">
        <w:rPr>
          <w:color w:val="000000"/>
          <w:lang w:eastAsia="es-CO"/>
        </w:rPr>
        <w:t>La consulta puntual corresponde a que se aclare si</w:t>
      </w:r>
      <w:r w:rsidR="002B7F2D" w:rsidRPr="007E63A2">
        <w:rPr>
          <w:color w:val="000000"/>
          <w:lang w:eastAsia="es-CO"/>
        </w:rPr>
        <w:t xml:space="preserve"> la generación de energía con</w:t>
      </w:r>
      <w:r w:rsidRPr="007E63A2">
        <w:rPr>
          <w:color w:val="000000"/>
          <w:lang w:eastAsia="es-CO"/>
        </w:rPr>
        <w:t xml:space="preserve"> recursos energéticos distribuidos que no utilicen FNCER</w:t>
      </w:r>
      <w:r w:rsidR="002B7F2D" w:rsidRPr="007E63A2">
        <w:rPr>
          <w:color w:val="000000"/>
          <w:lang w:eastAsia="es-CO"/>
        </w:rPr>
        <w:t xml:space="preserve"> y los</w:t>
      </w:r>
      <w:r w:rsidRPr="007E63A2">
        <w:rPr>
          <w:color w:val="000000"/>
          <w:lang w:eastAsia="es-CO"/>
        </w:rPr>
        <w:t xml:space="preserve"> combustibles renovables también pueden hacer parte de una comunidad energética.</w:t>
      </w:r>
      <w:r w:rsidR="000B7076" w:rsidRPr="007E63A2">
        <w:rPr>
          <w:color w:val="000000"/>
          <w:lang w:eastAsia="es-CO"/>
        </w:rPr>
        <w:t xml:space="preserve"> Una vez revisada la Resolución CREG 101 072 de 2025 se identifica la necesidad de realizar un ajuste al artículo 20 para incluirlos dentro de la armonización planteada en dicha resolución.</w:t>
      </w:r>
    </w:p>
    <w:p w14:paraId="4783604E" w14:textId="77777777" w:rsidR="00F264A6" w:rsidRPr="007E63A2" w:rsidRDefault="00F264A6" w:rsidP="00B17E86">
      <w:pPr>
        <w:spacing w:line="276" w:lineRule="auto"/>
        <w:rPr>
          <w:color w:val="000000"/>
          <w:lang w:eastAsia="es-CO"/>
        </w:rPr>
      </w:pPr>
    </w:p>
    <w:p w14:paraId="00B997DF" w14:textId="56283D64" w:rsidR="000E7FFA" w:rsidRPr="007E63A2" w:rsidRDefault="000E7FFA" w:rsidP="000E7FFA">
      <w:pPr>
        <w:pStyle w:val="Ttulo2"/>
        <w:rPr>
          <w:lang w:eastAsia="es-CO"/>
        </w:rPr>
      </w:pPr>
      <w:bookmarkStart w:id="9" w:name="_Toc212219324"/>
      <w:r w:rsidRPr="007E63A2">
        <w:rPr>
          <w:lang w:eastAsia="es-CO"/>
        </w:rPr>
        <w:lastRenderedPageBreak/>
        <w:t>Asistencia de la CREG a “Conversación Andesco - Comunidades Energéticas”</w:t>
      </w:r>
      <w:bookmarkEnd w:id="9"/>
    </w:p>
    <w:p w14:paraId="13FF9125" w14:textId="1CDA02AF" w:rsidR="000E7FFA" w:rsidRPr="007E63A2" w:rsidRDefault="00B14B62" w:rsidP="00B17E86">
      <w:pPr>
        <w:spacing w:line="276" w:lineRule="auto"/>
        <w:rPr>
          <w:color w:val="000000"/>
          <w:lang w:eastAsia="es-CO"/>
        </w:rPr>
      </w:pPr>
      <w:r w:rsidRPr="007E63A2">
        <w:rPr>
          <w:color w:val="000000"/>
          <w:lang w:eastAsia="es-CO"/>
        </w:rPr>
        <w:t xml:space="preserve">El miércoles 23 de julio de 2025, la Comisión fue invitada por ANDESCO para </w:t>
      </w:r>
      <w:r w:rsidR="005C5025" w:rsidRPr="007E63A2">
        <w:rPr>
          <w:color w:val="000000"/>
          <w:lang w:eastAsia="es-CO"/>
        </w:rPr>
        <w:t xml:space="preserve">socializar la Resolución CREG 101 072 de 2025 </w:t>
      </w:r>
      <w:r w:rsidR="00946AD0" w:rsidRPr="007E63A2">
        <w:rPr>
          <w:color w:val="000000"/>
          <w:lang w:eastAsia="es-CO"/>
        </w:rPr>
        <w:t>con varios de sus afiliados donde se plantearon algunas pregunta</w:t>
      </w:r>
      <w:r w:rsidR="004C1144" w:rsidRPr="007E63A2">
        <w:rPr>
          <w:color w:val="000000"/>
          <w:lang w:eastAsia="es-CO"/>
        </w:rPr>
        <w:t>s</w:t>
      </w:r>
      <w:r w:rsidR="00946AD0" w:rsidRPr="007E63A2">
        <w:rPr>
          <w:color w:val="000000"/>
          <w:lang w:eastAsia="es-CO"/>
        </w:rPr>
        <w:t xml:space="preserve"> por parte de las empresas y se muestran a continuación:</w:t>
      </w:r>
    </w:p>
    <w:p w14:paraId="298BA3D6" w14:textId="77777777" w:rsidR="00946AD0" w:rsidRPr="007E63A2" w:rsidRDefault="00946AD0" w:rsidP="00B17E86">
      <w:pPr>
        <w:spacing w:line="276" w:lineRule="auto"/>
        <w:rPr>
          <w:color w:val="000000"/>
          <w:lang w:eastAsia="es-CO"/>
        </w:rPr>
      </w:pPr>
    </w:p>
    <w:tbl>
      <w:tblPr>
        <w:tblW w:w="5000" w:type="pct"/>
        <w:tblCellMar>
          <w:left w:w="70" w:type="dxa"/>
          <w:right w:w="70" w:type="dxa"/>
        </w:tblCellMar>
        <w:tblLook w:val="04A0" w:firstRow="1" w:lastRow="0" w:firstColumn="1" w:lastColumn="0" w:noHBand="0" w:noVBand="1"/>
      </w:tblPr>
      <w:tblGrid>
        <w:gridCol w:w="3680"/>
        <w:gridCol w:w="5150"/>
      </w:tblGrid>
      <w:tr w:rsidR="004C1144" w:rsidRPr="007E63A2" w14:paraId="1F86AE9F" w14:textId="77777777" w:rsidTr="004C1144">
        <w:trPr>
          <w:trHeight w:val="290"/>
          <w:tblHeader/>
        </w:trPr>
        <w:tc>
          <w:tcPr>
            <w:tcW w:w="208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E182B4B" w14:textId="77777777" w:rsidR="004C1144" w:rsidRPr="007E63A2" w:rsidRDefault="004C1144" w:rsidP="004C1144">
            <w:pPr>
              <w:jc w:val="center"/>
              <w:rPr>
                <w:rFonts w:ascii="Aptos Narrow" w:hAnsi="Aptos Narrow"/>
                <w:b/>
                <w:bCs/>
                <w:color w:val="000000"/>
                <w:sz w:val="22"/>
                <w:szCs w:val="22"/>
                <w:lang w:eastAsia="zh-CN"/>
              </w:rPr>
            </w:pPr>
            <w:r w:rsidRPr="007E63A2">
              <w:rPr>
                <w:rFonts w:ascii="Aptos Narrow" w:hAnsi="Aptos Narrow"/>
                <w:b/>
                <w:bCs/>
                <w:color w:val="000000"/>
                <w:sz w:val="22"/>
                <w:szCs w:val="22"/>
                <w:lang w:eastAsia="zh-CN"/>
              </w:rPr>
              <w:t>Pregunta</w:t>
            </w:r>
          </w:p>
        </w:tc>
        <w:tc>
          <w:tcPr>
            <w:tcW w:w="2916" w:type="pct"/>
            <w:tcBorders>
              <w:top w:val="single" w:sz="4" w:space="0" w:color="auto"/>
              <w:left w:val="nil"/>
              <w:bottom w:val="single" w:sz="4" w:space="0" w:color="auto"/>
              <w:right w:val="single" w:sz="4" w:space="0" w:color="auto"/>
            </w:tcBorders>
            <w:shd w:val="clear" w:color="000000" w:fill="D9D9D9"/>
            <w:noWrap/>
            <w:vAlign w:val="bottom"/>
            <w:hideMark/>
          </w:tcPr>
          <w:p w14:paraId="70419890" w14:textId="77777777" w:rsidR="004C1144" w:rsidRPr="007E63A2" w:rsidRDefault="004C1144" w:rsidP="004C1144">
            <w:pPr>
              <w:jc w:val="center"/>
              <w:rPr>
                <w:rFonts w:ascii="Aptos Narrow" w:hAnsi="Aptos Narrow"/>
                <w:b/>
                <w:bCs/>
                <w:color w:val="000000"/>
                <w:sz w:val="22"/>
                <w:szCs w:val="22"/>
                <w:lang w:eastAsia="zh-CN"/>
              </w:rPr>
            </w:pPr>
            <w:r w:rsidRPr="007E63A2">
              <w:rPr>
                <w:rFonts w:ascii="Aptos Narrow" w:hAnsi="Aptos Narrow"/>
                <w:b/>
                <w:bCs/>
                <w:color w:val="000000"/>
                <w:sz w:val="22"/>
                <w:szCs w:val="22"/>
                <w:lang w:eastAsia="zh-CN"/>
              </w:rPr>
              <w:t>Respuesta</w:t>
            </w:r>
          </w:p>
        </w:tc>
      </w:tr>
      <w:tr w:rsidR="004C1144" w:rsidRPr="007E63A2" w14:paraId="60715946" w14:textId="77777777" w:rsidTr="004C1144">
        <w:trPr>
          <w:trHeight w:val="2030"/>
        </w:trPr>
        <w:tc>
          <w:tcPr>
            <w:tcW w:w="2084" w:type="pct"/>
            <w:tcBorders>
              <w:top w:val="nil"/>
              <w:left w:val="single" w:sz="4" w:space="0" w:color="auto"/>
              <w:bottom w:val="single" w:sz="4" w:space="0" w:color="auto"/>
              <w:right w:val="single" w:sz="4" w:space="0" w:color="auto"/>
            </w:tcBorders>
            <w:vAlign w:val="center"/>
            <w:hideMark/>
          </w:tcPr>
          <w:p w14:paraId="0CE5C93B" w14:textId="004FD116"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Consultan sobre la fórmula para el traslado de las compras de los AGPE, GD, AC y GDC cuando se empiece con la aplicación del Mc una vez finalice la transición. Así mismo, les preocupa que fórmula aplicar para los AGPE nuevos durante la transición ya que iniciarían directamente con Mc.</w:t>
            </w:r>
          </w:p>
        </w:tc>
        <w:tc>
          <w:tcPr>
            <w:tcW w:w="2916" w:type="pct"/>
            <w:tcBorders>
              <w:top w:val="nil"/>
              <w:left w:val="nil"/>
              <w:bottom w:val="single" w:sz="4" w:space="0" w:color="auto"/>
              <w:right w:val="single" w:sz="4" w:space="0" w:color="auto"/>
            </w:tcBorders>
            <w:vAlign w:val="center"/>
            <w:hideMark/>
          </w:tcPr>
          <w:p w14:paraId="66658A23" w14:textId="09919417"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 xml:space="preserve">En el espacio la CREG aclara, en </w:t>
            </w:r>
            <w:r w:rsidR="00283CDC" w:rsidRPr="007E63A2">
              <w:rPr>
                <w:rFonts w:ascii="Aptos Narrow" w:hAnsi="Aptos Narrow"/>
                <w:color w:val="000000"/>
                <w:sz w:val="22"/>
                <w:szCs w:val="22"/>
                <w:lang w:eastAsia="zh-CN"/>
              </w:rPr>
              <w:t>línea</w:t>
            </w:r>
            <w:r w:rsidRPr="007E63A2">
              <w:rPr>
                <w:rFonts w:ascii="Aptos Narrow" w:hAnsi="Aptos Narrow"/>
                <w:color w:val="000000"/>
                <w:sz w:val="22"/>
                <w:szCs w:val="22"/>
                <w:lang w:eastAsia="zh-CN"/>
              </w:rPr>
              <w:t xml:space="preserve"> con un concepto que se había dado al CAC, que la transición aplica tanto para AGPE nuevos como existentes por lo que, durante la transición se aplican las reglas de la Resolución CREG 174 de 2021, es decir, con precio de bolsa. Por otro lado, se informó que desde la Comisión se estaba considerando ampliar el tiempo de la transición para realizar unos análisis adicionales y que se ajustará la redacción en las reglas de la transición para mitigar diferentes interpretaciones. </w:t>
            </w:r>
          </w:p>
        </w:tc>
      </w:tr>
      <w:tr w:rsidR="00AE4DA4" w:rsidRPr="007E63A2" w14:paraId="6164C395" w14:textId="77777777" w:rsidTr="00AE4DA4">
        <w:trPr>
          <w:trHeight w:val="580"/>
        </w:trPr>
        <w:tc>
          <w:tcPr>
            <w:tcW w:w="2084" w:type="pct"/>
            <w:tcBorders>
              <w:top w:val="nil"/>
              <w:left w:val="single" w:sz="4" w:space="0" w:color="auto"/>
              <w:bottom w:val="single" w:sz="4" w:space="0" w:color="auto"/>
              <w:right w:val="single" w:sz="4" w:space="0" w:color="auto"/>
            </w:tcBorders>
            <w:vAlign w:val="center"/>
            <w:hideMark/>
          </w:tcPr>
          <w:p w14:paraId="777AB63B" w14:textId="549EEF30" w:rsidR="00AE4DA4" w:rsidRPr="007E63A2" w:rsidRDefault="00AE4DA4" w:rsidP="00AE4DA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Consulta sobre la definición de Comunidades Energéticas ya que consultan si es posible que una sola persona natural o jurídica con dos fronteras pueda formar una.</w:t>
            </w:r>
          </w:p>
        </w:tc>
        <w:tc>
          <w:tcPr>
            <w:tcW w:w="2916" w:type="pct"/>
            <w:tcBorders>
              <w:top w:val="nil"/>
              <w:left w:val="nil"/>
              <w:bottom w:val="single" w:sz="4" w:space="0" w:color="auto"/>
              <w:right w:val="single" w:sz="4" w:space="0" w:color="auto"/>
            </w:tcBorders>
            <w:vAlign w:val="center"/>
            <w:hideMark/>
          </w:tcPr>
          <w:p w14:paraId="581AFEBD" w14:textId="77777777" w:rsidR="00AE4DA4" w:rsidRPr="007E63A2" w:rsidRDefault="002745AE" w:rsidP="00AE4DA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La Comisión atendió una consulta similar a través del radicado CREG S2025005001</w:t>
            </w:r>
            <w:r w:rsidR="00F031C4" w:rsidRPr="007E63A2">
              <w:rPr>
                <w:rFonts w:ascii="Aptos Narrow" w:hAnsi="Aptos Narrow"/>
                <w:color w:val="000000"/>
                <w:sz w:val="22"/>
                <w:szCs w:val="22"/>
                <w:lang w:eastAsia="zh-CN"/>
              </w:rPr>
              <w:t xml:space="preserve"> donde se indicó que: “</w:t>
            </w:r>
            <w:r w:rsidR="00777F88" w:rsidRPr="007E63A2">
              <w:rPr>
                <w:rFonts w:ascii="Aptos Narrow" w:hAnsi="Aptos Narrow"/>
                <w:i/>
                <w:iCs/>
                <w:color w:val="000000"/>
                <w:sz w:val="22"/>
                <w:szCs w:val="22"/>
                <w:lang w:eastAsia="zh-CN"/>
              </w:rPr>
              <w:t>Bajo estas definiciones, entendemos que una persona natural o jurídica, puede tener varios usuarios y estos conformar una comunidad energética para desarrollar la actividad de autogeneración colectiva o autogeneración distribuida colectiva.</w:t>
            </w:r>
            <w:r w:rsidR="00777F88" w:rsidRPr="007E63A2">
              <w:rPr>
                <w:rFonts w:ascii="Aptos Narrow" w:hAnsi="Aptos Narrow"/>
                <w:color w:val="000000"/>
                <w:sz w:val="22"/>
                <w:szCs w:val="22"/>
                <w:lang w:eastAsia="zh-CN"/>
              </w:rPr>
              <w:t>”</w:t>
            </w:r>
          </w:p>
          <w:p w14:paraId="5FDEB8FC" w14:textId="77777777" w:rsidR="002C04AD" w:rsidRPr="007E63A2" w:rsidRDefault="002C04AD" w:rsidP="00AE4DA4">
            <w:pPr>
              <w:jc w:val="center"/>
              <w:rPr>
                <w:rFonts w:ascii="Aptos Narrow" w:hAnsi="Aptos Narrow"/>
                <w:color w:val="000000"/>
                <w:sz w:val="22"/>
                <w:szCs w:val="22"/>
                <w:lang w:eastAsia="zh-CN"/>
              </w:rPr>
            </w:pPr>
          </w:p>
          <w:p w14:paraId="39ADF38A" w14:textId="11BDE53A" w:rsidR="00AE4DA4" w:rsidRPr="007E63A2" w:rsidRDefault="00732B52" w:rsidP="00107A17">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La CREG</w:t>
            </w:r>
            <w:r w:rsidR="001D3D46" w:rsidRPr="007E63A2">
              <w:rPr>
                <w:rFonts w:ascii="Aptos Narrow" w:hAnsi="Aptos Narrow"/>
                <w:color w:val="000000"/>
                <w:sz w:val="22"/>
                <w:szCs w:val="22"/>
                <w:lang w:eastAsia="zh-CN"/>
              </w:rPr>
              <w:t xml:space="preserve"> entiende que técnicamente</w:t>
            </w:r>
            <w:r w:rsidR="002E3158" w:rsidRPr="007E63A2">
              <w:rPr>
                <w:rFonts w:ascii="Aptos Narrow" w:hAnsi="Aptos Narrow"/>
                <w:color w:val="000000"/>
                <w:sz w:val="22"/>
                <w:szCs w:val="22"/>
                <w:lang w:eastAsia="zh-CN"/>
              </w:rPr>
              <w:t xml:space="preserve"> una persona natural o </w:t>
            </w:r>
            <w:r w:rsidR="009D56B6" w:rsidRPr="007E63A2">
              <w:rPr>
                <w:rFonts w:ascii="Aptos Narrow" w:hAnsi="Aptos Narrow"/>
                <w:color w:val="000000"/>
                <w:sz w:val="22"/>
                <w:szCs w:val="22"/>
                <w:lang w:eastAsia="zh-CN"/>
              </w:rPr>
              <w:t>jurídica</w:t>
            </w:r>
            <w:r w:rsidR="002E3158" w:rsidRPr="007E63A2">
              <w:rPr>
                <w:rFonts w:ascii="Aptos Narrow" w:hAnsi="Aptos Narrow"/>
                <w:color w:val="000000"/>
                <w:sz w:val="22"/>
                <w:szCs w:val="22"/>
                <w:lang w:eastAsia="zh-CN"/>
              </w:rPr>
              <w:t xml:space="preserve"> puede tener vari</w:t>
            </w:r>
            <w:r w:rsidR="00A7206F" w:rsidRPr="007E63A2">
              <w:rPr>
                <w:rFonts w:ascii="Aptos Narrow" w:hAnsi="Aptos Narrow"/>
                <w:color w:val="000000"/>
                <w:sz w:val="22"/>
                <w:szCs w:val="22"/>
                <w:lang w:eastAsia="zh-CN"/>
              </w:rPr>
              <w:t>a</w:t>
            </w:r>
            <w:r w:rsidR="002E3158" w:rsidRPr="007E63A2">
              <w:rPr>
                <w:rFonts w:ascii="Aptos Narrow" w:hAnsi="Aptos Narrow"/>
                <w:color w:val="000000"/>
                <w:sz w:val="22"/>
                <w:szCs w:val="22"/>
                <w:lang w:eastAsia="zh-CN"/>
              </w:rPr>
              <w:t xml:space="preserve">s </w:t>
            </w:r>
            <w:r w:rsidR="00A7206F" w:rsidRPr="007E63A2">
              <w:rPr>
                <w:rFonts w:ascii="Aptos Narrow" w:hAnsi="Aptos Narrow"/>
                <w:color w:val="000000"/>
                <w:sz w:val="22"/>
                <w:szCs w:val="22"/>
                <w:lang w:eastAsia="zh-CN"/>
              </w:rPr>
              <w:t>fronteras comerciales</w:t>
            </w:r>
            <w:r w:rsidR="002E3158" w:rsidRPr="007E63A2">
              <w:rPr>
                <w:rFonts w:ascii="Aptos Narrow" w:hAnsi="Aptos Narrow"/>
                <w:color w:val="000000"/>
                <w:sz w:val="22"/>
                <w:szCs w:val="22"/>
                <w:lang w:eastAsia="zh-CN"/>
              </w:rPr>
              <w:t xml:space="preserve"> y por</w:t>
            </w:r>
            <w:r w:rsidR="004B78DF" w:rsidRPr="007E63A2">
              <w:rPr>
                <w:rFonts w:ascii="Aptos Narrow" w:hAnsi="Aptos Narrow"/>
                <w:color w:val="000000"/>
                <w:sz w:val="22"/>
                <w:szCs w:val="22"/>
                <w:lang w:eastAsia="zh-CN"/>
              </w:rPr>
              <w:t xml:space="preserve"> lo</w:t>
            </w:r>
            <w:r w:rsidR="002E3158" w:rsidRPr="007E63A2">
              <w:rPr>
                <w:rFonts w:ascii="Aptos Narrow" w:hAnsi="Aptos Narrow"/>
                <w:color w:val="000000"/>
                <w:sz w:val="22"/>
                <w:szCs w:val="22"/>
                <w:lang w:eastAsia="zh-CN"/>
              </w:rPr>
              <w:t xml:space="preserve"> tanto </w:t>
            </w:r>
            <w:r w:rsidR="006D2829" w:rsidRPr="007E63A2">
              <w:rPr>
                <w:rFonts w:ascii="Aptos Narrow" w:hAnsi="Aptos Narrow"/>
                <w:color w:val="000000"/>
                <w:sz w:val="22"/>
                <w:szCs w:val="22"/>
                <w:lang w:eastAsia="zh-CN"/>
              </w:rPr>
              <w:t>más</w:t>
            </w:r>
            <w:r w:rsidR="002E3158" w:rsidRPr="007E63A2">
              <w:rPr>
                <w:rFonts w:ascii="Aptos Narrow" w:hAnsi="Aptos Narrow"/>
                <w:color w:val="000000"/>
                <w:sz w:val="22"/>
                <w:szCs w:val="22"/>
                <w:lang w:eastAsia="zh-CN"/>
              </w:rPr>
              <w:t xml:space="preserve"> de un usuario</w:t>
            </w:r>
            <w:r w:rsidR="004B78DF" w:rsidRPr="007E63A2">
              <w:rPr>
                <w:rFonts w:ascii="Aptos Narrow" w:hAnsi="Aptos Narrow"/>
                <w:color w:val="000000"/>
                <w:sz w:val="22"/>
                <w:szCs w:val="22"/>
                <w:lang w:eastAsia="zh-CN"/>
              </w:rPr>
              <w:t>.</w:t>
            </w:r>
            <w:r w:rsidR="002E3158" w:rsidRPr="007E63A2">
              <w:rPr>
                <w:rFonts w:ascii="Aptos Narrow" w:hAnsi="Aptos Narrow"/>
                <w:color w:val="000000"/>
                <w:sz w:val="22"/>
                <w:szCs w:val="22"/>
                <w:lang w:eastAsia="zh-CN"/>
              </w:rPr>
              <w:t xml:space="preserve"> </w:t>
            </w:r>
            <w:r w:rsidR="004B78DF" w:rsidRPr="007E63A2">
              <w:rPr>
                <w:rFonts w:ascii="Aptos Narrow" w:hAnsi="Aptos Narrow"/>
                <w:color w:val="000000"/>
                <w:sz w:val="22"/>
                <w:szCs w:val="22"/>
                <w:lang w:eastAsia="zh-CN"/>
              </w:rPr>
              <w:t>Así las cosas</w:t>
            </w:r>
            <w:r w:rsidR="00107A17" w:rsidRPr="007E63A2">
              <w:rPr>
                <w:rFonts w:ascii="Aptos Narrow" w:hAnsi="Aptos Narrow"/>
                <w:color w:val="000000"/>
                <w:sz w:val="22"/>
                <w:szCs w:val="22"/>
                <w:lang w:eastAsia="zh-CN"/>
              </w:rPr>
              <w:t>,</w:t>
            </w:r>
            <w:r w:rsidR="001D3D46" w:rsidRPr="007E63A2">
              <w:rPr>
                <w:rFonts w:ascii="Aptos Narrow" w:hAnsi="Aptos Narrow"/>
                <w:color w:val="000000"/>
                <w:sz w:val="22"/>
                <w:szCs w:val="22"/>
                <w:lang w:eastAsia="zh-CN"/>
              </w:rPr>
              <w:t xml:space="preserve"> pueden conformarse </w:t>
            </w:r>
            <w:r w:rsidR="002E3158" w:rsidRPr="007E63A2">
              <w:rPr>
                <w:rFonts w:ascii="Aptos Narrow" w:hAnsi="Aptos Narrow"/>
                <w:color w:val="000000"/>
                <w:sz w:val="22"/>
                <w:szCs w:val="22"/>
                <w:lang w:eastAsia="zh-CN"/>
              </w:rPr>
              <w:t xml:space="preserve">como una comunidad energética </w:t>
            </w:r>
            <w:r w:rsidR="001D3D46" w:rsidRPr="007E63A2">
              <w:rPr>
                <w:rFonts w:ascii="Aptos Narrow" w:hAnsi="Aptos Narrow"/>
                <w:color w:val="000000"/>
                <w:sz w:val="22"/>
                <w:szCs w:val="22"/>
                <w:lang w:eastAsia="zh-CN"/>
              </w:rPr>
              <w:t xml:space="preserve">y la </w:t>
            </w:r>
            <w:r w:rsidR="009D56B6" w:rsidRPr="007E63A2">
              <w:rPr>
                <w:rFonts w:ascii="Aptos Narrow" w:hAnsi="Aptos Narrow"/>
                <w:color w:val="000000"/>
                <w:sz w:val="22"/>
                <w:szCs w:val="22"/>
                <w:lang w:eastAsia="zh-CN"/>
              </w:rPr>
              <w:t>regulación</w:t>
            </w:r>
            <w:r w:rsidR="001D3D46" w:rsidRPr="007E63A2">
              <w:rPr>
                <w:rFonts w:ascii="Aptos Narrow" w:hAnsi="Aptos Narrow"/>
                <w:color w:val="000000"/>
                <w:sz w:val="22"/>
                <w:szCs w:val="22"/>
                <w:lang w:eastAsia="zh-CN"/>
              </w:rPr>
              <w:t xml:space="preserve"> no </w:t>
            </w:r>
            <w:r w:rsidR="00EA62C8" w:rsidRPr="007E63A2">
              <w:rPr>
                <w:rFonts w:ascii="Aptos Narrow" w:hAnsi="Aptos Narrow"/>
                <w:color w:val="000000"/>
                <w:sz w:val="22"/>
                <w:szCs w:val="22"/>
                <w:lang w:eastAsia="zh-CN"/>
              </w:rPr>
              <w:t>l</w:t>
            </w:r>
            <w:r w:rsidR="001D3D46" w:rsidRPr="007E63A2">
              <w:rPr>
                <w:rFonts w:ascii="Aptos Narrow" w:hAnsi="Aptos Narrow"/>
                <w:color w:val="000000"/>
                <w:sz w:val="22"/>
                <w:szCs w:val="22"/>
                <w:lang w:eastAsia="zh-CN"/>
              </w:rPr>
              <w:t>o limita.</w:t>
            </w:r>
          </w:p>
        </w:tc>
      </w:tr>
      <w:tr w:rsidR="004C1144" w:rsidRPr="007E63A2" w14:paraId="4CC32FB8" w14:textId="77777777" w:rsidTr="00AE4DA4">
        <w:trPr>
          <w:trHeight w:val="1740"/>
        </w:trPr>
        <w:tc>
          <w:tcPr>
            <w:tcW w:w="2084" w:type="pct"/>
            <w:tcBorders>
              <w:top w:val="nil"/>
              <w:left w:val="single" w:sz="4" w:space="0" w:color="auto"/>
              <w:bottom w:val="single" w:sz="4" w:space="0" w:color="auto"/>
              <w:right w:val="single" w:sz="4" w:space="0" w:color="auto"/>
            </w:tcBorders>
            <w:vAlign w:val="center"/>
            <w:hideMark/>
          </w:tcPr>
          <w:p w14:paraId="71B00BC9" w14:textId="282FAC55"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Consultan si registrarse como una comunidad energética ante el Ministerio de Minas y Energía es un requisito para constituir una comunidad energética en el marco de la Resolución CREG 101 072 de 2025. Se plantea el caso porque a hoy, indican que no es posible hacer el registro ante el ministerio.</w:t>
            </w:r>
          </w:p>
        </w:tc>
        <w:tc>
          <w:tcPr>
            <w:tcW w:w="2916" w:type="pct"/>
            <w:tcBorders>
              <w:top w:val="nil"/>
              <w:left w:val="nil"/>
              <w:bottom w:val="single" w:sz="4" w:space="0" w:color="auto"/>
              <w:right w:val="single" w:sz="4" w:space="0" w:color="auto"/>
            </w:tcBorders>
            <w:vAlign w:val="center"/>
            <w:hideMark/>
          </w:tcPr>
          <w:p w14:paraId="09C10400" w14:textId="77777777"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Se aclaró en la reunión que esta consulta debe ser dirigida directamente al Ministerio de Minas y Energía. Desde la regulación, se estableció en el literal c) del numeral 5 del artículo 9 de la Resolución CREG 101 072 de 2025 que uno de los documentos para el proceso de conexión que deben adjuntarse para el registro del AC o GDC es el del RCE de acuerdo con lo establecido por el Ministerio de Minas y Energía en la Resolución número 40509 de 2024.</w:t>
            </w:r>
          </w:p>
        </w:tc>
      </w:tr>
      <w:tr w:rsidR="004C1144" w:rsidRPr="007E63A2" w14:paraId="792CC75C" w14:textId="77777777" w:rsidTr="004C1144">
        <w:trPr>
          <w:trHeight w:val="580"/>
        </w:trPr>
        <w:tc>
          <w:tcPr>
            <w:tcW w:w="2084" w:type="pct"/>
            <w:tcBorders>
              <w:top w:val="nil"/>
              <w:left w:val="single" w:sz="4" w:space="0" w:color="auto"/>
              <w:bottom w:val="single" w:sz="4" w:space="0" w:color="auto"/>
              <w:right w:val="single" w:sz="4" w:space="0" w:color="auto"/>
            </w:tcBorders>
            <w:vAlign w:val="center"/>
            <w:hideMark/>
          </w:tcPr>
          <w:p w14:paraId="770A76C3" w14:textId="47F2FE90"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Hacen referencia a un nuevo formulario por parte de XM para el registro de las CE ante las empresas.</w:t>
            </w:r>
          </w:p>
        </w:tc>
        <w:tc>
          <w:tcPr>
            <w:tcW w:w="2916" w:type="pct"/>
            <w:tcBorders>
              <w:top w:val="nil"/>
              <w:left w:val="nil"/>
              <w:bottom w:val="single" w:sz="4" w:space="0" w:color="auto"/>
              <w:right w:val="single" w:sz="4" w:space="0" w:color="auto"/>
            </w:tcBorders>
            <w:vAlign w:val="center"/>
            <w:hideMark/>
          </w:tcPr>
          <w:p w14:paraId="677B1DA2" w14:textId="77777777"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Se indica que inquietudes sobre dicho formulario debe dirigirse directamente a XM.</w:t>
            </w:r>
          </w:p>
        </w:tc>
      </w:tr>
      <w:tr w:rsidR="004C1144" w:rsidRPr="007E63A2" w14:paraId="5B93A418" w14:textId="77777777" w:rsidTr="004C1144">
        <w:trPr>
          <w:trHeight w:val="70"/>
        </w:trPr>
        <w:tc>
          <w:tcPr>
            <w:tcW w:w="2084" w:type="pct"/>
            <w:tcBorders>
              <w:top w:val="nil"/>
              <w:left w:val="single" w:sz="4" w:space="0" w:color="auto"/>
              <w:bottom w:val="single" w:sz="4" w:space="0" w:color="auto"/>
              <w:right w:val="single" w:sz="4" w:space="0" w:color="auto"/>
            </w:tcBorders>
            <w:vAlign w:val="center"/>
            <w:hideMark/>
          </w:tcPr>
          <w:p w14:paraId="45E909C2" w14:textId="7B3D4B0C"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lastRenderedPageBreak/>
              <w:t>Consultan sobre cómo se realiza el registro ante XM de un generador distribuido existente (que no puede ser representado por un comercializador) que quiere ser parte de una Comunidad Energética (que requeriría ser representado por un Comercializador)</w:t>
            </w:r>
          </w:p>
        </w:tc>
        <w:tc>
          <w:tcPr>
            <w:tcW w:w="2916" w:type="pct"/>
            <w:tcBorders>
              <w:top w:val="nil"/>
              <w:left w:val="nil"/>
              <w:bottom w:val="single" w:sz="4" w:space="0" w:color="auto"/>
              <w:right w:val="single" w:sz="4" w:space="0" w:color="auto"/>
            </w:tcBorders>
            <w:vAlign w:val="center"/>
            <w:hideMark/>
          </w:tcPr>
          <w:p w14:paraId="1939FA8E" w14:textId="77777777" w:rsidR="006864E3"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Para que el Generador Distribuido pase a ser integrante de la comunidad energética aplica el artículo 11 de la Resolución CREG 101 072 de 2025 en el que se indica que finaliza la relación con el Comercializador o Generador al que le vende la energía. Luego, en aplicación del mismo artículo, se adiciona al GD a un GDC o AC para tal fin.</w:t>
            </w:r>
          </w:p>
          <w:p w14:paraId="7FDFDA98" w14:textId="77777777" w:rsidR="006864E3" w:rsidRPr="007E63A2" w:rsidRDefault="006864E3" w:rsidP="004C1144">
            <w:pPr>
              <w:jc w:val="center"/>
              <w:rPr>
                <w:rFonts w:ascii="Aptos Narrow" w:hAnsi="Aptos Narrow"/>
                <w:color w:val="000000"/>
                <w:sz w:val="22"/>
                <w:szCs w:val="22"/>
                <w:lang w:eastAsia="zh-CN"/>
              </w:rPr>
            </w:pPr>
          </w:p>
          <w:p w14:paraId="6CDF9102" w14:textId="77777777" w:rsidR="00D23539" w:rsidRPr="007E63A2" w:rsidRDefault="006864E3"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Se encuentran estos casos, los cuales se identifica deben ser acordados entre las partes, sin que se precise regulación:</w:t>
            </w:r>
          </w:p>
          <w:p w14:paraId="1CD53FF9" w14:textId="77777777" w:rsidR="00D23539" w:rsidRPr="007E63A2" w:rsidRDefault="00D23539" w:rsidP="004C1144">
            <w:pPr>
              <w:jc w:val="center"/>
              <w:rPr>
                <w:rFonts w:ascii="Aptos Narrow" w:hAnsi="Aptos Narrow"/>
                <w:color w:val="000000"/>
                <w:sz w:val="22"/>
                <w:szCs w:val="22"/>
                <w:lang w:eastAsia="zh-CN"/>
              </w:rPr>
            </w:pPr>
          </w:p>
          <w:p w14:paraId="7B8E585A" w14:textId="57CADEE1" w:rsidR="00A53E64" w:rsidRPr="007E63A2" w:rsidRDefault="006864E3"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 xml:space="preserve">* </w:t>
            </w:r>
            <w:r w:rsidR="004C1144" w:rsidRPr="007E63A2">
              <w:rPr>
                <w:rFonts w:ascii="Aptos Narrow" w:hAnsi="Aptos Narrow"/>
                <w:color w:val="000000"/>
                <w:sz w:val="22"/>
                <w:szCs w:val="22"/>
                <w:lang w:eastAsia="zh-CN"/>
              </w:rPr>
              <w:t xml:space="preserve">Si el GD entra a ser parte de un AC, el generador dueño del GD debe vender su planta al comercializador para que este pueda ser parte de la AC; esto es debido a que la AC es representada por un agente comercializador. </w:t>
            </w:r>
          </w:p>
          <w:p w14:paraId="552A8112" w14:textId="77777777" w:rsidR="00A53E64" w:rsidRPr="007E63A2" w:rsidRDefault="00A53E64" w:rsidP="004C1144">
            <w:pPr>
              <w:jc w:val="center"/>
              <w:rPr>
                <w:rFonts w:ascii="Aptos Narrow" w:hAnsi="Aptos Narrow"/>
                <w:color w:val="000000"/>
                <w:sz w:val="22"/>
                <w:szCs w:val="22"/>
                <w:lang w:eastAsia="zh-CN"/>
              </w:rPr>
            </w:pPr>
          </w:p>
          <w:p w14:paraId="0673A263" w14:textId="77777777" w:rsidR="006864E3"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Otra opción es que lleguen a un acuerdo donde el generador permita que el comercializador represente la frontera comercial de generación</w:t>
            </w:r>
            <w:r w:rsidR="006864E3" w:rsidRPr="007E63A2">
              <w:rPr>
                <w:rFonts w:ascii="Aptos Narrow" w:hAnsi="Aptos Narrow"/>
                <w:color w:val="000000"/>
                <w:sz w:val="22"/>
                <w:szCs w:val="22"/>
                <w:lang w:eastAsia="zh-CN"/>
              </w:rPr>
              <w:t>, conservando el generador la propiedad de los activos.</w:t>
            </w:r>
          </w:p>
          <w:p w14:paraId="4F382FFB" w14:textId="77777777" w:rsidR="006864E3" w:rsidRPr="007E63A2" w:rsidRDefault="006864E3" w:rsidP="004C1144">
            <w:pPr>
              <w:jc w:val="center"/>
              <w:rPr>
                <w:rFonts w:ascii="Aptos Narrow" w:hAnsi="Aptos Narrow"/>
                <w:color w:val="000000"/>
                <w:sz w:val="22"/>
                <w:szCs w:val="22"/>
                <w:lang w:eastAsia="zh-CN"/>
              </w:rPr>
            </w:pPr>
          </w:p>
          <w:p w14:paraId="182842B4" w14:textId="0CC4C324" w:rsidR="004C1144" w:rsidRPr="007E63A2" w:rsidRDefault="006864E3" w:rsidP="00E472E0">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w:t>
            </w:r>
            <w:r w:rsidR="004C1144" w:rsidRPr="007E63A2">
              <w:rPr>
                <w:rFonts w:ascii="Aptos Narrow" w:hAnsi="Aptos Narrow"/>
                <w:color w:val="000000"/>
                <w:sz w:val="22"/>
                <w:szCs w:val="22"/>
                <w:lang w:eastAsia="zh-CN"/>
              </w:rPr>
              <w:t xml:space="preserve"> En el caso de que el GD quiera ser parte de un GDC, se observa que el GDC es un agente generador o representado por un agente generador, en este caso es más sencillo porque el GD ya es un agente generador.</w:t>
            </w:r>
          </w:p>
        </w:tc>
      </w:tr>
      <w:tr w:rsidR="004C1144" w:rsidRPr="007E63A2" w14:paraId="715F566E" w14:textId="77777777" w:rsidTr="004C1144">
        <w:trPr>
          <w:trHeight w:val="870"/>
        </w:trPr>
        <w:tc>
          <w:tcPr>
            <w:tcW w:w="2084" w:type="pct"/>
            <w:tcBorders>
              <w:top w:val="nil"/>
              <w:left w:val="single" w:sz="4" w:space="0" w:color="auto"/>
              <w:bottom w:val="single" w:sz="4" w:space="0" w:color="auto"/>
              <w:right w:val="single" w:sz="4" w:space="0" w:color="auto"/>
            </w:tcBorders>
            <w:vAlign w:val="center"/>
            <w:hideMark/>
          </w:tcPr>
          <w:p w14:paraId="69CA126B" w14:textId="77777777"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Plantean si se aún sería necesario mantener la regla de medidor bidireccional cuando la liquidación de los Excedentes Tipo 2 se inicie a realizar con el Mc.</w:t>
            </w:r>
          </w:p>
          <w:p w14:paraId="4A0B091B" w14:textId="77777777" w:rsidR="004C1144" w:rsidRPr="007E63A2" w:rsidRDefault="004C1144" w:rsidP="004C1144">
            <w:pPr>
              <w:jc w:val="center"/>
              <w:rPr>
                <w:rFonts w:ascii="Aptos Narrow" w:hAnsi="Aptos Narrow"/>
                <w:color w:val="000000"/>
                <w:sz w:val="22"/>
                <w:szCs w:val="22"/>
                <w:lang w:eastAsia="zh-CN"/>
              </w:rPr>
            </w:pPr>
          </w:p>
        </w:tc>
        <w:tc>
          <w:tcPr>
            <w:tcW w:w="2916" w:type="pct"/>
            <w:tcBorders>
              <w:top w:val="nil"/>
              <w:left w:val="nil"/>
              <w:bottom w:val="single" w:sz="4" w:space="0" w:color="auto"/>
              <w:right w:val="single" w:sz="4" w:space="0" w:color="auto"/>
            </w:tcBorders>
            <w:vAlign w:val="center"/>
            <w:hideMark/>
          </w:tcPr>
          <w:p w14:paraId="2469293A" w14:textId="77777777"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Indicó la Comisión que la regla del medidor bidireccional se mantiene. Así mismo que se están revisando las fórmulas de valoración de excedentes por lo que podrían seguir siendo necesario.</w:t>
            </w:r>
          </w:p>
        </w:tc>
      </w:tr>
      <w:tr w:rsidR="004C1144" w:rsidRPr="007E63A2" w14:paraId="642EAE06" w14:textId="77777777" w:rsidTr="004C1144">
        <w:trPr>
          <w:trHeight w:val="1450"/>
        </w:trPr>
        <w:tc>
          <w:tcPr>
            <w:tcW w:w="2084" w:type="pct"/>
            <w:tcBorders>
              <w:top w:val="nil"/>
              <w:left w:val="single" w:sz="4" w:space="0" w:color="auto"/>
              <w:bottom w:val="single" w:sz="4" w:space="0" w:color="auto"/>
              <w:right w:val="single" w:sz="4" w:space="0" w:color="auto"/>
            </w:tcBorders>
            <w:vAlign w:val="center"/>
            <w:hideMark/>
          </w:tcPr>
          <w:p w14:paraId="54B35C86" w14:textId="77777777"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Hacen referencia al formato de solicitud de conexión simplificado publicado por la Comisión. Identifican un riesgo que por error o a propósito el usuario pueda cambiar las condiciones del punto de conexión que ya estaba aprobado. Sugieren que la regla sea que se haga sobre un NIU ya aprobado.</w:t>
            </w:r>
          </w:p>
          <w:p w14:paraId="7183BB49" w14:textId="77777777" w:rsidR="004C1144" w:rsidRPr="007E63A2" w:rsidRDefault="004C1144" w:rsidP="004C1144">
            <w:pPr>
              <w:jc w:val="center"/>
              <w:rPr>
                <w:rFonts w:ascii="Aptos Narrow" w:hAnsi="Aptos Narrow"/>
                <w:color w:val="000000"/>
                <w:sz w:val="22"/>
                <w:szCs w:val="22"/>
                <w:lang w:eastAsia="zh-CN"/>
              </w:rPr>
            </w:pPr>
          </w:p>
        </w:tc>
        <w:tc>
          <w:tcPr>
            <w:tcW w:w="2916" w:type="pct"/>
            <w:tcBorders>
              <w:top w:val="nil"/>
              <w:left w:val="nil"/>
              <w:bottom w:val="single" w:sz="4" w:space="0" w:color="auto"/>
              <w:right w:val="single" w:sz="4" w:space="0" w:color="auto"/>
            </w:tcBorders>
            <w:vAlign w:val="center"/>
            <w:hideMark/>
          </w:tcPr>
          <w:p w14:paraId="02923596" w14:textId="453C788A"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 xml:space="preserve">Una vez revisada la consulta, las instrucciones del formulario indican que se debe diligenciar una única vez y su actualización está sujeta a lo indicado en la resolución donde se indica que se entrega el formulario de conexión simplificado de nuevo indicando el retiro o ingreso asociándolo al NIU. Entiende la CREG que el formulario es responsabilidad </w:t>
            </w:r>
            <w:r w:rsidR="003D695E" w:rsidRPr="007E63A2">
              <w:rPr>
                <w:rFonts w:ascii="Aptos Narrow" w:hAnsi="Aptos Narrow"/>
                <w:color w:val="000000"/>
                <w:sz w:val="22"/>
                <w:szCs w:val="22"/>
                <w:lang w:eastAsia="zh-CN"/>
              </w:rPr>
              <w:t xml:space="preserve">de revisión </w:t>
            </w:r>
            <w:r w:rsidRPr="007E63A2">
              <w:rPr>
                <w:rFonts w:ascii="Aptos Narrow" w:hAnsi="Aptos Narrow"/>
                <w:color w:val="000000"/>
                <w:sz w:val="22"/>
                <w:szCs w:val="22"/>
                <w:lang w:eastAsia="zh-CN"/>
              </w:rPr>
              <w:t>del OR y prever ese tipo de situaciones.</w:t>
            </w:r>
          </w:p>
          <w:p w14:paraId="65B4CD23" w14:textId="0FC07DCE" w:rsidR="004C1144" w:rsidRPr="007E63A2" w:rsidRDefault="004C1144" w:rsidP="004C1144">
            <w:pPr>
              <w:jc w:val="center"/>
              <w:rPr>
                <w:rFonts w:ascii="Aptos Narrow" w:hAnsi="Aptos Narrow"/>
                <w:color w:val="000000"/>
                <w:sz w:val="22"/>
                <w:szCs w:val="22"/>
                <w:lang w:eastAsia="zh-CN"/>
              </w:rPr>
            </w:pPr>
          </w:p>
        </w:tc>
      </w:tr>
      <w:tr w:rsidR="004C1144" w:rsidRPr="007E63A2" w14:paraId="321E1080" w14:textId="77777777" w:rsidTr="004C1144">
        <w:trPr>
          <w:trHeight w:val="1160"/>
        </w:trPr>
        <w:tc>
          <w:tcPr>
            <w:tcW w:w="2084" w:type="pct"/>
            <w:tcBorders>
              <w:top w:val="nil"/>
              <w:left w:val="single" w:sz="4" w:space="0" w:color="auto"/>
              <w:bottom w:val="single" w:sz="4" w:space="0" w:color="auto"/>
              <w:right w:val="single" w:sz="4" w:space="0" w:color="auto"/>
            </w:tcBorders>
            <w:vAlign w:val="center"/>
            <w:hideMark/>
          </w:tcPr>
          <w:p w14:paraId="6DD7151D" w14:textId="6168FFD7"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 xml:space="preserve">Expresan que se deben ajustar los tiempos para evitar el acaparamiento de puntos de conexión con comunidades energéticas que lo soliciten y se les otorgue pero que no se conecten y terminen limitando a que otras </w:t>
            </w:r>
            <w:r w:rsidRPr="007E63A2">
              <w:rPr>
                <w:rFonts w:ascii="Aptos Narrow" w:hAnsi="Aptos Narrow"/>
                <w:color w:val="000000"/>
                <w:sz w:val="22"/>
                <w:szCs w:val="22"/>
                <w:lang w:eastAsia="zh-CN"/>
              </w:rPr>
              <w:lastRenderedPageBreak/>
              <w:t>comunidades energéticas se conecten y que ya se encuentren listas.</w:t>
            </w:r>
          </w:p>
        </w:tc>
        <w:tc>
          <w:tcPr>
            <w:tcW w:w="2916" w:type="pct"/>
            <w:tcBorders>
              <w:top w:val="nil"/>
              <w:left w:val="nil"/>
              <w:bottom w:val="single" w:sz="4" w:space="0" w:color="auto"/>
              <w:right w:val="single" w:sz="4" w:space="0" w:color="auto"/>
            </w:tcBorders>
            <w:vAlign w:val="center"/>
            <w:hideMark/>
          </w:tcPr>
          <w:p w14:paraId="6F51D9D1" w14:textId="3420F4BD"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lastRenderedPageBreak/>
              <w:t>La Resolución CREG 174 de 2021 establece dos reglas: i) Se asignan los puntos en el orden de llegada y ii) Si vencido un plazo de 9 meses no se ha conectado, se libere la capacidad.</w:t>
            </w:r>
            <w:r w:rsidR="00F82ED3" w:rsidRPr="007E63A2">
              <w:rPr>
                <w:rFonts w:ascii="Aptos Narrow" w:hAnsi="Aptos Narrow"/>
                <w:color w:val="000000"/>
                <w:sz w:val="22"/>
                <w:szCs w:val="22"/>
                <w:lang w:eastAsia="zh-CN"/>
              </w:rPr>
              <w:t xml:space="preserve"> Esta misma regla aplica en comunidades pues aplican el mismo proceso. </w:t>
            </w:r>
            <w:r w:rsidR="00F82ED3" w:rsidRPr="007E63A2">
              <w:rPr>
                <w:rFonts w:ascii="Aptos Narrow" w:hAnsi="Aptos Narrow"/>
                <w:color w:val="000000"/>
                <w:sz w:val="22"/>
                <w:szCs w:val="22"/>
                <w:lang w:eastAsia="zh-CN"/>
              </w:rPr>
              <w:lastRenderedPageBreak/>
              <w:t>Similarmente existen reglas para los de capacidad de un AGGE que aplican la Res. CREG 174 de 2021.</w:t>
            </w:r>
          </w:p>
        </w:tc>
      </w:tr>
      <w:tr w:rsidR="004C1144" w:rsidRPr="007E63A2" w14:paraId="35C893E7" w14:textId="77777777" w:rsidTr="004C1144">
        <w:trPr>
          <w:trHeight w:val="870"/>
        </w:trPr>
        <w:tc>
          <w:tcPr>
            <w:tcW w:w="2084" w:type="pct"/>
            <w:tcBorders>
              <w:top w:val="nil"/>
              <w:left w:val="single" w:sz="4" w:space="0" w:color="auto"/>
              <w:bottom w:val="single" w:sz="4" w:space="0" w:color="auto"/>
              <w:right w:val="single" w:sz="4" w:space="0" w:color="auto"/>
            </w:tcBorders>
            <w:vAlign w:val="center"/>
            <w:hideMark/>
          </w:tcPr>
          <w:p w14:paraId="466BD5CB" w14:textId="2E7C7F7A"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lastRenderedPageBreak/>
              <w:t>Solicitan se indique si un comercializador de energía puede ser representante de una comunidad energética o ser parte de una comunidad energética y por ende, el representante de la comunidad.</w:t>
            </w:r>
          </w:p>
        </w:tc>
        <w:tc>
          <w:tcPr>
            <w:tcW w:w="2916" w:type="pct"/>
            <w:tcBorders>
              <w:top w:val="nil"/>
              <w:left w:val="nil"/>
              <w:bottom w:val="single" w:sz="4" w:space="0" w:color="auto"/>
              <w:right w:val="single" w:sz="4" w:space="0" w:color="auto"/>
            </w:tcBorders>
            <w:vAlign w:val="center"/>
            <w:hideMark/>
          </w:tcPr>
          <w:p w14:paraId="31F597AD" w14:textId="77777777" w:rsidR="004C1144" w:rsidRPr="007E63A2" w:rsidRDefault="004C1144" w:rsidP="004C1144">
            <w:pPr>
              <w:jc w:val="center"/>
              <w:rPr>
                <w:rFonts w:ascii="Aptos Narrow" w:hAnsi="Aptos Narrow"/>
                <w:color w:val="000000"/>
                <w:sz w:val="22"/>
                <w:szCs w:val="22"/>
                <w:lang w:eastAsia="zh-CN"/>
              </w:rPr>
            </w:pPr>
            <w:r w:rsidRPr="007E63A2">
              <w:rPr>
                <w:rFonts w:ascii="Aptos Narrow" w:hAnsi="Aptos Narrow"/>
                <w:color w:val="000000"/>
                <w:sz w:val="22"/>
                <w:szCs w:val="22"/>
                <w:lang w:eastAsia="zh-CN"/>
              </w:rPr>
              <w:t>Esta consulta debe ser dirigida directamente al Ministerio de Minas y Energía.</w:t>
            </w:r>
          </w:p>
        </w:tc>
      </w:tr>
    </w:tbl>
    <w:p w14:paraId="74260FC7" w14:textId="1D236835" w:rsidR="00946AD0" w:rsidRPr="007E63A2" w:rsidRDefault="004C1144" w:rsidP="004C1144">
      <w:pPr>
        <w:pStyle w:val="Descripcin"/>
        <w:jc w:val="center"/>
        <w:rPr>
          <w:color w:val="auto"/>
          <w:lang w:eastAsia="es-CO"/>
        </w:rPr>
      </w:pPr>
      <w:r w:rsidRPr="007E63A2">
        <w:rPr>
          <w:color w:val="auto"/>
        </w:rPr>
        <w:t xml:space="preserve">Tabla </w:t>
      </w:r>
      <w:r w:rsidRPr="007E63A2">
        <w:rPr>
          <w:color w:val="auto"/>
        </w:rPr>
        <w:fldChar w:fldCharType="begin"/>
      </w:r>
      <w:r w:rsidRPr="007E63A2">
        <w:rPr>
          <w:color w:val="auto"/>
        </w:rPr>
        <w:instrText xml:space="preserve"> SEQ Tabla \* ARABIC </w:instrText>
      </w:r>
      <w:r w:rsidRPr="007E63A2">
        <w:rPr>
          <w:color w:val="auto"/>
        </w:rPr>
        <w:fldChar w:fldCharType="separate"/>
      </w:r>
      <w:r w:rsidR="0033166C" w:rsidRPr="007E63A2">
        <w:rPr>
          <w:color w:val="auto"/>
        </w:rPr>
        <w:t>1</w:t>
      </w:r>
      <w:r w:rsidRPr="007E63A2">
        <w:rPr>
          <w:color w:val="auto"/>
        </w:rPr>
        <w:fldChar w:fldCharType="end"/>
      </w:r>
      <w:r w:rsidRPr="007E63A2">
        <w:rPr>
          <w:color w:val="auto"/>
        </w:rPr>
        <w:t>. Consultas empresas en reunión con ANDESCO. 23/07/2025</w:t>
      </w:r>
    </w:p>
    <w:p w14:paraId="515A5B6A" w14:textId="2D7E4615" w:rsidR="000E7FFA" w:rsidRPr="007E63A2" w:rsidRDefault="000E7FFA" w:rsidP="00B17E86">
      <w:pPr>
        <w:spacing w:line="276" w:lineRule="auto"/>
        <w:rPr>
          <w:color w:val="000000"/>
          <w:lang w:eastAsia="es-CO"/>
        </w:rPr>
      </w:pPr>
    </w:p>
    <w:p w14:paraId="7A8D326B" w14:textId="7A9E70C3" w:rsidR="005B0A8B" w:rsidRPr="007E63A2" w:rsidRDefault="005B0A8B" w:rsidP="005B0A8B">
      <w:pPr>
        <w:pStyle w:val="Ttulo2"/>
        <w:rPr>
          <w:lang w:eastAsia="es-CO"/>
        </w:rPr>
      </w:pPr>
      <w:bookmarkStart w:id="10" w:name="_Toc212219325"/>
      <w:r w:rsidRPr="007E63A2">
        <w:rPr>
          <w:lang w:eastAsia="es-CO"/>
        </w:rPr>
        <w:t xml:space="preserve">Solicitud de concepto CAC – Radicado CREG </w:t>
      </w:r>
      <w:r w:rsidR="000B7076" w:rsidRPr="007E63A2">
        <w:rPr>
          <w:lang w:eastAsia="es-CO"/>
        </w:rPr>
        <w:t>E2025007967</w:t>
      </w:r>
      <w:bookmarkEnd w:id="10"/>
    </w:p>
    <w:p w14:paraId="441CCECE" w14:textId="2B2039A0" w:rsidR="00804E23" w:rsidRPr="007E63A2" w:rsidRDefault="00804E23" w:rsidP="00B17E86">
      <w:pPr>
        <w:spacing w:line="276" w:lineRule="auto"/>
        <w:rPr>
          <w:color w:val="000000"/>
          <w:lang w:eastAsia="es-CO"/>
        </w:rPr>
      </w:pPr>
      <w:r w:rsidRPr="007E63A2">
        <w:rPr>
          <w:color w:val="000000"/>
          <w:lang w:eastAsia="es-CO"/>
        </w:rPr>
        <w:t>El CAC a través del radicado CREG E2025007967 planteó varías consultas a la Comisión asociadas a la aplicación del artículo 27 y 28 de la Resolución CREG 101 072 de 2025</w:t>
      </w:r>
      <w:r w:rsidR="00B14B62" w:rsidRPr="007E63A2">
        <w:rPr>
          <w:color w:val="000000"/>
          <w:lang w:eastAsia="es-CO"/>
        </w:rPr>
        <w:t xml:space="preserve"> y que nos permitimos traer dos de ellas que consideramos pertinentes para el caso del que trata el documento soporte</w:t>
      </w:r>
      <w:r w:rsidRPr="007E63A2">
        <w:rPr>
          <w:color w:val="000000"/>
          <w:lang w:eastAsia="es-CO"/>
        </w:rPr>
        <w:t xml:space="preserve"> y que podrían resumirse de la siguiente manera: </w:t>
      </w:r>
    </w:p>
    <w:p w14:paraId="3C2F67DD" w14:textId="77777777" w:rsidR="00804E23" w:rsidRPr="007E63A2" w:rsidRDefault="00804E23" w:rsidP="00804E23">
      <w:pPr>
        <w:spacing w:line="276" w:lineRule="auto"/>
        <w:ind w:firstLine="708"/>
        <w:rPr>
          <w:color w:val="000000"/>
          <w:lang w:eastAsia="es-CO"/>
        </w:rPr>
      </w:pPr>
    </w:p>
    <w:p w14:paraId="323CAAE3" w14:textId="2607B9B7" w:rsidR="000E7FFA" w:rsidRPr="007E63A2" w:rsidRDefault="00804E23" w:rsidP="00472ED5">
      <w:pPr>
        <w:spacing w:line="276" w:lineRule="auto"/>
        <w:ind w:left="708"/>
        <w:rPr>
          <w:color w:val="000000"/>
          <w:lang w:eastAsia="es-CO"/>
        </w:rPr>
      </w:pPr>
      <w:r w:rsidRPr="007E63A2">
        <w:rPr>
          <w:color w:val="000000"/>
          <w:lang w:eastAsia="es-CO"/>
        </w:rPr>
        <w:t>i) Entendiendo el CAC que el periodo de transición de seis meses para el cambio de reconocimiento de excedentes a precio de bolsa por el Mc</w:t>
      </w:r>
      <w:r w:rsidRPr="007E63A2">
        <w:rPr>
          <w:color w:val="000000"/>
          <w:vertAlign w:val="subscript"/>
          <w:lang w:eastAsia="es-CO"/>
        </w:rPr>
        <w:t>m</w:t>
      </w:r>
      <w:r w:rsidRPr="007E63A2">
        <w:rPr>
          <w:color w:val="000000"/>
          <w:lang w:eastAsia="es-CO"/>
        </w:rPr>
        <w:t xml:space="preserve"> solo aplica para usuario</w:t>
      </w:r>
      <w:r w:rsidR="00472ED5" w:rsidRPr="007E63A2">
        <w:rPr>
          <w:color w:val="000000"/>
          <w:lang w:eastAsia="es-CO"/>
        </w:rPr>
        <w:t>s</w:t>
      </w:r>
      <w:r w:rsidRPr="007E63A2">
        <w:rPr>
          <w:color w:val="000000"/>
          <w:lang w:eastAsia="es-CO"/>
        </w:rPr>
        <w:t xml:space="preserve"> existentes, plantea que sucede con un usuario AGPE nuevo que ingrese</w:t>
      </w:r>
      <w:r w:rsidR="00472ED5" w:rsidRPr="007E63A2">
        <w:rPr>
          <w:color w:val="000000"/>
          <w:lang w:eastAsia="es-CO"/>
        </w:rPr>
        <w:t xml:space="preserve"> ya que deberían reconocérsele dichos excedentes a Mc</w:t>
      </w:r>
      <w:r w:rsidR="00472ED5" w:rsidRPr="007E63A2">
        <w:rPr>
          <w:color w:val="000000"/>
          <w:vertAlign w:val="subscript"/>
          <w:lang w:eastAsia="es-CO"/>
        </w:rPr>
        <w:t>m</w:t>
      </w:r>
      <w:r w:rsidR="00472ED5" w:rsidRPr="007E63A2">
        <w:rPr>
          <w:color w:val="000000"/>
          <w:lang w:eastAsia="es-CO"/>
        </w:rPr>
        <w:t xml:space="preserve"> y surge la inquietud sobre </w:t>
      </w:r>
      <w:r w:rsidR="00C96DC0" w:rsidRPr="007E63A2">
        <w:rPr>
          <w:color w:val="000000"/>
          <w:lang w:eastAsia="es-CO"/>
        </w:rPr>
        <w:t>cuál</w:t>
      </w:r>
      <w:r w:rsidR="00472ED5" w:rsidRPr="007E63A2">
        <w:rPr>
          <w:color w:val="000000"/>
          <w:lang w:eastAsia="es-CO"/>
        </w:rPr>
        <w:t xml:space="preserve"> debe ser la </w:t>
      </w:r>
      <w:r w:rsidRPr="007E63A2">
        <w:rPr>
          <w:color w:val="000000"/>
          <w:lang w:eastAsia="es-CO"/>
        </w:rPr>
        <w:t>metodología aplicable para el traslado de las compras a los AGPE</w:t>
      </w:r>
      <w:r w:rsidR="00472ED5" w:rsidRPr="007E63A2">
        <w:rPr>
          <w:color w:val="000000"/>
          <w:lang w:eastAsia="es-CO"/>
        </w:rPr>
        <w:t xml:space="preserve"> ya que la fórmula actual de traslado se encuentra en términos del precio de bolsa y no del Mc</w:t>
      </w:r>
      <w:r w:rsidR="00472ED5" w:rsidRPr="007E63A2">
        <w:rPr>
          <w:color w:val="000000"/>
          <w:vertAlign w:val="subscript"/>
          <w:lang w:eastAsia="es-CO"/>
        </w:rPr>
        <w:t>m.</w:t>
      </w:r>
    </w:p>
    <w:p w14:paraId="401CBDAF" w14:textId="77777777" w:rsidR="00804E23" w:rsidRPr="007E63A2" w:rsidRDefault="00804E23" w:rsidP="00B17E86">
      <w:pPr>
        <w:spacing w:line="276" w:lineRule="auto"/>
        <w:rPr>
          <w:color w:val="000000"/>
          <w:lang w:eastAsia="es-CO"/>
        </w:rPr>
      </w:pPr>
    </w:p>
    <w:p w14:paraId="328F1126" w14:textId="71FC0676" w:rsidR="006330CE" w:rsidRPr="007E63A2" w:rsidRDefault="00472ED5" w:rsidP="006330CE">
      <w:pPr>
        <w:tabs>
          <w:tab w:val="left" w:pos="708"/>
          <w:tab w:val="left" w:pos="1440"/>
        </w:tabs>
        <w:spacing w:line="276" w:lineRule="auto"/>
        <w:ind w:left="708"/>
        <w:rPr>
          <w:color w:val="000000"/>
          <w:lang w:eastAsia="es-CO"/>
        </w:rPr>
      </w:pPr>
      <w:r w:rsidRPr="007E63A2">
        <w:rPr>
          <w:color w:val="000000"/>
          <w:lang w:eastAsia="es-CO"/>
        </w:rPr>
        <w:t>ii)</w:t>
      </w:r>
      <w:r w:rsidR="006330CE" w:rsidRPr="007E63A2">
        <w:rPr>
          <w:color w:val="000000"/>
          <w:lang w:eastAsia="es-CO"/>
        </w:rPr>
        <w:t xml:space="preserve"> El CAC plantea una presunta contradicción entre el parágrafo 3 del Anexo 2 de la Resolución CR</w:t>
      </w:r>
      <w:r w:rsidR="003A0B90" w:rsidRPr="007E63A2">
        <w:rPr>
          <w:color w:val="000000"/>
          <w:lang w:eastAsia="es-CO"/>
        </w:rPr>
        <w:t>E</w:t>
      </w:r>
      <w:r w:rsidR="006330CE" w:rsidRPr="007E63A2">
        <w:rPr>
          <w:color w:val="000000"/>
          <w:lang w:eastAsia="es-CO"/>
        </w:rPr>
        <w:t>G 101 072 2025 y el parágrafo del artículo 27 de la mencionada resolución</w:t>
      </w:r>
      <w:r w:rsidR="003A0B90" w:rsidRPr="007E63A2">
        <w:rPr>
          <w:color w:val="000000"/>
          <w:lang w:eastAsia="es-CO"/>
        </w:rPr>
        <w:t>, ya que entienden que en el primero se permite la permanencia de los contratos de AGPE existentes hasta su vencimiento (apartándose de la transición de los seis meses) y el segundo, por el contrario, que todos los contratos de AGPE deberán ajustarse a las nuevas disposiciones a partir del séptimo mes posterior a la entrada en vigencia de la resolución.</w:t>
      </w:r>
    </w:p>
    <w:p w14:paraId="5808CB5B" w14:textId="24854F14" w:rsidR="00804E23" w:rsidRPr="007E63A2" w:rsidRDefault="00804E23" w:rsidP="00B17E86">
      <w:pPr>
        <w:spacing w:line="276" w:lineRule="auto"/>
        <w:rPr>
          <w:color w:val="000000"/>
          <w:lang w:eastAsia="es-CO"/>
        </w:rPr>
      </w:pPr>
    </w:p>
    <w:p w14:paraId="4866E612" w14:textId="111653CA" w:rsidR="00804E23" w:rsidRPr="007E63A2" w:rsidRDefault="00472ED5" w:rsidP="00B17E86">
      <w:pPr>
        <w:spacing w:line="276" w:lineRule="auto"/>
        <w:rPr>
          <w:color w:val="000000"/>
          <w:lang w:eastAsia="es-CO"/>
        </w:rPr>
      </w:pPr>
      <w:r w:rsidRPr="007E63A2">
        <w:rPr>
          <w:color w:val="000000"/>
          <w:lang w:eastAsia="es-CO"/>
        </w:rPr>
        <w:t>A través del radicado CREG S2025005076 se atendió la solicitud del CAC indicando para el:</w:t>
      </w:r>
    </w:p>
    <w:p w14:paraId="30E60460" w14:textId="77777777" w:rsidR="00472ED5" w:rsidRPr="007E63A2" w:rsidRDefault="00472ED5" w:rsidP="00B17E86">
      <w:pPr>
        <w:spacing w:line="276" w:lineRule="auto"/>
        <w:rPr>
          <w:color w:val="000000"/>
          <w:lang w:eastAsia="es-CO"/>
        </w:rPr>
      </w:pPr>
    </w:p>
    <w:p w14:paraId="2E1829F5" w14:textId="496AF922" w:rsidR="00472ED5" w:rsidRPr="007E63A2" w:rsidRDefault="002A7F49" w:rsidP="00472ED5">
      <w:pPr>
        <w:spacing w:line="276" w:lineRule="auto"/>
        <w:ind w:firstLine="708"/>
        <w:rPr>
          <w:b/>
          <w:bCs/>
          <w:color w:val="000000"/>
          <w:lang w:eastAsia="es-CO"/>
        </w:rPr>
      </w:pPr>
      <w:r w:rsidRPr="007E63A2">
        <w:rPr>
          <w:b/>
          <w:bCs/>
          <w:color w:val="000000"/>
          <w:lang w:eastAsia="es-CO"/>
        </w:rPr>
        <w:t>Consulta</w:t>
      </w:r>
      <w:r w:rsidR="00472ED5" w:rsidRPr="007E63A2">
        <w:rPr>
          <w:b/>
          <w:bCs/>
          <w:color w:val="000000"/>
          <w:lang w:eastAsia="es-CO"/>
        </w:rPr>
        <w:t xml:space="preserve"> i): </w:t>
      </w:r>
    </w:p>
    <w:p w14:paraId="79F3E3EA" w14:textId="459B22EF" w:rsidR="00472ED5" w:rsidRPr="007E63A2" w:rsidRDefault="00472ED5" w:rsidP="00472ED5">
      <w:pPr>
        <w:spacing w:before="240"/>
        <w:ind w:left="708"/>
        <w:rPr>
          <w:rFonts w:ascii="Helvetica" w:hAnsi="Helvetica" w:cs="Helvetica"/>
          <w:i/>
          <w:iCs/>
        </w:rPr>
      </w:pPr>
      <w:r w:rsidRPr="007E63A2">
        <w:rPr>
          <w:b/>
          <w:bCs/>
          <w:color w:val="000000"/>
          <w:lang w:eastAsia="es-CO"/>
        </w:rPr>
        <w:t>«</w:t>
      </w:r>
      <w:r w:rsidRPr="007E63A2">
        <w:rPr>
          <w:color w:val="000000"/>
          <w:lang w:eastAsia="es-CO"/>
        </w:rPr>
        <w:t xml:space="preserve">(…) </w:t>
      </w:r>
      <w:r w:rsidRPr="007E63A2">
        <w:rPr>
          <w:rFonts w:ascii="Helvetica" w:hAnsi="Helvetica" w:cs="Helvetica"/>
          <w:i/>
          <w:iCs/>
        </w:rPr>
        <w:t xml:space="preserve">Ahora bien, sobre la modificación establecida en los referidos artículos, la misma indica que los usuarios AGPE existentes y operando al momento de la entrada en vigencia de la Resolución CREG 101 072 de 2025 y que tengan contratos de venta de excedentes con algún comercializador y que no esté en función de lo establecido, lo cual hace referencia al </w:t>
      </w:r>
      <w:r w:rsidRPr="007E63A2">
        <w:rPr>
          <w:rFonts w:ascii="Helvetica" w:hAnsi="Helvetica" w:cs="Helvetica"/>
          <w:b/>
          <w:bCs/>
          <w:i/>
          <w:iCs/>
        </w:rPr>
        <w:t>Mc</w:t>
      </w:r>
      <w:r w:rsidRPr="007E63A2">
        <w:rPr>
          <w:rFonts w:ascii="Helvetica" w:hAnsi="Helvetica" w:cs="Helvetica"/>
          <w:i/>
          <w:iCs/>
        </w:rPr>
        <w:t>, continuarán con dicha situación durante los seis meses siguientes contados a partir de la entrada en vigencia de dicha resolución, es decir, aplicarán el precio de bolsa (</w:t>
      </w:r>
      <w:r w:rsidRPr="007E63A2">
        <w:rPr>
          <w:rFonts w:ascii="Helvetica" w:hAnsi="Helvetica" w:cs="Helvetica"/>
          <w:b/>
          <w:bCs/>
          <w:i/>
          <w:iCs/>
        </w:rPr>
        <w:t>Pb</w:t>
      </w:r>
      <w:r w:rsidRPr="007E63A2">
        <w:rPr>
          <w:rFonts w:ascii="Helvetica" w:hAnsi="Helvetica" w:cs="Helvetica"/>
          <w:i/>
          <w:iCs/>
        </w:rPr>
        <w:t xml:space="preserve">). Luego, a partir del séptimo mes de expedida la norma en el Diario Oficial, deberán acogerse al </w:t>
      </w:r>
      <w:r w:rsidRPr="007E63A2">
        <w:rPr>
          <w:rFonts w:ascii="Helvetica" w:hAnsi="Helvetica" w:cs="Helvetica"/>
          <w:b/>
          <w:bCs/>
          <w:i/>
          <w:iCs/>
        </w:rPr>
        <w:t>Mc</w:t>
      </w:r>
      <w:r w:rsidRPr="007E63A2">
        <w:rPr>
          <w:rFonts w:ascii="Helvetica" w:hAnsi="Helvetica" w:cs="Helvetica"/>
          <w:i/>
          <w:iCs/>
        </w:rPr>
        <w:t xml:space="preserve">, esto en caso de que ya se cuente con  la metodología de traslado al </w:t>
      </w:r>
      <w:r w:rsidRPr="007E63A2">
        <w:rPr>
          <w:rFonts w:ascii="Helvetica" w:hAnsi="Helvetica" w:cs="Helvetica"/>
          <w:b/>
          <w:bCs/>
          <w:i/>
          <w:iCs/>
        </w:rPr>
        <w:t>Mc</w:t>
      </w:r>
      <w:r w:rsidRPr="007E63A2">
        <w:rPr>
          <w:rFonts w:ascii="Helvetica" w:hAnsi="Helvetica" w:cs="Helvetica"/>
          <w:i/>
          <w:iCs/>
        </w:rPr>
        <w:t xml:space="preserve">, de la que trata el artículo 13 de la resolución CREG 101 072 de 2025. Así mismo, los parágrafos señalan que «(…) </w:t>
      </w:r>
      <w:r w:rsidRPr="007E63A2">
        <w:rPr>
          <w:rFonts w:ascii="Helvetica" w:hAnsi="Helvetica" w:cs="Helvetica"/>
          <w:b/>
          <w:bCs/>
          <w:i/>
          <w:iCs/>
          <w:sz w:val="20"/>
          <w:u w:val="single"/>
        </w:rPr>
        <w:t xml:space="preserve">Mientras finaliza el periodo de tiempo anterior, se dará cumplimiento a lo establecido en el Anexo 2 de esta resolución </w:t>
      </w:r>
      <w:r w:rsidRPr="007E63A2">
        <w:rPr>
          <w:rFonts w:ascii="Helvetica" w:hAnsi="Helvetica" w:cs="Helvetica"/>
          <w:i/>
          <w:iCs/>
        </w:rPr>
        <w:t xml:space="preserve">(…) y (…) </w:t>
      </w:r>
      <w:r w:rsidRPr="007E63A2">
        <w:rPr>
          <w:rFonts w:ascii="Helvetica" w:hAnsi="Helvetica" w:cs="Helvetica"/>
          <w:b/>
          <w:bCs/>
          <w:i/>
          <w:iCs/>
          <w:sz w:val="20"/>
          <w:u w:val="single"/>
        </w:rPr>
        <w:t xml:space="preserve">Mientras se cumple el periodo de tiempo anterior, se dará cumplimiento a lo establecido en el Anexo 3 de esta resolución, </w:t>
      </w:r>
      <w:r w:rsidRPr="007E63A2">
        <w:rPr>
          <w:rFonts w:ascii="Helvetica" w:hAnsi="Helvetica" w:cs="Helvetica"/>
          <w:i/>
          <w:iCs/>
        </w:rPr>
        <w:t>(…)» con lo</w:t>
      </w:r>
      <w:r w:rsidRPr="007E63A2">
        <w:rPr>
          <w:rFonts w:ascii="Helvetica" w:hAnsi="Helvetica" w:cs="Helvetica"/>
          <w:i/>
          <w:iCs/>
          <w:sz w:val="32"/>
          <w:szCs w:val="32"/>
        </w:rPr>
        <w:t xml:space="preserve"> </w:t>
      </w:r>
      <w:r w:rsidRPr="007E63A2">
        <w:rPr>
          <w:rFonts w:ascii="Helvetica" w:hAnsi="Helvetica" w:cs="Helvetica"/>
          <w:i/>
          <w:iCs/>
        </w:rPr>
        <w:t>cual aclaramos que estas son órdenes generales, sean usuarios AGPE nuevos o existentes, pues con dichos anexos se aplica lo dispuesto en la Resolución CREG 174 de 2021 para cualquier tipo de usuario.</w:t>
      </w:r>
    </w:p>
    <w:p w14:paraId="1C7B79C0" w14:textId="77777777" w:rsidR="00472ED5" w:rsidRPr="007E63A2" w:rsidRDefault="00472ED5" w:rsidP="00472ED5">
      <w:pPr>
        <w:spacing w:before="240"/>
        <w:ind w:left="708"/>
        <w:rPr>
          <w:rFonts w:ascii="Helvetica" w:hAnsi="Helvetica" w:cs="Helvetica"/>
          <w:i/>
          <w:iCs/>
        </w:rPr>
      </w:pPr>
      <w:r w:rsidRPr="007E63A2">
        <w:rPr>
          <w:rFonts w:ascii="Helvetica" w:hAnsi="Helvetica" w:cs="Helvetica"/>
          <w:i/>
          <w:iCs/>
        </w:rPr>
        <w:t xml:space="preserve">Esto es así pues el </w:t>
      </w:r>
      <w:r w:rsidRPr="007E63A2">
        <w:rPr>
          <w:rFonts w:ascii="Helvetica" w:hAnsi="Helvetica" w:cs="Helvetica"/>
          <w:b/>
          <w:bCs/>
          <w:i/>
          <w:iCs/>
        </w:rPr>
        <w:t>Mc</w:t>
      </w:r>
      <w:r w:rsidRPr="007E63A2">
        <w:rPr>
          <w:rFonts w:ascii="Helvetica" w:hAnsi="Helvetica" w:cs="Helvetica"/>
          <w:i/>
          <w:iCs/>
        </w:rPr>
        <w:t xml:space="preserve"> aún no tiene una metodología en que pueda trasladarse su compra a dicho valor, pues está pendiente de que la CREG lo expida conforme lo indica el parágrafo del artículo 27 de la Resolución CREG 101 072 de 2025.</w:t>
      </w:r>
    </w:p>
    <w:p w14:paraId="47FA8A66" w14:textId="77777777" w:rsidR="00472ED5" w:rsidRPr="007E63A2" w:rsidRDefault="00472ED5" w:rsidP="00472ED5">
      <w:pPr>
        <w:spacing w:before="240"/>
        <w:ind w:left="708"/>
        <w:rPr>
          <w:rFonts w:ascii="Helvetica" w:hAnsi="Helvetica" w:cs="Helvetica"/>
          <w:i/>
          <w:iCs/>
        </w:rPr>
      </w:pPr>
      <w:r w:rsidRPr="007E63A2">
        <w:rPr>
          <w:rFonts w:ascii="Helvetica" w:hAnsi="Helvetica" w:cs="Helvetica"/>
          <w:i/>
          <w:iCs/>
        </w:rPr>
        <w:t xml:space="preserve">En ese sentido, mientras la CREG no haya expedido la metodología de traslado de compras de excedentes con el valor del </w:t>
      </w:r>
      <w:r w:rsidRPr="007E63A2">
        <w:rPr>
          <w:rFonts w:ascii="Helvetica" w:hAnsi="Helvetica" w:cs="Helvetica"/>
          <w:b/>
          <w:bCs/>
          <w:i/>
          <w:iCs/>
        </w:rPr>
        <w:t>Mc</w:t>
      </w:r>
      <w:r w:rsidRPr="007E63A2">
        <w:rPr>
          <w:rFonts w:ascii="Helvetica" w:hAnsi="Helvetica" w:cs="Helvetica"/>
          <w:i/>
          <w:iCs/>
        </w:rPr>
        <w:t xml:space="preserve"> (los que superan el crédito de energía), deben aplicar los Anexos 2, 3 y 4 de la Resolución CREG 101 072 de 2025, los cuales a su vez establecen aplicar el traslado de compras de energía a precio de bolsa para la energía que supera el crédito de energía. Similarmente aplica a un GD en sus reglas transitorias por medio de la aplicación del Anexo 1 de la Resolución CREG 101 072 de 2025, pero para la energía que se valora a precio de bolsa más el beneficio por reducción de pérdidas.</w:t>
      </w:r>
    </w:p>
    <w:p w14:paraId="719C481D" w14:textId="77777777" w:rsidR="00472ED5" w:rsidRPr="007E63A2" w:rsidRDefault="00472ED5" w:rsidP="00472ED5">
      <w:pPr>
        <w:spacing w:before="240"/>
        <w:ind w:left="708"/>
        <w:rPr>
          <w:rFonts w:ascii="Helvetica" w:hAnsi="Helvetica" w:cs="Helvetica"/>
          <w:i/>
          <w:iCs/>
        </w:rPr>
      </w:pPr>
      <w:r w:rsidRPr="007E63A2">
        <w:rPr>
          <w:rFonts w:ascii="Helvetica" w:hAnsi="Helvetica" w:cs="Helvetica"/>
          <w:i/>
          <w:iCs/>
        </w:rPr>
        <w:t xml:space="preserve">Así las cosas, sea usuario AGPE nuevo o existente, durante 6 meses a partir de la vigencia de la Resolución CREG 101 072 de 2025 o mientras no se tenga metodología de traslado de las compras de energía al </w:t>
      </w:r>
      <w:r w:rsidRPr="007E63A2">
        <w:rPr>
          <w:rFonts w:ascii="Helvetica" w:hAnsi="Helvetica" w:cs="Helvetica"/>
          <w:b/>
          <w:bCs/>
          <w:i/>
          <w:iCs/>
        </w:rPr>
        <w:t>Mc</w:t>
      </w:r>
      <w:r w:rsidRPr="007E63A2">
        <w:rPr>
          <w:rFonts w:ascii="Helvetica" w:hAnsi="Helvetica" w:cs="Helvetica"/>
          <w:i/>
          <w:iCs/>
        </w:rPr>
        <w:t>, se aplicará lo definido en los Anexos 2 al 4 de la Resolución CREG 101 072 de 2025.</w:t>
      </w:r>
    </w:p>
    <w:p w14:paraId="1387714E" w14:textId="1D503BA1" w:rsidR="00472ED5" w:rsidRPr="007E63A2" w:rsidRDefault="00472ED5" w:rsidP="00472ED5">
      <w:pPr>
        <w:spacing w:before="240"/>
        <w:ind w:left="708"/>
        <w:rPr>
          <w:rFonts w:ascii="Helvetica" w:hAnsi="Helvetica" w:cs="Helvetica"/>
        </w:rPr>
      </w:pPr>
      <w:r w:rsidRPr="007E63A2">
        <w:rPr>
          <w:rFonts w:ascii="Helvetica" w:hAnsi="Helvetica" w:cs="Helvetica"/>
          <w:i/>
          <w:iCs/>
        </w:rPr>
        <w:t xml:space="preserve">Se informa que la CREG ya se encuentra trabajando para expedir a consulta el ajuste a la Resolución CREG 174 de 2021 con el valor del </w:t>
      </w:r>
      <w:r w:rsidRPr="007E63A2">
        <w:rPr>
          <w:rFonts w:ascii="Helvetica" w:hAnsi="Helvetica" w:cs="Helvetica"/>
          <w:b/>
          <w:bCs/>
          <w:i/>
          <w:iCs/>
        </w:rPr>
        <w:t>Mc</w:t>
      </w:r>
      <w:r w:rsidRPr="007E63A2">
        <w:rPr>
          <w:rFonts w:ascii="Helvetica" w:hAnsi="Helvetica" w:cs="Helvetica"/>
          <w:i/>
          <w:iCs/>
        </w:rPr>
        <w:t>.</w:t>
      </w:r>
      <w:r w:rsidRPr="007E63A2">
        <w:rPr>
          <w:rFonts w:ascii="Helvetica" w:hAnsi="Helvetica" w:cs="Helvetica"/>
        </w:rPr>
        <w:t>»</w:t>
      </w:r>
    </w:p>
    <w:p w14:paraId="3C6548A6" w14:textId="4E127F0C" w:rsidR="00472ED5" w:rsidRPr="007E63A2" w:rsidRDefault="00472ED5" w:rsidP="00472ED5">
      <w:pPr>
        <w:spacing w:line="276" w:lineRule="auto"/>
        <w:ind w:firstLine="708"/>
        <w:rPr>
          <w:b/>
          <w:bCs/>
          <w:color w:val="000000"/>
          <w:lang w:eastAsia="es-CO"/>
        </w:rPr>
      </w:pPr>
    </w:p>
    <w:p w14:paraId="41614048" w14:textId="77777777" w:rsidR="00804E23" w:rsidRPr="007E63A2" w:rsidRDefault="00804E23" w:rsidP="00B17E86">
      <w:pPr>
        <w:spacing w:line="276" w:lineRule="auto"/>
        <w:rPr>
          <w:color w:val="000000"/>
          <w:lang w:eastAsia="es-CO"/>
        </w:rPr>
      </w:pPr>
    </w:p>
    <w:p w14:paraId="4A69B97D" w14:textId="719E4DFC" w:rsidR="003A0B90" w:rsidRPr="007E63A2" w:rsidRDefault="003A0B90" w:rsidP="003A0B90">
      <w:pPr>
        <w:spacing w:line="276" w:lineRule="auto"/>
        <w:ind w:firstLine="708"/>
        <w:rPr>
          <w:b/>
          <w:bCs/>
          <w:color w:val="000000"/>
          <w:lang w:eastAsia="es-CO"/>
        </w:rPr>
      </w:pPr>
      <w:r w:rsidRPr="007E63A2">
        <w:rPr>
          <w:b/>
          <w:bCs/>
          <w:color w:val="000000"/>
          <w:lang w:eastAsia="es-CO"/>
        </w:rPr>
        <w:lastRenderedPageBreak/>
        <w:t>C</w:t>
      </w:r>
      <w:r w:rsidR="002A7F49" w:rsidRPr="007E63A2">
        <w:rPr>
          <w:b/>
          <w:bCs/>
          <w:color w:val="000000"/>
          <w:lang w:eastAsia="es-CO"/>
        </w:rPr>
        <w:t>onsulta</w:t>
      </w:r>
      <w:r w:rsidRPr="007E63A2">
        <w:rPr>
          <w:b/>
          <w:bCs/>
          <w:color w:val="000000"/>
          <w:lang w:eastAsia="es-CO"/>
        </w:rPr>
        <w:t xml:space="preserve"> ii): </w:t>
      </w:r>
    </w:p>
    <w:p w14:paraId="7982B200" w14:textId="0E824913" w:rsidR="003A0B90" w:rsidRPr="007E63A2" w:rsidRDefault="003A0B90" w:rsidP="003A0B90">
      <w:pPr>
        <w:spacing w:before="240"/>
        <w:ind w:left="708"/>
        <w:rPr>
          <w:rFonts w:ascii="Helvetica" w:hAnsi="Helvetica" w:cs="Helvetica"/>
          <w:i/>
          <w:iCs/>
        </w:rPr>
      </w:pPr>
      <w:r w:rsidRPr="007E63A2">
        <w:rPr>
          <w:rFonts w:ascii="Helvetica" w:hAnsi="Helvetica" w:cs="Helvetica"/>
        </w:rPr>
        <w:t>«</w:t>
      </w:r>
      <w:r w:rsidRPr="007E63A2">
        <w:rPr>
          <w:rFonts w:ascii="Helvetica" w:hAnsi="Helvetica" w:cs="Helvetica"/>
          <w:i/>
          <w:iCs/>
        </w:rPr>
        <w:t xml:space="preserve">En cuanto a la disposición que se subraya del Anexo 2 de la Resolución CREG 101 072 de 2025, nótese que dicho anexo indica las </w:t>
      </w:r>
      <w:r w:rsidRPr="007E63A2">
        <w:rPr>
          <w:rFonts w:ascii="Helvetica" w:hAnsi="Helvetica" w:cs="Helvetica"/>
          <w:b/>
          <w:bCs/>
          <w:i/>
          <w:iCs/>
          <w:u w:val="single"/>
        </w:rPr>
        <w:t>opciones</w:t>
      </w:r>
      <w:r w:rsidRPr="007E63A2">
        <w:rPr>
          <w:rFonts w:ascii="Helvetica" w:hAnsi="Helvetica" w:cs="Helvetica"/>
          <w:i/>
          <w:iCs/>
        </w:rPr>
        <w:t xml:space="preserve"> de lo que aplica durante la transición, que son iguales a lo que venía vigente en la Resolución CREG 174 de 2021 antes del cambio de la Resolución CREG 101 072 de 2025, es decir, de forma general:</w:t>
      </w:r>
    </w:p>
    <w:p w14:paraId="25F39CCB" w14:textId="77777777" w:rsidR="003A0B90" w:rsidRPr="007E63A2" w:rsidRDefault="003A0B90" w:rsidP="003A0B90">
      <w:pPr>
        <w:pStyle w:val="Prrafodelista"/>
        <w:numPr>
          <w:ilvl w:val="0"/>
          <w:numId w:val="18"/>
        </w:numPr>
        <w:spacing w:before="240" w:after="120" w:line="360" w:lineRule="auto"/>
        <w:rPr>
          <w:rFonts w:ascii="Helvetica" w:hAnsi="Helvetica" w:cs="Helvetica"/>
          <w:i/>
          <w:iCs/>
        </w:rPr>
      </w:pPr>
      <w:r w:rsidRPr="007E63A2">
        <w:rPr>
          <w:rFonts w:ascii="Helvetica" w:hAnsi="Helvetica" w:cs="Helvetica"/>
          <w:i/>
          <w:iCs/>
        </w:rPr>
        <w:t>Contratos a precios libres con destino a la demanda no regulada,</w:t>
      </w:r>
    </w:p>
    <w:p w14:paraId="0DD2D5B7" w14:textId="77777777" w:rsidR="003A0B90" w:rsidRPr="007E63A2" w:rsidRDefault="003A0B90" w:rsidP="003A0B90">
      <w:pPr>
        <w:pStyle w:val="Prrafodelista"/>
        <w:numPr>
          <w:ilvl w:val="0"/>
          <w:numId w:val="18"/>
        </w:numPr>
        <w:spacing w:before="240" w:after="120" w:line="360" w:lineRule="auto"/>
        <w:rPr>
          <w:rFonts w:ascii="Helvetica" w:hAnsi="Helvetica" w:cs="Helvetica"/>
          <w:i/>
          <w:iCs/>
        </w:rPr>
      </w:pPr>
      <w:r w:rsidRPr="007E63A2">
        <w:rPr>
          <w:rFonts w:ascii="Helvetica" w:hAnsi="Helvetica" w:cs="Helvetica"/>
          <w:i/>
          <w:iCs/>
        </w:rPr>
        <w:t>caso no FNCER con su comercializador donde la energía se valora a precio de bolsa y,</w:t>
      </w:r>
    </w:p>
    <w:p w14:paraId="6C5D8945" w14:textId="77777777" w:rsidR="003A0B90" w:rsidRPr="007E63A2" w:rsidRDefault="003A0B90" w:rsidP="003A0B90">
      <w:pPr>
        <w:pStyle w:val="Prrafodelista"/>
        <w:numPr>
          <w:ilvl w:val="0"/>
          <w:numId w:val="18"/>
        </w:numPr>
        <w:spacing w:before="240" w:after="120" w:line="360" w:lineRule="auto"/>
        <w:rPr>
          <w:rFonts w:ascii="Helvetica" w:hAnsi="Helvetica" w:cs="Helvetica"/>
          <w:i/>
          <w:iCs/>
        </w:rPr>
      </w:pPr>
      <w:r w:rsidRPr="007E63A2">
        <w:rPr>
          <w:rFonts w:ascii="Helvetica" w:hAnsi="Helvetica" w:cs="Helvetica"/>
          <w:i/>
          <w:iCs/>
        </w:rPr>
        <w:t>caso FNCER con su comercializador donde la energía se valora a Crédito de Energía más lo que supere el anterior crédito a precio bolsa.</w:t>
      </w:r>
    </w:p>
    <w:p w14:paraId="5B681A52" w14:textId="3876F7F1" w:rsidR="003A0B90" w:rsidRPr="007E63A2" w:rsidRDefault="003A0B90" w:rsidP="003A0B90">
      <w:pPr>
        <w:spacing w:before="240"/>
        <w:ind w:left="1068"/>
        <w:rPr>
          <w:rFonts w:ascii="Helvetica" w:hAnsi="Helvetica" w:cs="Helvetica"/>
        </w:rPr>
      </w:pPr>
      <w:r w:rsidRPr="007E63A2">
        <w:rPr>
          <w:rFonts w:ascii="Helvetica" w:hAnsi="Helvetica" w:cs="Helvetica"/>
          <w:i/>
          <w:iCs/>
        </w:rPr>
        <w:t>Para responder su pregunta y teniendo en cuenta lo anterior, el parágrafo 3 del citado anexo 2 indica que «</w:t>
      </w:r>
      <w:r w:rsidRPr="007E63A2">
        <w:rPr>
          <w:rFonts w:ascii="Helvetica" w:hAnsi="Helvetica" w:cs="Helvetica"/>
          <w:i/>
          <w:iCs/>
          <w:sz w:val="20"/>
        </w:rPr>
        <w:t xml:space="preserve">Los AGPE existentes y operando al momento de expedición de esta resolución que tengan contratos de venta de excedentes con algún comercializador o generador, </w:t>
      </w:r>
      <w:r w:rsidRPr="007E63A2">
        <w:rPr>
          <w:rFonts w:ascii="Helvetica" w:hAnsi="Helvetica" w:cs="Helvetica"/>
          <w:b/>
          <w:bCs/>
          <w:i/>
          <w:iCs/>
          <w:sz w:val="20"/>
        </w:rPr>
        <w:t xml:space="preserve">y que el contrato no esté en función de alguna de las </w:t>
      </w:r>
      <w:r w:rsidRPr="007E63A2">
        <w:rPr>
          <w:rFonts w:ascii="Helvetica" w:hAnsi="Helvetica" w:cs="Helvetica"/>
          <w:b/>
          <w:bCs/>
          <w:i/>
          <w:iCs/>
          <w:u w:val="single"/>
        </w:rPr>
        <w:t>opciones</w:t>
      </w:r>
      <w:r w:rsidRPr="007E63A2">
        <w:rPr>
          <w:rFonts w:ascii="Helvetica" w:hAnsi="Helvetica" w:cs="Helvetica"/>
          <w:b/>
          <w:bCs/>
          <w:i/>
          <w:iCs/>
        </w:rPr>
        <w:t xml:space="preserve"> </w:t>
      </w:r>
      <w:r w:rsidRPr="007E63A2">
        <w:rPr>
          <w:rFonts w:ascii="Helvetica" w:hAnsi="Helvetica" w:cs="Helvetica"/>
          <w:b/>
          <w:bCs/>
          <w:i/>
          <w:iCs/>
          <w:sz w:val="20"/>
        </w:rPr>
        <w:t>aquí establecidas</w:t>
      </w:r>
      <w:r w:rsidRPr="007E63A2">
        <w:rPr>
          <w:rFonts w:ascii="Helvetica" w:hAnsi="Helvetica" w:cs="Helvetica"/>
          <w:i/>
          <w:iCs/>
          <w:sz w:val="20"/>
        </w:rPr>
        <w:t>, continuarán con dicha situación hasta la finalización de su contrato. Al terminar el contrato deberán acogerse a una de las opciones de que trata este artículo»</w:t>
      </w:r>
      <w:r w:rsidRPr="007E63A2">
        <w:rPr>
          <w:rFonts w:ascii="Helvetica" w:hAnsi="Helvetica" w:cs="Helvetica"/>
          <w:i/>
          <w:iCs/>
        </w:rPr>
        <w:t>, con lo puede concluirse que no pueden existir contratos diferentes a los citados pues dichas opciones son las vigentes durante la transición; por lo cual, se identifica que no existe algún contrato a lo cual aplicarle dicho parágrafo y el mismo es inocuo, lo cual, si bien podría ser corregido de forma posterior regulatoriamente, no afecta la aplicación del citado Anexo y la transición.</w:t>
      </w:r>
      <w:r w:rsidRPr="007E63A2">
        <w:rPr>
          <w:rFonts w:ascii="Helvetica" w:hAnsi="Helvetica" w:cs="Helvetica"/>
        </w:rPr>
        <w:t>»</w:t>
      </w:r>
    </w:p>
    <w:p w14:paraId="1CE4467D" w14:textId="43C6982D" w:rsidR="003A0B90" w:rsidRPr="007E63A2" w:rsidRDefault="003A0B90" w:rsidP="00B17E86">
      <w:pPr>
        <w:spacing w:line="276" w:lineRule="auto"/>
        <w:rPr>
          <w:color w:val="000000"/>
          <w:lang w:eastAsia="es-CO"/>
        </w:rPr>
      </w:pPr>
    </w:p>
    <w:p w14:paraId="58224281" w14:textId="5445171A" w:rsidR="00067324" w:rsidRPr="007E63A2" w:rsidRDefault="0093768A" w:rsidP="00B17E86">
      <w:pPr>
        <w:pStyle w:val="Ttulo1"/>
        <w:spacing w:after="0" w:line="276" w:lineRule="auto"/>
        <w:ind w:left="431" w:hanging="431"/>
        <w:rPr>
          <w:sz w:val="22"/>
        </w:rPr>
      </w:pPr>
      <w:bookmarkStart w:id="11" w:name="_Toc212219326"/>
      <w:bookmarkEnd w:id="1"/>
      <w:bookmarkEnd w:id="2"/>
      <w:bookmarkEnd w:id="3"/>
      <w:r w:rsidRPr="007E63A2">
        <w:rPr>
          <w:sz w:val="22"/>
        </w:rPr>
        <w:t>PROBLEMA</w:t>
      </w:r>
      <w:r w:rsidR="001D24F8" w:rsidRPr="007E63A2">
        <w:rPr>
          <w:sz w:val="22"/>
        </w:rPr>
        <w:t>, CAUSAS y CONSECUENCIAS</w:t>
      </w:r>
      <w:bookmarkEnd w:id="11"/>
    </w:p>
    <w:p w14:paraId="14613C55" w14:textId="77777777" w:rsidR="00067324" w:rsidRPr="007E63A2" w:rsidRDefault="00067324" w:rsidP="00B17E86">
      <w:pPr>
        <w:spacing w:line="276" w:lineRule="auto"/>
        <w:rPr>
          <w:sz w:val="22"/>
        </w:rPr>
      </w:pPr>
    </w:p>
    <w:p w14:paraId="6949C696" w14:textId="77777777" w:rsidR="00C52E9A" w:rsidRPr="007E63A2" w:rsidRDefault="00C52E9A" w:rsidP="00C52E9A">
      <w:pPr>
        <w:pStyle w:val="Ttulo2"/>
      </w:pPr>
      <w:bookmarkStart w:id="12" w:name="_Toc212219327"/>
      <w:r w:rsidRPr="007E63A2">
        <w:t>Traslado de compras de AGPE, GD, AC y GDC el usuario regulado a través del componente de Generación</w:t>
      </w:r>
      <w:bookmarkEnd w:id="12"/>
    </w:p>
    <w:p w14:paraId="4594C2DB" w14:textId="5A8C6BCF" w:rsidR="00C52E9A" w:rsidRPr="007E63A2" w:rsidRDefault="009B5E53" w:rsidP="007069D7">
      <w:pPr>
        <w:spacing w:line="276" w:lineRule="auto"/>
        <w:rPr>
          <w:szCs w:val="24"/>
        </w:rPr>
      </w:pPr>
      <w:r w:rsidRPr="007E63A2">
        <w:rPr>
          <w:szCs w:val="24"/>
        </w:rPr>
        <w:t>El periodo de transición de 6 mes establecido en la Resolución CREG 101 072 de 2025</w:t>
      </w:r>
      <w:r w:rsidR="006364AF" w:rsidRPr="007E63A2">
        <w:rPr>
          <w:szCs w:val="24"/>
        </w:rPr>
        <w:t xml:space="preserve"> para el cambio de precio de bolsa por Mc para el reconocimiento de excedentes de AGPE y para iniciar el traslado de estas compras al usuario final a través del componente de Generación del CU requiere que se ajusten las fórmulas descritas en el Anexo 1 de la Resolución CREG 174 de 2021 y crear un esquema similar para el traslado de las compras realizadas al AC y GDC; sin embargo, la comisión considera pertinente realizar análisis sobre la estructura de dicha fórmula ya que como ya se evidenció, impacta significativamente a los comercializadores no </w:t>
      </w:r>
      <w:r w:rsidR="006364AF" w:rsidRPr="007E63A2">
        <w:rPr>
          <w:szCs w:val="24"/>
        </w:rPr>
        <w:lastRenderedPageBreak/>
        <w:t>integrados con el OR y adicionalmente, revisar el impacto en el balance en bolsa de los comercializadores ya que se estarían comprando excedentes a precio de Mc, pero estos excedentes serían liquidados en el mercado mayorista a precio de bolsa pudiendo estar por debajo o por encima del Mc.</w:t>
      </w:r>
    </w:p>
    <w:p w14:paraId="4137FBCF" w14:textId="77777777" w:rsidR="006364AF" w:rsidRPr="007E63A2" w:rsidRDefault="006364AF" w:rsidP="007069D7">
      <w:pPr>
        <w:spacing w:line="276" w:lineRule="auto"/>
        <w:rPr>
          <w:szCs w:val="24"/>
        </w:rPr>
      </w:pPr>
    </w:p>
    <w:p w14:paraId="48CEE4A9" w14:textId="7B4620B7" w:rsidR="006364AF" w:rsidRPr="007E63A2" w:rsidRDefault="006364AF" w:rsidP="00CA291A">
      <w:pPr>
        <w:spacing w:line="276" w:lineRule="auto"/>
        <w:rPr>
          <w:rFonts w:asciiTheme="minorBidi" w:hAnsiTheme="minorBidi" w:cstheme="minorBidi"/>
          <w:szCs w:val="24"/>
        </w:rPr>
      </w:pPr>
      <w:r w:rsidRPr="007E63A2">
        <w:rPr>
          <w:szCs w:val="24"/>
        </w:rPr>
        <w:t xml:space="preserve">La </w:t>
      </w:r>
      <w:r w:rsidRPr="007E63A2">
        <w:rPr>
          <w:rFonts w:asciiTheme="minorBidi" w:hAnsiTheme="minorBidi" w:cstheme="minorBidi"/>
          <w:szCs w:val="24"/>
        </w:rPr>
        <w:t>Comisión lista los siguientes impactos identificados</w:t>
      </w:r>
      <w:r w:rsidR="00B619AF" w:rsidRPr="007E63A2">
        <w:rPr>
          <w:rFonts w:asciiTheme="minorBidi" w:hAnsiTheme="minorBidi" w:cstheme="minorBidi"/>
          <w:szCs w:val="24"/>
        </w:rPr>
        <w:t xml:space="preserve"> y que requieren un análisis más profundo pudiendo ser que el periodo de transición de 6 meses propuesto inicialmente no sea suficiente:</w:t>
      </w:r>
    </w:p>
    <w:p w14:paraId="30F822F6" w14:textId="77777777" w:rsidR="006364AF" w:rsidRPr="007E63A2" w:rsidRDefault="006364AF" w:rsidP="00CA291A">
      <w:pPr>
        <w:spacing w:line="276" w:lineRule="auto"/>
        <w:rPr>
          <w:rFonts w:asciiTheme="minorBidi" w:hAnsiTheme="minorBidi" w:cstheme="minorBidi"/>
          <w:szCs w:val="24"/>
        </w:rPr>
      </w:pPr>
    </w:p>
    <w:p w14:paraId="775DD66F" w14:textId="5E7067EC" w:rsidR="00CA291A" w:rsidRPr="007E63A2" w:rsidRDefault="00CA291A" w:rsidP="00CA291A">
      <w:pPr>
        <w:pStyle w:val="Prrafodelista"/>
        <w:numPr>
          <w:ilvl w:val="0"/>
          <w:numId w:val="19"/>
        </w:numPr>
        <w:spacing w:line="276" w:lineRule="auto"/>
        <w:jc w:val="both"/>
        <w:rPr>
          <w:rFonts w:asciiTheme="minorBidi" w:hAnsiTheme="minorBidi"/>
        </w:rPr>
      </w:pPr>
      <w:r w:rsidRPr="007E63A2">
        <w:rPr>
          <w:rFonts w:asciiTheme="minorBidi" w:hAnsiTheme="minorBidi"/>
        </w:rPr>
        <w:t xml:space="preserve">La valoración del crédito de energía para los AGPE con capacidad menor 0,1MW a Cuv-Cv </w:t>
      </w:r>
      <w:r w:rsidR="00B619AF" w:rsidRPr="007E63A2">
        <w:rPr>
          <w:rFonts w:asciiTheme="minorBidi" w:hAnsiTheme="minorBidi"/>
        </w:rPr>
        <w:t>corresponde</w:t>
      </w:r>
      <w:r w:rsidRPr="007E63A2">
        <w:rPr>
          <w:rFonts w:asciiTheme="minorBidi" w:hAnsiTheme="minorBidi"/>
        </w:rPr>
        <w:t>, generalmente, a un precio muy superior al de la bolsa de energía</w:t>
      </w:r>
      <w:r w:rsidR="00B619AF" w:rsidRPr="007E63A2">
        <w:rPr>
          <w:rFonts w:asciiTheme="minorBidi" w:hAnsiTheme="minorBidi"/>
        </w:rPr>
        <w:t xml:space="preserve"> en condiciones normales,</w:t>
      </w:r>
      <w:r w:rsidRPr="007E63A2">
        <w:rPr>
          <w:rFonts w:asciiTheme="minorBidi" w:hAnsiTheme="minorBidi"/>
        </w:rPr>
        <w:t xml:space="preserve"> que termina siendo trasladado al usuario que no es AGPE en el componente de Generación.</w:t>
      </w:r>
    </w:p>
    <w:p w14:paraId="1BC1524F" w14:textId="77777777" w:rsidR="00CA291A" w:rsidRPr="007E63A2" w:rsidRDefault="00CA291A" w:rsidP="00CA291A">
      <w:pPr>
        <w:pStyle w:val="Prrafodelista"/>
        <w:spacing w:line="276" w:lineRule="auto"/>
        <w:jc w:val="both"/>
        <w:rPr>
          <w:rFonts w:asciiTheme="minorBidi" w:hAnsiTheme="minorBidi"/>
        </w:rPr>
      </w:pPr>
    </w:p>
    <w:p w14:paraId="2DA9A5D3" w14:textId="6F8F325B" w:rsidR="00B619AF" w:rsidRPr="007E63A2" w:rsidRDefault="00CA291A" w:rsidP="0009018E">
      <w:pPr>
        <w:pStyle w:val="Prrafodelista"/>
        <w:numPr>
          <w:ilvl w:val="0"/>
          <w:numId w:val="19"/>
        </w:numPr>
        <w:jc w:val="both"/>
        <w:rPr>
          <w:rFonts w:asciiTheme="minorBidi" w:hAnsiTheme="minorBidi"/>
        </w:rPr>
      </w:pPr>
      <w:r w:rsidRPr="007E63A2">
        <w:rPr>
          <w:rFonts w:asciiTheme="minorBidi" w:hAnsiTheme="minorBidi"/>
        </w:rPr>
        <w:t>El impacto del G Transitorio en el componente de Generación del CU implica un mayor valor a pagar por parte de los usuarios que no son AGPE y, con base en la información consultada del formato T9 del SUI, se encuentran valores de G</w:t>
      </w:r>
      <w:r w:rsidR="00B619AF" w:rsidRPr="007E63A2">
        <w:rPr>
          <w:rFonts w:asciiTheme="minorBidi" w:hAnsiTheme="minorBidi"/>
        </w:rPr>
        <w:t xml:space="preserve"> transitorio significativos en usuarios atendidos por comercializadoras no integrados con el OR.</w:t>
      </w:r>
    </w:p>
    <w:p w14:paraId="4E593FA4" w14:textId="77777777" w:rsidR="00CA291A" w:rsidRPr="007E63A2" w:rsidRDefault="00CA291A" w:rsidP="00CA291A">
      <w:pPr>
        <w:pStyle w:val="Prrafodelista"/>
        <w:spacing w:line="276" w:lineRule="auto"/>
        <w:jc w:val="both"/>
        <w:rPr>
          <w:rFonts w:asciiTheme="minorBidi" w:hAnsiTheme="minorBidi"/>
        </w:rPr>
      </w:pPr>
    </w:p>
    <w:p w14:paraId="5CD98B57" w14:textId="30CA0FC5" w:rsidR="006364AF" w:rsidRPr="007E63A2" w:rsidRDefault="006364AF" w:rsidP="00CA291A">
      <w:pPr>
        <w:pStyle w:val="Prrafodelista"/>
        <w:numPr>
          <w:ilvl w:val="0"/>
          <w:numId w:val="19"/>
        </w:numPr>
        <w:spacing w:line="276" w:lineRule="auto"/>
        <w:jc w:val="both"/>
        <w:rPr>
          <w:rFonts w:asciiTheme="minorBidi" w:hAnsiTheme="minorBidi"/>
        </w:rPr>
      </w:pPr>
      <w:r w:rsidRPr="007E63A2">
        <w:rPr>
          <w:rFonts w:asciiTheme="minorBidi" w:hAnsiTheme="minorBidi"/>
        </w:rPr>
        <w:t xml:space="preserve">La compra obligatoria de excedentes </w:t>
      </w:r>
      <w:r w:rsidR="00EF4877" w:rsidRPr="007E63A2">
        <w:rPr>
          <w:rFonts w:asciiTheme="minorBidi" w:hAnsiTheme="minorBidi"/>
        </w:rPr>
        <w:t xml:space="preserve">a precio de Mc por parte del comercializador </w:t>
      </w:r>
      <w:r w:rsidR="00AC3AA4" w:rsidRPr="007E63A2">
        <w:rPr>
          <w:rFonts w:asciiTheme="minorBidi" w:hAnsiTheme="minorBidi"/>
        </w:rPr>
        <w:t xml:space="preserve">al usuario AGPE </w:t>
      </w:r>
      <w:r w:rsidR="00EF4877" w:rsidRPr="007E63A2">
        <w:rPr>
          <w:rFonts w:asciiTheme="minorBidi" w:hAnsiTheme="minorBidi"/>
        </w:rPr>
        <w:t xml:space="preserve">podría generar subremuneración o sobreremuneración al momento de </w:t>
      </w:r>
      <w:r w:rsidR="00B619AF" w:rsidRPr="007E63A2">
        <w:rPr>
          <w:rFonts w:asciiTheme="minorBidi" w:hAnsiTheme="minorBidi"/>
        </w:rPr>
        <w:t xml:space="preserve">que se deba realizar </w:t>
      </w:r>
      <w:r w:rsidR="00EF4877" w:rsidRPr="007E63A2">
        <w:rPr>
          <w:rFonts w:asciiTheme="minorBidi" w:hAnsiTheme="minorBidi"/>
        </w:rPr>
        <w:t>la liquidación de dicha energía en el mercado de Energía Mayorista</w:t>
      </w:r>
      <w:r w:rsidR="00AC3AA4" w:rsidRPr="007E63A2">
        <w:rPr>
          <w:rFonts w:asciiTheme="minorBidi" w:hAnsiTheme="minorBidi"/>
        </w:rPr>
        <w:t>.</w:t>
      </w:r>
    </w:p>
    <w:p w14:paraId="61D8ED92" w14:textId="77777777" w:rsidR="00C52E9A" w:rsidRPr="007E63A2" w:rsidRDefault="00C52E9A" w:rsidP="007069D7">
      <w:pPr>
        <w:spacing w:line="276" w:lineRule="auto"/>
        <w:rPr>
          <w:szCs w:val="24"/>
          <w:u w:val="single"/>
        </w:rPr>
      </w:pPr>
    </w:p>
    <w:p w14:paraId="57649D13" w14:textId="77777777" w:rsidR="00C52E9A" w:rsidRPr="007E63A2" w:rsidRDefault="00C52E9A" w:rsidP="00C52E9A">
      <w:pPr>
        <w:pStyle w:val="Ttulo2"/>
      </w:pPr>
      <w:bookmarkStart w:id="13" w:name="_Toc212219328"/>
      <w:r w:rsidRPr="007E63A2">
        <w:t>Caso de borde. Balance negativo entre la demanda agregada y los usuarios AGPE de un comercializador no integrado con el OR</w:t>
      </w:r>
      <w:bookmarkEnd w:id="13"/>
    </w:p>
    <w:p w14:paraId="142DA9C6" w14:textId="77777777" w:rsidR="00C52E9A" w:rsidRPr="007E63A2" w:rsidRDefault="00C52E9A" w:rsidP="007069D7">
      <w:pPr>
        <w:spacing w:line="276" w:lineRule="auto"/>
        <w:rPr>
          <w:szCs w:val="24"/>
          <w:u w:val="single"/>
        </w:rPr>
      </w:pPr>
    </w:p>
    <w:p w14:paraId="039A8F68" w14:textId="39CCBD4F" w:rsidR="00B619AF" w:rsidRPr="007E63A2" w:rsidRDefault="00B619AF" w:rsidP="007069D7">
      <w:pPr>
        <w:spacing w:line="276" w:lineRule="auto"/>
        <w:rPr>
          <w:szCs w:val="24"/>
        </w:rPr>
      </w:pPr>
      <w:r w:rsidRPr="007E63A2">
        <w:rPr>
          <w:szCs w:val="24"/>
        </w:rPr>
        <w:t>El caso de borde identificado por la CREG desde la consulta que culminó con la expedición de la Resolución CREG 174 de 2021 hoy es una realidad</w:t>
      </w:r>
      <w:r w:rsidR="0074369A" w:rsidRPr="007E63A2">
        <w:rPr>
          <w:szCs w:val="24"/>
        </w:rPr>
        <w:t xml:space="preserve"> y ha sido expuesta por un agente comercializador no integrado con el Operador de Red.</w:t>
      </w:r>
    </w:p>
    <w:p w14:paraId="7D06D6B3" w14:textId="77777777" w:rsidR="0074369A" w:rsidRPr="007E63A2" w:rsidRDefault="0074369A" w:rsidP="007069D7">
      <w:pPr>
        <w:spacing w:line="276" w:lineRule="auto"/>
        <w:rPr>
          <w:szCs w:val="24"/>
        </w:rPr>
      </w:pPr>
    </w:p>
    <w:p w14:paraId="436C1403" w14:textId="08E0DC42" w:rsidR="0074369A" w:rsidRPr="007E63A2" w:rsidRDefault="0074369A" w:rsidP="007069D7">
      <w:pPr>
        <w:spacing w:line="276" w:lineRule="auto"/>
        <w:rPr>
          <w:szCs w:val="24"/>
        </w:rPr>
      </w:pPr>
      <w:r w:rsidRPr="007E63A2">
        <w:rPr>
          <w:szCs w:val="24"/>
        </w:rPr>
        <w:t xml:space="preserve">Los excedentes de AGPE son tratados como una reducción de </w:t>
      </w:r>
      <w:r w:rsidR="0077365B" w:rsidRPr="007E63A2">
        <w:rPr>
          <w:szCs w:val="24"/>
        </w:rPr>
        <w:t xml:space="preserve">la </w:t>
      </w:r>
      <w:r w:rsidRPr="007E63A2">
        <w:rPr>
          <w:szCs w:val="24"/>
        </w:rPr>
        <w:t>demanda del comercializador, por lo que en los momentos del día en el que las exportaciones provenientes de las compras obligatorias a los usuarios AGPE por parte del comercializador sean mayores que su demanda agregada, este resultado es un valor negativo</w:t>
      </w:r>
      <w:r w:rsidR="0077365B" w:rsidRPr="007E63A2">
        <w:rPr>
          <w:szCs w:val="24"/>
        </w:rPr>
        <w:t xml:space="preserve"> pero</w:t>
      </w:r>
      <w:r w:rsidRPr="007E63A2">
        <w:rPr>
          <w:szCs w:val="24"/>
        </w:rPr>
        <w:t xml:space="preserve"> conforme a las reglas vigentes el ASIC toma la demanda del </w:t>
      </w:r>
      <w:r w:rsidRPr="007E63A2">
        <w:rPr>
          <w:szCs w:val="24"/>
        </w:rPr>
        <w:lastRenderedPageBreak/>
        <w:t>comercializador como valor cero dejando por fuera los excedentes negativos</w:t>
      </w:r>
      <w:r w:rsidR="0077365B" w:rsidRPr="007E63A2">
        <w:rPr>
          <w:szCs w:val="24"/>
        </w:rPr>
        <w:t xml:space="preserve"> cuando realmente corresponde a una inyección de energía a la red.</w:t>
      </w:r>
    </w:p>
    <w:p w14:paraId="69B621D5" w14:textId="77777777" w:rsidR="00277EBA" w:rsidRPr="007E63A2" w:rsidRDefault="00277EBA" w:rsidP="007069D7">
      <w:pPr>
        <w:spacing w:line="276" w:lineRule="auto"/>
        <w:rPr>
          <w:szCs w:val="24"/>
        </w:rPr>
      </w:pPr>
    </w:p>
    <w:p w14:paraId="55428314" w14:textId="4DB8C8A0" w:rsidR="00277EBA" w:rsidRPr="007E63A2" w:rsidRDefault="00277EBA" w:rsidP="00277EBA">
      <w:pPr>
        <w:spacing w:line="276" w:lineRule="auto"/>
        <w:rPr>
          <w:rFonts w:asciiTheme="minorBidi" w:hAnsiTheme="minorBidi" w:cstheme="minorBidi"/>
          <w:szCs w:val="24"/>
        </w:rPr>
      </w:pPr>
      <w:r w:rsidRPr="007E63A2">
        <w:rPr>
          <w:szCs w:val="24"/>
        </w:rPr>
        <w:t xml:space="preserve">La </w:t>
      </w:r>
      <w:r w:rsidRPr="007E63A2">
        <w:rPr>
          <w:rFonts w:asciiTheme="minorBidi" w:hAnsiTheme="minorBidi" w:cstheme="minorBidi"/>
          <w:szCs w:val="24"/>
        </w:rPr>
        <w:t xml:space="preserve">Comisión lista </w:t>
      </w:r>
      <w:r w:rsidR="001D5C33" w:rsidRPr="007E63A2">
        <w:rPr>
          <w:rFonts w:asciiTheme="minorBidi" w:hAnsiTheme="minorBidi" w:cstheme="minorBidi"/>
          <w:szCs w:val="24"/>
        </w:rPr>
        <w:t>el</w:t>
      </w:r>
      <w:r w:rsidRPr="007E63A2">
        <w:rPr>
          <w:rFonts w:asciiTheme="minorBidi" w:hAnsiTheme="minorBidi" w:cstheme="minorBidi"/>
          <w:szCs w:val="24"/>
        </w:rPr>
        <w:t xml:space="preserve"> siguiente impacto identificado</w:t>
      </w:r>
      <w:r w:rsidR="004F6096" w:rsidRPr="007E63A2">
        <w:rPr>
          <w:rFonts w:asciiTheme="minorBidi" w:hAnsiTheme="minorBidi" w:cstheme="minorBidi"/>
          <w:szCs w:val="24"/>
        </w:rPr>
        <w:t>:</w:t>
      </w:r>
    </w:p>
    <w:p w14:paraId="50F7C865" w14:textId="77777777" w:rsidR="004F6096" w:rsidRPr="007E63A2" w:rsidRDefault="004F6096" w:rsidP="00277EBA">
      <w:pPr>
        <w:spacing w:line="276" w:lineRule="auto"/>
        <w:rPr>
          <w:rFonts w:asciiTheme="minorBidi" w:hAnsiTheme="minorBidi" w:cstheme="minorBidi"/>
          <w:szCs w:val="24"/>
        </w:rPr>
      </w:pPr>
    </w:p>
    <w:p w14:paraId="5540E311" w14:textId="77E7A316" w:rsidR="004F6096" w:rsidRPr="007E63A2" w:rsidRDefault="00B51387" w:rsidP="00CF0D58">
      <w:pPr>
        <w:pStyle w:val="Prrafodelista"/>
        <w:numPr>
          <w:ilvl w:val="0"/>
          <w:numId w:val="20"/>
        </w:numPr>
        <w:spacing w:line="276" w:lineRule="auto"/>
        <w:jc w:val="both"/>
        <w:rPr>
          <w:rFonts w:asciiTheme="minorBidi" w:hAnsiTheme="minorBidi"/>
        </w:rPr>
      </w:pPr>
      <w:r w:rsidRPr="007E63A2">
        <w:rPr>
          <w:rFonts w:asciiTheme="minorBidi" w:hAnsiTheme="minorBidi"/>
        </w:rPr>
        <w:t>Los excedentes de energía de los AGPE que son comprados de forma obligatoria por los comercializadores a precio de bolsa, cuando estos superan la demanda horaria del comercializado</w:t>
      </w:r>
      <w:r w:rsidR="00C53A4E" w:rsidRPr="007E63A2">
        <w:rPr>
          <w:rFonts w:asciiTheme="minorBidi" w:hAnsiTheme="minorBidi"/>
        </w:rPr>
        <w:t>r, la demanda se hace cero, estos excedentes no son reconocidos al Comercializador a precio de bolsa lo que implica no poder recuperarlos teniendo en cuenta que si los compró al usuario.</w:t>
      </w:r>
    </w:p>
    <w:p w14:paraId="75CC1CF9" w14:textId="77777777" w:rsidR="00B619AF" w:rsidRPr="007E63A2" w:rsidRDefault="00B619AF" w:rsidP="007069D7">
      <w:pPr>
        <w:spacing w:line="276" w:lineRule="auto"/>
        <w:rPr>
          <w:szCs w:val="24"/>
          <w:u w:val="single"/>
        </w:rPr>
      </w:pPr>
    </w:p>
    <w:p w14:paraId="51644954" w14:textId="77777777" w:rsidR="00C52E9A" w:rsidRPr="007E63A2" w:rsidRDefault="00C52E9A" w:rsidP="00C52E9A">
      <w:pPr>
        <w:pStyle w:val="Ttulo2"/>
      </w:pPr>
      <w:bookmarkStart w:id="14" w:name="_Toc212219329"/>
      <w:r w:rsidRPr="007E63A2">
        <w:t>Reglas para el procedimiento de conexión de las comunidades energéticas</w:t>
      </w:r>
      <w:bookmarkEnd w:id="14"/>
    </w:p>
    <w:p w14:paraId="4E707ED3" w14:textId="40748D20" w:rsidR="004B2EEF" w:rsidRPr="007E63A2" w:rsidRDefault="00606D48" w:rsidP="004B2EEF">
      <w:pPr>
        <w:spacing w:line="276" w:lineRule="auto"/>
        <w:rPr>
          <w:szCs w:val="24"/>
        </w:rPr>
      </w:pPr>
      <w:r w:rsidRPr="007E63A2">
        <w:rPr>
          <w:szCs w:val="24"/>
        </w:rPr>
        <w:t>Conforme a lo planteado en el proyecto de Resolución CREG 701 091 de 2025 “</w:t>
      </w:r>
      <w:r w:rsidRPr="007E63A2">
        <w:rPr>
          <w:i/>
          <w:iCs/>
          <w:szCs w:val="24"/>
        </w:rPr>
        <w:t>Por la cual se regula la actividad de autogeneración remota y el productor marginal con usuarios de forma remota y se dictan otras disposiciones</w:t>
      </w:r>
      <w:r w:rsidRPr="007E63A2">
        <w:rPr>
          <w:szCs w:val="24"/>
        </w:rPr>
        <w:t>” donde se prop</w:t>
      </w:r>
      <w:r w:rsidR="004B2EEF" w:rsidRPr="007E63A2">
        <w:rPr>
          <w:szCs w:val="24"/>
        </w:rPr>
        <w:t>one</w:t>
      </w:r>
      <w:r w:rsidRPr="007E63A2">
        <w:rPr>
          <w:szCs w:val="24"/>
        </w:rPr>
        <w:t xml:space="preserve"> modificar el artículo 2 de la Resolución CREG 174 de 2021 de forma que </w:t>
      </w:r>
      <w:r w:rsidR="004B2EEF" w:rsidRPr="007E63A2">
        <w:rPr>
          <w:szCs w:val="24"/>
        </w:rPr>
        <w:t>todo recurso en el sistema que tenga capacidad efectiva neta menor a 5 MW aplicaría procedimientos simplificados. Por otro lado, la Resolución CREG 101 072 de 2025 estableció en su artículo 8 literal e) que:</w:t>
      </w:r>
    </w:p>
    <w:p w14:paraId="67D56198" w14:textId="77777777" w:rsidR="004B2EEF" w:rsidRPr="007E63A2" w:rsidRDefault="004B2EEF" w:rsidP="004B2EEF">
      <w:pPr>
        <w:spacing w:line="276" w:lineRule="auto"/>
        <w:rPr>
          <w:szCs w:val="24"/>
        </w:rPr>
      </w:pPr>
    </w:p>
    <w:p w14:paraId="300F6B7C" w14:textId="1E53DE99" w:rsidR="004B2EEF" w:rsidRPr="007E63A2" w:rsidRDefault="004B2EEF" w:rsidP="004B2EEF">
      <w:pPr>
        <w:spacing w:line="276" w:lineRule="auto"/>
        <w:ind w:left="708"/>
        <w:rPr>
          <w:szCs w:val="24"/>
        </w:rPr>
      </w:pPr>
      <w:r w:rsidRPr="007E63A2">
        <w:rPr>
          <w:szCs w:val="24"/>
        </w:rPr>
        <w:t>«e) En el caso de un generador que se vincule a un GDC en que: i) la capacidad instalada o nominal de dicho generador es superior al límite para ser GD de que trata la Resolución CREG 174 de 2021, y ii) la capacidad instalada se encuentra dentro del límite establecido por la UPME en la Resolución UPME 501 de 2024; entonces se aplicarán los procedimientos de la Resolución CREG 075 de 2021.»</w:t>
      </w:r>
    </w:p>
    <w:p w14:paraId="6B2591EC" w14:textId="77777777" w:rsidR="004B2EEF" w:rsidRPr="007E63A2" w:rsidRDefault="004B2EEF" w:rsidP="004B2EEF">
      <w:pPr>
        <w:spacing w:line="276" w:lineRule="auto"/>
        <w:rPr>
          <w:szCs w:val="24"/>
        </w:rPr>
      </w:pPr>
    </w:p>
    <w:p w14:paraId="6AA67F84" w14:textId="73C1C195" w:rsidR="00C52E9A" w:rsidRPr="007E63A2" w:rsidRDefault="004B2EEF" w:rsidP="004B2EEF">
      <w:pPr>
        <w:spacing w:line="276" w:lineRule="auto"/>
        <w:rPr>
          <w:szCs w:val="24"/>
        </w:rPr>
      </w:pPr>
      <w:r w:rsidRPr="007E63A2">
        <w:rPr>
          <w:szCs w:val="24"/>
        </w:rPr>
        <w:t xml:space="preserve">En ese orden de ideas, la Comisión considera que </w:t>
      </w:r>
      <w:r w:rsidR="00F603BD" w:rsidRPr="007E63A2">
        <w:rPr>
          <w:szCs w:val="24"/>
        </w:rPr>
        <w:t xml:space="preserve">la regla actual </w:t>
      </w:r>
      <w:r w:rsidR="00A35A07" w:rsidRPr="007E63A2">
        <w:rPr>
          <w:szCs w:val="24"/>
        </w:rPr>
        <w:t>debe flexibilizarse</w:t>
      </w:r>
      <w:r w:rsidR="00F603BD" w:rsidRPr="007E63A2">
        <w:rPr>
          <w:szCs w:val="24"/>
        </w:rPr>
        <w:t xml:space="preserve"> para la integración de las comunidades energéticas al sistema</w:t>
      </w:r>
      <w:r w:rsidR="0062512C" w:rsidRPr="007E63A2">
        <w:rPr>
          <w:szCs w:val="24"/>
        </w:rPr>
        <w:t>.</w:t>
      </w:r>
    </w:p>
    <w:p w14:paraId="16BBBA43" w14:textId="77777777" w:rsidR="001D5C33" w:rsidRPr="007E63A2" w:rsidRDefault="001D5C33" w:rsidP="007069D7">
      <w:pPr>
        <w:spacing w:line="276" w:lineRule="auto"/>
        <w:rPr>
          <w:szCs w:val="24"/>
          <w:u w:val="single"/>
        </w:rPr>
      </w:pPr>
    </w:p>
    <w:p w14:paraId="21868226" w14:textId="4E60CE88" w:rsidR="00C52E9A" w:rsidRPr="007E63A2" w:rsidRDefault="00FA2A13" w:rsidP="00C52E9A">
      <w:pPr>
        <w:pStyle w:val="Ttulo2"/>
        <w:rPr>
          <w:lang w:eastAsia="es-CO"/>
        </w:rPr>
      </w:pPr>
      <w:bookmarkStart w:id="15" w:name="_Toc212219330"/>
      <w:r w:rsidRPr="007E63A2">
        <w:rPr>
          <w:lang w:eastAsia="es-CO"/>
        </w:rPr>
        <w:t>C</w:t>
      </w:r>
      <w:r w:rsidR="00C52E9A" w:rsidRPr="007E63A2">
        <w:rPr>
          <w:lang w:eastAsia="es-CO"/>
        </w:rPr>
        <w:t>omunidades energéticas con energía proveniente de combustibles renovables y recursos energéticos distribuidos.</w:t>
      </w:r>
      <w:bookmarkEnd w:id="15"/>
    </w:p>
    <w:p w14:paraId="1CCDC153" w14:textId="77777777" w:rsidR="004A2014" w:rsidRPr="007E63A2" w:rsidRDefault="0062512C" w:rsidP="007069D7">
      <w:pPr>
        <w:spacing w:line="276" w:lineRule="auto"/>
        <w:rPr>
          <w:szCs w:val="24"/>
        </w:rPr>
      </w:pPr>
      <w:r w:rsidRPr="007E63A2">
        <w:rPr>
          <w:szCs w:val="24"/>
        </w:rPr>
        <w:t xml:space="preserve">La Resolución CREG 101 072 de 2025 no está armonizada totalmente con la definición de Comunidades Energéticas establecida en el artículo 2.2.9.1.2 del Decreto 2236 de 2023 ya que </w:t>
      </w:r>
      <w:r w:rsidR="00C65D1D" w:rsidRPr="007E63A2">
        <w:rPr>
          <w:szCs w:val="24"/>
        </w:rPr>
        <w:t xml:space="preserve">no se plantearon reglas para comunidades </w:t>
      </w:r>
      <w:r w:rsidR="00C65D1D" w:rsidRPr="007E63A2">
        <w:rPr>
          <w:szCs w:val="24"/>
        </w:rPr>
        <w:lastRenderedPageBreak/>
        <w:t xml:space="preserve">energéticas </w:t>
      </w:r>
      <w:r w:rsidR="00CD1A62" w:rsidRPr="007E63A2">
        <w:rPr>
          <w:szCs w:val="24"/>
        </w:rPr>
        <w:t xml:space="preserve">basados en </w:t>
      </w:r>
      <w:r w:rsidR="00CB62AC" w:rsidRPr="007E63A2">
        <w:rPr>
          <w:szCs w:val="24"/>
        </w:rPr>
        <w:t>fuentes de energía diferentes a FNCER</w:t>
      </w:r>
      <w:r w:rsidR="009C1D69" w:rsidRPr="007E63A2">
        <w:rPr>
          <w:szCs w:val="24"/>
        </w:rPr>
        <w:t>, lo anterior</w:t>
      </w:r>
      <w:r w:rsidR="00B56057" w:rsidRPr="007E63A2">
        <w:rPr>
          <w:szCs w:val="24"/>
        </w:rPr>
        <w:t xml:space="preserve"> podría limitar la entrada de nuevas comunidades energéticas</w:t>
      </w:r>
      <w:r w:rsidR="0034108A" w:rsidRPr="007E63A2">
        <w:rPr>
          <w:szCs w:val="24"/>
        </w:rPr>
        <w:t xml:space="preserve"> co</w:t>
      </w:r>
      <w:r w:rsidR="003472BD" w:rsidRPr="007E63A2">
        <w:rPr>
          <w:szCs w:val="24"/>
        </w:rPr>
        <w:t>n recursos que no sean FNCER</w:t>
      </w:r>
      <w:r w:rsidR="00B56057" w:rsidRPr="007E63A2">
        <w:rPr>
          <w:szCs w:val="24"/>
        </w:rPr>
        <w:t>.</w:t>
      </w:r>
    </w:p>
    <w:p w14:paraId="5007D73B" w14:textId="77777777" w:rsidR="00C52E9A" w:rsidRPr="007E63A2" w:rsidRDefault="00C52E9A" w:rsidP="007069D7">
      <w:pPr>
        <w:spacing w:line="276" w:lineRule="auto"/>
        <w:rPr>
          <w:szCs w:val="24"/>
          <w:u w:val="single"/>
        </w:rPr>
      </w:pPr>
    </w:p>
    <w:p w14:paraId="0DF3AE11" w14:textId="77777777" w:rsidR="00C52E9A" w:rsidRPr="007E63A2" w:rsidRDefault="00C52E9A" w:rsidP="00C52E9A">
      <w:pPr>
        <w:pStyle w:val="Ttulo2"/>
        <w:rPr>
          <w:lang w:eastAsia="es-CO"/>
        </w:rPr>
      </w:pPr>
      <w:bookmarkStart w:id="16" w:name="_Toc212219331"/>
      <w:r w:rsidRPr="007E63A2">
        <w:rPr>
          <w:lang w:eastAsia="es-CO"/>
        </w:rPr>
        <w:t>Solicitud de concepto CAC – Radicado CREG E2025007967</w:t>
      </w:r>
      <w:bookmarkEnd w:id="16"/>
    </w:p>
    <w:p w14:paraId="35FB8A41" w14:textId="4969E735" w:rsidR="00C52E9A" w:rsidRPr="007E63A2" w:rsidRDefault="009C1D69" w:rsidP="007069D7">
      <w:pPr>
        <w:spacing w:line="276" w:lineRule="auto"/>
        <w:rPr>
          <w:szCs w:val="24"/>
        </w:rPr>
      </w:pPr>
      <w:r w:rsidRPr="007E63A2">
        <w:rPr>
          <w:szCs w:val="24"/>
        </w:rPr>
        <w:t>La Resolución CREG 101 072 de 2025</w:t>
      </w:r>
      <w:r w:rsidR="00B56057" w:rsidRPr="007E63A2">
        <w:rPr>
          <w:szCs w:val="24"/>
        </w:rPr>
        <w:t>, con base en consultas realizadas por diferentes agentes</w:t>
      </w:r>
      <w:r w:rsidR="002D0D6B" w:rsidRPr="007E63A2">
        <w:rPr>
          <w:szCs w:val="24"/>
        </w:rPr>
        <w:t xml:space="preserve"> y el CAC</w:t>
      </w:r>
      <w:r w:rsidR="00B56057" w:rsidRPr="007E63A2">
        <w:rPr>
          <w:szCs w:val="24"/>
        </w:rPr>
        <w:t xml:space="preserve">, no </w:t>
      </w:r>
      <w:r w:rsidR="002D0D6B" w:rsidRPr="007E63A2">
        <w:rPr>
          <w:szCs w:val="24"/>
        </w:rPr>
        <w:t xml:space="preserve">se entendieron </w:t>
      </w:r>
      <w:r w:rsidR="00B56057" w:rsidRPr="007E63A2">
        <w:rPr>
          <w:szCs w:val="24"/>
        </w:rPr>
        <w:t>clara</w:t>
      </w:r>
      <w:r w:rsidR="002D0D6B" w:rsidRPr="007E63A2">
        <w:rPr>
          <w:szCs w:val="24"/>
        </w:rPr>
        <w:t>mente</w:t>
      </w:r>
      <w:r w:rsidR="00B56057" w:rsidRPr="007E63A2">
        <w:rPr>
          <w:szCs w:val="24"/>
        </w:rPr>
        <w:t xml:space="preserve"> las reglas aplicables para la valoración de excedentes de autogeneración </w:t>
      </w:r>
      <w:r w:rsidR="002D0D6B" w:rsidRPr="007E63A2">
        <w:rPr>
          <w:szCs w:val="24"/>
        </w:rPr>
        <w:t>durante los seis meses de transición para usuario AGPE nuevos. Lo anterior genera confusiones que dificultan la aplicación de la norma.</w:t>
      </w:r>
    </w:p>
    <w:p w14:paraId="33E78E99" w14:textId="77777777" w:rsidR="002D0D6B" w:rsidRPr="007E63A2" w:rsidRDefault="002D0D6B" w:rsidP="007069D7">
      <w:pPr>
        <w:spacing w:line="276" w:lineRule="auto"/>
        <w:rPr>
          <w:szCs w:val="24"/>
        </w:rPr>
      </w:pPr>
    </w:p>
    <w:p w14:paraId="6E254013" w14:textId="6F17F9CB" w:rsidR="002D0D6B" w:rsidRPr="007E63A2" w:rsidRDefault="002A7F49" w:rsidP="007069D7">
      <w:pPr>
        <w:spacing w:line="276" w:lineRule="auto"/>
        <w:rPr>
          <w:szCs w:val="24"/>
        </w:rPr>
      </w:pPr>
      <w:r w:rsidRPr="007E63A2">
        <w:rPr>
          <w:szCs w:val="24"/>
        </w:rPr>
        <w:t>Por otro lado, algunos agentes interpretaron un posible conflicto entre las disposiciones del parágrafo 3 del Anexo 2 y el parágrafo del artículo 27 de la Resolución CREG 101 072 2025 generando confusión respecto al ajuste de los contratos</w:t>
      </w:r>
      <w:r w:rsidR="001009FE" w:rsidRPr="007E63A2">
        <w:rPr>
          <w:szCs w:val="24"/>
        </w:rPr>
        <w:t xml:space="preserve"> de AGPE</w:t>
      </w:r>
      <w:r w:rsidR="000A5C98" w:rsidRPr="007E63A2">
        <w:rPr>
          <w:szCs w:val="24"/>
        </w:rPr>
        <w:t xml:space="preserve"> y la aplicación</w:t>
      </w:r>
      <w:r w:rsidR="001009FE" w:rsidRPr="007E63A2">
        <w:rPr>
          <w:szCs w:val="24"/>
        </w:rPr>
        <w:t>.</w:t>
      </w:r>
    </w:p>
    <w:p w14:paraId="6EB247E6" w14:textId="77777777" w:rsidR="00F337FF" w:rsidRPr="007E63A2" w:rsidRDefault="00F337FF" w:rsidP="00B17E86">
      <w:pPr>
        <w:spacing w:line="276" w:lineRule="auto"/>
        <w:rPr>
          <w:sz w:val="22"/>
        </w:rPr>
      </w:pPr>
    </w:p>
    <w:p w14:paraId="19083324" w14:textId="7011929D" w:rsidR="00020441" w:rsidRPr="007E63A2" w:rsidRDefault="006E7D26" w:rsidP="00B17E86">
      <w:pPr>
        <w:pStyle w:val="Ttulo1"/>
        <w:spacing w:after="0" w:line="276" w:lineRule="auto"/>
        <w:ind w:left="431" w:hanging="431"/>
        <w:rPr>
          <w:sz w:val="22"/>
        </w:rPr>
      </w:pPr>
      <w:bookmarkStart w:id="17" w:name="_Toc212219332"/>
      <w:r w:rsidRPr="007E63A2">
        <w:rPr>
          <w:sz w:val="22"/>
        </w:rPr>
        <w:t>OBJETIVO</w:t>
      </w:r>
      <w:r w:rsidR="00277CDF" w:rsidRPr="007E63A2">
        <w:rPr>
          <w:sz w:val="22"/>
        </w:rPr>
        <w:t>S</w:t>
      </w:r>
      <w:bookmarkEnd w:id="17"/>
    </w:p>
    <w:p w14:paraId="6A9EB2E2" w14:textId="77777777" w:rsidR="00020441" w:rsidRPr="007E63A2" w:rsidRDefault="00020441" w:rsidP="00B17E86">
      <w:pPr>
        <w:spacing w:line="276" w:lineRule="auto"/>
        <w:rPr>
          <w:sz w:val="22"/>
        </w:rPr>
      </w:pPr>
    </w:p>
    <w:p w14:paraId="041AA2EA" w14:textId="0614D239" w:rsidR="002F3467" w:rsidRPr="007E63A2" w:rsidRDefault="001363C6" w:rsidP="000A5C98">
      <w:pPr>
        <w:pStyle w:val="Prrafodelista"/>
        <w:numPr>
          <w:ilvl w:val="0"/>
          <w:numId w:val="21"/>
        </w:numPr>
        <w:spacing w:line="276" w:lineRule="auto"/>
        <w:jc w:val="both"/>
        <w:rPr>
          <w:rFonts w:asciiTheme="minorBidi" w:hAnsiTheme="minorBidi"/>
          <w:color w:val="000000"/>
          <w:lang w:eastAsia="es-CO"/>
        </w:rPr>
      </w:pPr>
      <w:r w:rsidRPr="007E63A2">
        <w:rPr>
          <w:rFonts w:asciiTheme="minorBidi" w:hAnsiTheme="minorBidi"/>
          <w:color w:val="000000"/>
          <w:lang w:eastAsia="es-CO"/>
        </w:rPr>
        <w:t xml:space="preserve">Ajustar la regulación </w:t>
      </w:r>
      <w:r w:rsidR="002F3467" w:rsidRPr="007E63A2">
        <w:rPr>
          <w:rFonts w:asciiTheme="minorBidi" w:hAnsiTheme="minorBidi"/>
          <w:color w:val="000000"/>
          <w:lang w:eastAsia="es-CO"/>
        </w:rPr>
        <w:t xml:space="preserve">para </w:t>
      </w:r>
      <w:r w:rsidRPr="007E63A2">
        <w:rPr>
          <w:rFonts w:asciiTheme="minorBidi" w:hAnsiTheme="minorBidi"/>
          <w:color w:val="000000"/>
          <w:lang w:eastAsia="es-CO"/>
        </w:rPr>
        <w:t>modificar</w:t>
      </w:r>
      <w:r w:rsidR="002F3467" w:rsidRPr="007E63A2">
        <w:rPr>
          <w:rFonts w:asciiTheme="minorBidi" w:hAnsiTheme="minorBidi"/>
          <w:color w:val="000000"/>
          <w:lang w:eastAsia="es-CO"/>
        </w:rPr>
        <w:t xml:space="preserve"> </w:t>
      </w:r>
      <w:r w:rsidR="003941E9" w:rsidRPr="007E63A2">
        <w:rPr>
          <w:rFonts w:asciiTheme="minorBidi" w:hAnsiTheme="minorBidi"/>
          <w:color w:val="000000"/>
          <w:lang w:eastAsia="es-CO"/>
        </w:rPr>
        <w:t xml:space="preserve">y aclarar </w:t>
      </w:r>
      <w:r w:rsidR="002F3467" w:rsidRPr="007E63A2">
        <w:rPr>
          <w:rFonts w:asciiTheme="minorBidi" w:hAnsiTheme="minorBidi"/>
          <w:color w:val="000000"/>
          <w:lang w:eastAsia="es-CO"/>
        </w:rPr>
        <w:t>el tiempo de transición de la entrada en aplicación de la valoración de excedentes de AGPE y AC y precio de venta de la GD y GDC en función del costo promedio ponderado por energía (Mc).</w:t>
      </w:r>
    </w:p>
    <w:p w14:paraId="18CA915B" w14:textId="77777777" w:rsidR="001363C6" w:rsidRPr="007E63A2" w:rsidRDefault="001363C6" w:rsidP="000A5C98">
      <w:pPr>
        <w:pStyle w:val="Prrafodelista"/>
        <w:spacing w:line="276" w:lineRule="auto"/>
        <w:jc w:val="both"/>
        <w:rPr>
          <w:rFonts w:asciiTheme="minorBidi" w:hAnsiTheme="minorBidi"/>
          <w:color w:val="000000"/>
          <w:lang w:eastAsia="es-CO"/>
        </w:rPr>
      </w:pPr>
    </w:p>
    <w:p w14:paraId="3E8D5E03" w14:textId="4748BBFF" w:rsidR="002F3467" w:rsidRPr="007E63A2" w:rsidRDefault="001363C6" w:rsidP="000A5C98">
      <w:pPr>
        <w:pStyle w:val="Prrafodelista"/>
        <w:numPr>
          <w:ilvl w:val="0"/>
          <w:numId w:val="21"/>
        </w:numPr>
        <w:spacing w:line="276" w:lineRule="auto"/>
        <w:jc w:val="both"/>
        <w:rPr>
          <w:rFonts w:asciiTheme="minorBidi" w:hAnsiTheme="minorBidi"/>
          <w:color w:val="000000"/>
          <w:lang w:eastAsia="es-CO"/>
        </w:rPr>
      </w:pPr>
      <w:r w:rsidRPr="007E63A2">
        <w:rPr>
          <w:rFonts w:asciiTheme="minorBidi" w:hAnsiTheme="minorBidi"/>
          <w:color w:val="000000"/>
          <w:lang w:eastAsia="es-CO"/>
        </w:rPr>
        <w:t>Ajustar</w:t>
      </w:r>
      <w:r w:rsidR="00BB7F12" w:rsidRPr="007E63A2">
        <w:rPr>
          <w:rFonts w:asciiTheme="minorBidi" w:hAnsiTheme="minorBidi"/>
          <w:color w:val="000000"/>
          <w:lang w:eastAsia="es-CO"/>
        </w:rPr>
        <w:t xml:space="preserve"> </w:t>
      </w:r>
      <w:r w:rsidRPr="007E63A2">
        <w:rPr>
          <w:rFonts w:asciiTheme="minorBidi" w:hAnsiTheme="minorBidi"/>
          <w:color w:val="000000"/>
          <w:lang w:eastAsia="es-CO"/>
        </w:rPr>
        <w:t>las reglas asociadas a</w:t>
      </w:r>
      <w:r w:rsidR="00F461BB" w:rsidRPr="007E63A2">
        <w:rPr>
          <w:rFonts w:asciiTheme="minorBidi" w:hAnsiTheme="minorBidi"/>
          <w:color w:val="000000"/>
          <w:lang w:eastAsia="es-CO"/>
        </w:rPr>
        <w:t>l tratamiento de excedentes de los AGPE en el ASIC y el LAC</w:t>
      </w:r>
      <w:r w:rsidR="009C0E35" w:rsidRPr="007E63A2">
        <w:rPr>
          <w:rFonts w:asciiTheme="minorBidi" w:hAnsiTheme="minorBidi"/>
          <w:color w:val="000000"/>
          <w:lang w:eastAsia="es-CO"/>
        </w:rPr>
        <w:t xml:space="preserve"> </w:t>
      </w:r>
      <w:r w:rsidRPr="007E63A2">
        <w:rPr>
          <w:rFonts w:asciiTheme="minorBidi" w:hAnsiTheme="minorBidi"/>
          <w:color w:val="000000"/>
          <w:lang w:eastAsia="es-CO"/>
        </w:rPr>
        <w:t xml:space="preserve">para </w:t>
      </w:r>
      <w:r w:rsidR="009C0E35" w:rsidRPr="007E63A2">
        <w:rPr>
          <w:rFonts w:asciiTheme="minorBidi" w:hAnsiTheme="minorBidi"/>
          <w:color w:val="000000"/>
          <w:lang w:eastAsia="es-CO"/>
        </w:rPr>
        <w:t>los casos donde el balance entre la demanda del comercializador y los excedentes que se venden al comercializador no integrado con el OR de como resultado un valor negativo.</w:t>
      </w:r>
    </w:p>
    <w:p w14:paraId="667C79CA" w14:textId="77777777" w:rsidR="00943000" w:rsidRPr="007E63A2" w:rsidRDefault="00943000" w:rsidP="000A5C98">
      <w:pPr>
        <w:pStyle w:val="Prrafodelista"/>
        <w:jc w:val="both"/>
        <w:rPr>
          <w:rFonts w:asciiTheme="minorBidi" w:hAnsiTheme="minorBidi"/>
          <w:color w:val="000000"/>
          <w:lang w:eastAsia="es-CO"/>
        </w:rPr>
      </w:pPr>
    </w:p>
    <w:p w14:paraId="7046C83B" w14:textId="73249F40" w:rsidR="00943000" w:rsidRPr="007E63A2" w:rsidRDefault="00943000" w:rsidP="000A5C98">
      <w:pPr>
        <w:pStyle w:val="Prrafodelista"/>
        <w:numPr>
          <w:ilvl w:val="0"/>
          <w:numId w:val="21"/>
        </w:numPr>
        <w:spacing w:line="276" w:lineRule="auto"/>
        <w:jc w:val="both"/>
        <w:rPr>
          <w:rFonts w:asciiTheme="minorBidi" w:hAnsiTheme="minorBidi"/>
          <w:color w:val="000000"/>
          <w:lang w:eastAsia="es-CO"/>
        </w:rPr>
      </w:pPr>
      <w:r w:rsidRPr="007E63A2">
        <w:rPr>
          <w:rFonts w:asciiTheme="minorBidi" w:hAnsiTheme="minorBidi"/>
          <w:color w:val="000000"/>
          <w:lang w:eastAsia="es-CO"/>
        </w:rPr>
        <w:t xml:space="preserve">Modificar la regla para que los generadores que se vinculen a un GDC </w:t>
      </w:r>
      <w:r w:rsidR="00A044B4" w:rsidRPr="007E63A2">
        <w:rPr>
          <w:rFonts w:asciiTheme="minorBidi" w:hAnsiTheme="minorBidi"/>
          <w:color w:val="000000"/>
          <w:lang w:eastAsia="es-CO"/>
        </w:rPr>
        <w:t>que cumplan los requisitos establecidos por la regulación, apliquen los procedimientos de conexión simplificados.</w:t>
      </w:r>
    </w:p>
    <w:p w14:paraId="4F47CB53" w14:textId="77777777" w:rsidR="00A044B4" w:rsidRPr="007E63A2" w:rsidRDefault="00A044B4" w:rsidP="000A5C98">
      <w:pPr>
        <w:pStyle w:val="Prrafodelista"/>
        <w:jc w:val="both"/>
        <w:rPr>
          <w:rFonts w:asciiTheme="minorBidi" w:hAnsiTheme="minorBidi"/>
          <w:color w:val="000000"/>
          <w:lang w:eastAsia="es-CO"/>
        </w:rPr>
      </w:pPr>
    </w:p>
    <w:p w14:paraId="5FF4D978" w14:textId="66DDB64B" w:rsidR="00A044B4" w:rsidRPr="007E63A2" w:rsidRDefault="00A044B4" w:rsidP="000A5C98">
      <w:pPr>
        <w:pStyle w:val="Prrafodelista"/>
        <w:numPr>
          <w:ilvl w:val="0"/>
          <w:numId w:val="21"/>
        </w:numPr>
        <w:spacing w:line="276" w:lineRule="auto"/>
        <w:jc w:val="both"/>
        <w:rPr>
          <w:rFonts w:asciiTheme="minorBidi" w:hAnsiTheme="minorBidi"/>
          <w:color w:val="000000"/>
          <w:lang w:eastAsia="es-CO"/>
        </w:rPr>
      </w:pPr>
      <w:r w:rsidRPr="007E63A2">
        <w:rPr>
          <w:rFonts w:asciiTheme="minorBidi" w:hAnsiTheme="minorBidi"/>
          <w:color w:val="000000"/>
          <w:lang w:eastAsia="es-CO"/>
        </w:rPr>
        <w:t xml:space="preserve">Ajustar la Resolución CREG 101 072 de 2025 para que se aplicable a Comunidades Energéticas </w:t>
      </w:r>
      <w:r w:rsidR="005A7573" w:rsidRPr="007E63A2">
        <w:rPr>
          <w:rFonts w:asciiTheme="minorBidi" w:hAnsiTheme="minorBidi"/>
          <w:color w:val="000000"/>
          <w:lang w:eastAsia="es-CO"/>
        </w:rPr>
        <w:t>basadas en fuentes energéticas diferentes a FNCER.</w:t>
      </w:r>
    </w:p>
    <w:p w14:paraId="53024361" w14:textId="5A80D066" w:rsidR="006D7356" w:rsidRPr="007E63A2" w:rsidRDefault="00530E71" w:rsidP="00434001">
      <w:pPr>
        <w:pStyle w:val="Prrafodelista"/>
        <w:numPr>
          <w:ilvl w:val="0"/>
          <w:numId w:val="21"/>
        </w:numPr>
        <w:spacing w:line="276" w:lineRule="auto"/>
        <w:jc w:val="both"/>
        <w:rPr>
          <w:rFonts w:asciiTheme="minorBidi" w:hAnsiTheme="minorBidi"/>
          <w:color w:val="000000"/>
          <w:lang w:eastAsia="es-CO"/>
        </w:rPr>
      </w:pPr>
      <w:r w:rsidRPr="007E63A2">
        <w:rPr>
          <w:rFonts w:asciiTheme="minorBidi" w:hAnsiTheme="minorBidi"/>
          <w:color w:val="000000"/>
          <w:lang w:eastAsia="es-CO"/>
        </w:rPr>
        <w:t xml:space="preserve">Adicionalmente ajustar la Resolución CREG 101 072 de 2025 para que </w:t>
      </w:r>
      <w:r w:rsidR="00C23663" w:rsidRPr="007E63A2">
        <w:rPr>
          <w:rFonts w:asciiTheme="minorBidi" w:hAnsiTheme="minorBidi"/>
          <w:color w:val="000000"/>
          <w:lang w:eastAsia="es-CO"/>
        </w:rPr>
        <w:t>todos los procedimientos</w:t>
      </w:r>
      <w:r w:rsidRPr="007E63A2">
        <w:rPr>
          <w:rFonts w:asciiTheme="minorBidi" w:hAnsiTheme="minorBidi"/>
          <w:color w:val="000000"/>
          <w:lang w:eastAsia="es-CO"/>
        </w:rPr>
        <w:t xml:space="preserve"> de conexión de las comunidades energéticas se realicen </w:t>
      </w:r>
      <w:r w:rsidRPr="007E63A2">
        <w:rPr>
          <w:rFonts w:asciiTheme="minorBidi" w:hAnsiTheme="minorBidi"/>
          <w:color w:val="000000"/>
          <w:lang w:eastAsia="es-CO"/>
        </w:rPr>
        <w:lastRenderedPageBreak/>
        <w:t xml:space="preserve">en el marco de la Resolución </w:t>
      </w:r>
      <w:r w:rsidR="006D1E69" w:rsidRPr="007E63A2">
        <w:rPr>
          <w:rFonts w:asciiTheme="minorBidi" w:hAnsiTheme="minorBidi"/>
          <w:color w:val="000000"/>
          <w:lang w:eastAsia="es-CO"/>
        </w:rPr>
        <w:t>CREG 174 de 2021</w:t>
      </w:r>
      <w:r w:rsidR="00B15959" w:rsidRPr="007E63A2">
        <w:rPr>
          <w:rFonts w:asciiTheme="minorBidi" w:hAnsiTheme="minorBidi"/>
          <w:color w:val="000000"/>
          <w:lang w:eastAsia="es-CO"/>
        </w:rPr>
        <w:t>, siempre que las capacidades se sostengan en menor de 5 MW como lo estableció la UPME</w:t>
      </w:r>
      <w:r w:rsidR="006D1E69" w:rsidRPr="007E63A2">
        <w:rPr>
          <w:rFonts w:asciiTheme="minorBidi" w:hAnsiTheme="minorBidi"/>
          <w:color w:val="000000"/>
          <w:lang w:eastAsia="es-CO"/>
        </w:rPr>
        <w:t>.</w:t>
      </w:r>
    </w:p>
    <w:p w14:paraId="4BC12E5D" w14:textId="77777777" w:rsidR="001F2EF0" w:rsidRPr="007E63A2" w:rsidRDefault="001F2EF0" w:rsidP="00B17E86">
      <w:pPr>
        <w:spacing w:line="276" w:lineRule="auto"/>
        <w:rPr>
          <w:color w:val="000000"/>
          <w:lang w:eastAsia="es-CO"/>
        </w:rPr>
      </w:pPr>
    </w:p>
    <w:p w14:paraId="7D82E672" w14:textId="02F86475" w:rsidR="00B13030" w:rsidRPr="007E63A2" w:rsidRDefault="00B13030" w:rsidP="00B17E86">
      <w:pPr>
        <w:pStyle w:val="Ttulo1"/>
        <w:spacing w:after="0" w:line="276" w:lineRule="auto"/>
        <w:ind w:left="431" w:hanging="431"/>
        <w:rPr>
          <w:sz w:val="22"/>
        </w:rPr>
      </w:pPr>
      <w:bookmarkStart w:id="18" w:name="_Toc212219333"/>
      <w:r w:rsidRPr="007E63A2">
        <w:rPr>
          <w:sz w:val="22"/>
        </w:rPr>
        <w:t>ALTERNATIVAS</w:t>
      </w:r>
      <w:bookmarkEnd w:id="18"/>
    </w:p>
    <w:p w14:paraId="447CC55A" w14:textId="77777777" w:rsidR="00B13030" w:rsidRPr="007E63A2" w:rsidRDefault="00B13030" w:rsidP="00B17E86">
      <w:pPr>
        <w:spacing w:line="276" w:lineRule="auto"/>
        <w:rPr>
          <w:rFonts w:cs="Arial"/>
        </w:rPr>
      </w:pPr>
    </w:p>
    <w:tbl>
      <w:tblPr>
        <w:tblStyle w:val="Tablaconcuadrcula"/>
        <w:tblW w:w="0" w:type="auto"/>
        <w:tblLook w:val="04A0" w:firstRow="1" w:lastRow="0" w:firstColumn="1" w:lastColumn="0" w:noHBand="0" w:noVBand="1"/>
      </w:tblPr>
      <w:tblGrid>
        <w:gridCol w:w="3256"/>
        <w:gridCol w:w="5574"/>
      </w:tblGrid>
      <w:tr w:rsidR="00A044B4" w:rsidRPr="007E63A2" w14:paraId="755FC46A" w14:textId="77777777" w:rsidTr="00FA2A13">
        <w:trPr>
          <w:tblHeader/>
        </w:trPr>
        <w:tc>
          <w:tcPr>
            <w:tcW w:w="3256" w:type="dxa"/>
            <w:shd w:val="clear" w:color="auto" w:fill="D9D9D9" w:themeFill="background1" w:themeFillShade="D9"/>
            <w:vAlign w:val="center"/>
          </w:tcPr>
          <w:p w14:paraId="10BB69BF" w14:textId="741F6BFD" w:rsidR="00A044B4" w:rsidRPr="007E63A2" w:rsidRDefault="00A044B4" w:rsidP="00FA2A13">
            <w:pPr>
              <w:spacing w:line="276" w:lineRule="auto"/>
              <w:jc w:val="center"/>
              <w:rPr>
                <w:rFonts w:cs="Arial"/>
                <w:b/>
                <w:bCs/>
                <w:sz w:val="20"/>
              </w:rPr>
            </w:pPr>
            <w:r w:rsidRPr="007E63A2">
              <w:rPr>
                <w:rFonts w:cs="Arial"/>
                <w:b/>
                <w:bCs/>
                <w:sz w:val="20"/>
              </w:rPr>
              <w:t>Problema</w:t>
            </w:r>
          </w:p>
        </w:tc>
        <w:tc>
          <w:tcPr>
            <w:tcW w:w="5574" w:type="dxa"/>
            <w:shd w:val="clear" w:color="auto" w:fill="D9D9D9" w:themeFill="background1" w:themeFillShade="D9"/>
            <w:vAlign w:val="center"/>
          </w:tcPr>
          <w:p w14:paraId="00D48E32" w14:textId="4E171531" w:rsidR="00A044B4" w:rsidRPr="007E63A2" w:rsidRDefault="00A044B4" w:rsidP="00FA2A13">
            <w:pPr>
              <w:spacing w:line="276" w:lineRule="auto"/>
              <w:jc w:val="center"/>
              <w:rPr>
                <w:rFonts w:cs="Arial"/>
                <w:b/>
                <w:bCs/>
                <w:sz w:val="20"/>
              </w:rPr>
            </w:pPr>
            <w:r w:rsidRPr="007E63A2">
              <w:rPr>
                <w:rFonts w:cs="Arial"/>
                <w:b/>
                <w:bCs/>
                <w:sz w:val="20"/>
              </w:rPr>
              <w:t>Alternativa</w:t>
            </w:r>
          </w:p>
        </w:tc>
      </w:tr>
      <w:tr w:rsidR="00CD61D5" w:rsidRPr="007E63A2" w14:paraId="251C551E" w14:textId="77777777" w:rsidTr="008D5885">
        <w:tc>
          <w:tcPr>
            <w:tcW w:w="3256" w:type="dxa"/>
            <w:vMerge w:val="restart"/>
            <w:vAlign w:val="center"/>
          </w:tcPr>
          <w:p w14:paraId="75FF15CF" w14:textId="0B5069F9" w:rsidR="00CD61D5" w:rsidRPr="007E63A2" w:rsidRDefault="001C6690" w:rsidP="008D5885">
            <w:pPr>
              <w:spacing w:line="276" w:lineRule="auto"/>
              <w:jc w:val="center"/>
              <w:rPr>
                <w:rFonts w:cs="Arial"/>
                <w:b/>
                <w:bCs/>
                <w:sz w:val="20"/>
              </w:rPr>
            </w:pPr>
            <w:r w:rsidRPr="007E63A2">
              <w:rPr>
                <w:rFonts w:cs="Arial"/>
                <w:b/>
                <w:bCs/>
                <w:sz w:val="20"/>
              </w:rPr>
              <w:t>3</w:t>
            </w:r>
            <w:r w:rsidR="00CD61D5" w:rsidRPr="007E63A2">
              <w:rPr>
                <w:rFonts w:cs="Arial"/>
                <w:b/>
                <w:bCs/>
                <w:sz w:val="20"/>
              </w:rPr>
              <w:t>.1. Traslado de compras de AGPE, GD, AC y GDC el usuario regulado a través del componente de Generación</w:t>
            </w:r>
          </w:p>
        </w:tc>
        <w:tc>
          <w:tcPr>
            <w:tcW w:w="5574" w:type="dxa"/>
          </w:tcPr>
          <w:p w14:paraId="55F4A2F4" w14:textId="24F94634" w:rsidR="00CD61D5" w:rsidRPr="007E63A2" w:rsidRDefault="00CD61D5" w:rsidP="00B17E86">
            <w:pPr>
              <w:spacing w:line="276" w:lineRule="auto"/>
              <w:rPr>
                <w:rFonts w:cs="Arial"/>
                <w:sz w:val="20"/>
              </w:rPr>
            </w:pPr>
            <w:r w:rsidRPr="007E63A2">
              <w:rPr>
                <w:rFonts w:cs="Arial"/>
                <w:b/>
                <w:bCs/>
                <w:sz w:val="20"/>
              </w:rPr>
              <w:t>1. No regular:</w:t>
            </w:r>
            <w:r w:rsidRPr="007E63A2">
              <w:rPr>
                <w:rFonts w:cs="Arial"/>
                <w:sz w:val="20"/>
              </w:rPr>
              <w:t xml:space="preserve"> La Comisión decide mantener la regla de transición existente por lo que a partir del séptimo mes de expedida la Resolución CREG 101 072 de 2025 se inicia con la aplicación de la liquidación con el Mc sustituyendo el precio de bolsa. Así las cosas, se deben expedir las fórmulas de traslado al componente de Generación ajustando las contenidas en el Anexo de la Resolución CREG 174 de 2021 y crear una nueva para las comunidades energéticas desconociendo los impactos identificados en el presente documento.</w:t>
            </w:r>
          </w:p>
        </w:tc>
      </w:tr>
      <w:tr w:rsidR="00CD61D5" w:rsidRPr="007E63A2" w14:paraId="36C93704" w14:textId="77777777" w:rsidTr="008D5885">
        <w:tc>
          <w:tcPr>
            <w:tcW w:w="3256" w:type="dxa"/>
            <w:vMerge/>
          </w:tcPr>
          <w:p w14:paraId="4AFA17A5" w14:textId="77777777" w:rsidR="00CD61D5" w:rsidRPr="007E63A2" w:rsidRDefault="00CD61D5" w:rsidP="00B17E86">
            <w:pPr>
              <w:spacing w:line="276" w:lineRule="auto"/>
              <w:rPr>
                <w:rFonts w:cs="Arial"/>
                <w:sz w:val="20"/>
              </w:rPr>
            </w:pPr>
          </w:p>
        </w:tc>
        <w:tc>
          <w:tcPr>
            <w:tcW w:w="5574" w:type="dxa"/>
          </w:tcPr>
          <w:p w14:paraId="7769F42C" w14:textId="0AB34684" w:rsidR="00CD61D5" w:rsidRPr="007E63A2" w:rsidRDefault="00CD61D5" w:rsidP="00B17E86">
            <w:pPr>
              <w:spacing w:line="276" w:lineRule="auto"/>
              <w:rPr>
                <w:rFonts w:cs="Arial"/>
                <w:b/>
                <w:bCs/>
                <w:sz w:val="20"/>
              </w:rPr>
            </w:pPr>
            <w:r w:rsidRPr="007E63A2">
              <w:rPr>
                <w:rFonts w:cs="Arial"/>
                <w:b/>
                <w:bCs/>
                <w:sz w:val="20"/>
              </w:rPr>
              <w:t xml:space="preserve">2. Ajustar el tiempo de transición para la aplicación del Mc: </w:t>
            </w:r>
            <w:r w:rsidRPr="007E63A2">
              <w:rPr>
                <w:rFonts w:cs="Arial"/>
                <w:sz w:val="20"/>
              </w:rPr>
              <w:t>Ampliar la transición con el objeto de que la Comisión pueda hacer los análisis correspondientes para la liquidación de excedentes de AGPE a precio Mc y analizar los impactos de compras a este precio en el balance de la bolsa de energía para los comercializadores.</w:t>
            </w:r>
          </w:p>
        </w:tc>
      </w:tr>
      <w:tr w:rsidR="00360453" w:rsidRPr="007E63A2" w14:paraId="0CF73C69" w14:textId="77777777" w:rsidTr="008D5885">
        <w:tc>
          <w:tcPr>
            <w:tcW w:w="3256" w:type="dxa"/>
          </w:tcPr>
          <w:p w14:paraId="6BF8C45A" w14:textId="77777777" w:rsidR="00360453" w:rsidRPr="007E63A2" w:rsidRDefault="00360453" w:rsidP="00B17E86">
            <w:pPr>
              <w:spacing w:line="276" w:lineRule="auto"/>
              <w:rPr>
                <w:rFonts w:cs="Arial"/>
                <w:sz w:val="20"/>
              </w:rPr>
            </w:pPr>
          </w:p>
        </w:tc>
        <w:tc>
          <w:tcPr>
            <w:tcW w:w="5574" w:type="dxa"/>
          </w:tcPr>
          <w:p w14:paraId="4191AF19" w14:textId="594E0543" w:rsidR="00360453" w:rsidRPr="007E63A2" w:rsidRDefault="00F2562A" w:rsidP="00B17E86">
            <w:pPr>
              <w:spacing w:line="276" w:lineRule="auto"/>
              <w:rPr>
                <w:rFonts w:cs="Arial"/>
                <w:b/>
                <w:bCs/>
                <w:sz w:val="20"/>
              </w:rPr>
            </w:pPr>
            <w:r w:rsidRPr="007E63A2">
              <w:rPr>
                <w:rFonts w:cs="Arial"/>
                <w:b/>
                <w:bCs/>
                <w:sz w:val="20"/>
              </w:rPr>
              <w:t>1</w:t>
            </w:r>
            <w:r w:rsidR="00360453" w:rsidRPr="007E63A2">
              <w:rPr>
                <w:rFonts w:cs="Arial"/>
                <w:b/>
                <w:bCs/>
                <w:sz w:val="20"/>
              </w:rPr>
              <w:t>. Valoración de excedentes de AGPE con cambios entre Mc y precio de bolsa:</w:t>
            </w:r>
            <w:r w:rsidR="00360453" w:rsidRPr="007E63A2">
              <w:rPr>
                <w:rFonts w:cs="Arial"/>
                <w:sz w:val="20"/>
              </w:rPr>
              <w:t xml:space="preserve"> Esta alternativa se plantea para consulta de los agentes y consistiría en que cuando se presente la situación del caso de borde en el ASIC, los excedentes que se valoran a Mc pasen a ser valorados por precio de bolsa temporal con el fin de que el agente pueda recuperar los costos.</w:t>
            </w:r>
            <w:r w:rsidR="00EB2016" w:rsidRPr="007E63A2">
              <w:rPr>
                <w:rFonts w:cs="Arial"/>
                <w:sz w:val="20"/>
              </w:rPr>
              <w:t xml:space="preserve"> Esto marcará el inicio para los cambios en la remuneración a futuro y el caso de borde.</w:t>
            </w:r>
          </w:p>
        </w:tc>
      </w:tr>
      <w:tr w:rsidR="005E20A7" w:rsidRPr="007E63A2" w14:paraId="73AC1E53" w14:textId="77777777" w:rsidTr="005E20A7">
        <w:tc>
          <w:tcPr>
            <w:tcW w:w="3256" w:type="dxa"/>
            <w:vMerge w:val="restart"/>
            <w:vAlign w:val="center"/>
          </w:tcPr>
          <w:p w14:paraId="6050782E" w14:textId="43BC62C6" w:rsidR="005E20A7" w:rsidRPr="007E63A2" w:rsidRDefault="005E20A7" w:rsidP="005E20A7">
            <w:pPr>
              <w:spacing w:line="276" w:lineRule="auto"/>
              <w:jc w:val="center"/>
              <w:rPr>
                <w:rFonts w:cs="Arial"/>
                <w:b/>
                <w:bCs/>
                <w:sz w:val="20"/>
              </w:rPr>
            </w:pPr>
            <w:r w:rsidRPr="007E63A2">
              <w:rPr>
                <w:rFonts w:cs="Arial"/>
                <w:b/>
                <w:bCs/>
                <w:sz w:val="20"/>
              </w:rPr>
              <w:t>3.2. Caso de borde. Balance negativo entre la demanda agregada y los usuarios AGPE de un comercializador no integrado con el OR</w:t>
            </w:r>
          </w:p>
        </w:tc>
        <w:tc>
          <w:tcPr>
            <w:tcW w:w="5574" w:type="dxa"/>
          </w:tcPr>
          <w:p w14:paraId="0A1F73DA" w14:textId="59DA4F30" w:rsidR="005E20A7" w:rsidRPr="007E63A2" w:rsidRDefault="005E20A7" w:rsidP="00B17E86">
            <w:pPr>
              <w:spacing w:line="276" w:lineRule="auto"/>
              <w:rPr>
                <w:rFonts w:cs="Arial"/>
                <w:sz w:val="20"/>
              </w:rPr>
            </w:pPr>
            <w:r w:rsidRPr="007E63A2">
              <w:rPr>
                <w:rFonts w:cs="Arial"/>
                <w:b/>
                <w:bCs/>
                <w:sz w:val="20"/>
              </w:rPr>
              <w:t>1.No regular:</w:t>
            </w:r>
            <w:r w:rsidRPr="007E63A2">
              <w:rPr>
                <w:rFonts w:cs="Arial"/>
                <w:sz w:val="20"/>
              </w:rPr>
              <w:t xml:space="preserve"> La Comisión mantiene las reglas actuales para el tratamiento de excedentes de los AGPE en el ASIC y el LAC del Comercializador no integrado al OR de forma que cuando los excedentes de usuarios AGPE sean mayores a la demanda del comercializador, es decir un resultado negativo, su demanda sea cero y los excedentes que tomaron valor negativo no son reconocidos al comercializador.</w:t>
            </w:r>
          </w:p>
        </w:tc>
      </w:tr>
      <w:tr w:rsidR="005E20A7" w:rsidRPr="007E63A2" w14:paraId="6F85A416" w14:textId="77777777" w:rsidTr="008D5885">
        <w:tc>
          <w:tcPr>
            <w:tcW w:w="3256" w:type="dxa"/>
            <w:vMerge/>
          </w:tcPr>
          <w:p w14:paraId="2D1455D5" w14:textId="77777777" w:rsidR="005E20A7" w:rsidRPr="007E63A2" w:rsidRDefault="005E20A7" w:rsidP="00B17E86">
            <w:pPr>
              <w:spacing w:line="276" w:lineRule="auto"/>
              <w:rPr>
                <w:rFonts w:cs="Arial"/>
                <w:sz w:val="20"/>
              </w:rPr>
            </w:pPr>
          </w:p>
        </w:tc>
        <w:tc>
          <w:tcPr>
            <w:tcW w:w="5574" w:type="dxa"/>
          </w:tcPr>
          <w:p w14:paraId="5D95E3F7" w14:textId="77777777" w:rsidR="005E20A7" w:rsidRPr="007E63A2" w:rsidRDefault="005E20A7" w:rsidP="00B17E86">
            <w:pPr>
              <w:spacing w:line="276" w:lineRule="auto"/>
              <w:rPr>
                <w:rFonts w:cs="Arial"/>
                <w:sz w:val="20"/>
              </w:rPr>
            </w:pPr>
            <w:r w:rsidRPr="007E63A2">
              <w:rPr>
                <w:rFonts w:cs="Arial"/>
                <w:b/>
                <w:bCs/>
                <w:sz w:val="20"/>
              </w:rPr>
              <w:t xml:space="preserve">2. Modificar las reglas el tratamiento de excedentes de los AGPE en el ASIC y el LAC del Comercializador no integrado al OR: </w:t>
            </w:r>
            <w:r w:rsidRPr="007E63A2">
              <w:rPr>
                <w:rFonts w:cs="Arial"/>
                <w:sz w:val="20"/>
              </w:rPr>
              <w:t>Estos ajustes permitirán que el caso de borde al comercializador se le reconozca a precio de bolsa la energía excedentaria resultante del balance negativo entre este y la demanda.</w:t>
            </w:r>
          </w:p>
          <w:p w14:paraId="4F8A92F8" w14:textId="77777777" w:rsidR="008F5979" w:rsidRPr="007E63A2" w:rsidRDefault="008F5979" w:rsidP="00B17E86">
            <w:pPr>
              <w:spacing w:line="276" w:lineRule="auto"/>
              <w:rPr>
                <w:rFonts w:cs="Arial"/>
                <w:sz w:val="20"/>
              </w:rPr>
            </w:pPr>
          </w:p>
          <w:p w14:paraId="56793E30" w14:textId="7EB71D7F" w:rsidR="00D0313B" w:rsidRPr="007E63A2" w:rsidRDefault="002E2170" w:rsidP="00B17E86">
            <w:pPr>
              <w:spacing w:line="276" w:lineRule="auto"/>
              <w:rPr>
                <w:rFonts w:cs="Arial"/>
                <w:sz w:val="20"/>
              </w:rPr>
            </w:pPr>
            <w:r w:rsidRPr="007E63A2">
              <w:rPr>
                <w:rFonts w:cs="Arial"/>
                <w:sz w:val="20"/>
              </w:rPr>
              <w:lastRenderedPageBreak/>
              <w:t xml:space="preserve">También se </w:t>
            </w:r>
            <w:r w:rsidR="00AB372B" w:rsidRPr="007E63A2">
              <w:rPr>
                <w:rFonts w:cs="Arial"/>
                <w:sz w:val="20"/>
              </w:rPr>
              <w:t xml:space="preserve">considera el no recaudo de CERE ni FAZNI para estos casos ya que como incentivos que aplican </w:t>
            </w:r>
            <w:r w:rsidR="00FA1E1A" w:rsidRPr="007E63A2">
              <w:rPr>
                <w:rFonts w:cs="Arial"/>
                <w:sz w:val="20"/>
              </w:rPr>
              <w:t>a usuarios AGPE</w:t>
            </w:r>
            <w:r w:rsidR="006F33DB" w:rsidRPr="007E63A2">
              <w:rPr>
                <w:rFonts w:cs="Arial"/>
                <w:sz w:val="20"/>
              </w:rPr>
              <w:t xml:space="preserve"> a través del</w:t>
            </w:r>
            <w:r w:rsidR="00FA1E1A" w:rsidRPr="007E63A2">
              <w:rPr>
                <w:rFonts w:cs="Arial"/>
                <w:sz w:val="20"/>
              </w:rPr>
              <w:t xml:space="preserve"> </w:t>
            </w:r>
            <w:r w:rsidR="00AB372B" w:rsidRPr="007E63A2">
              <w:rPr>
                <w:rFonts w:cs="Arial"/>
                <w:sz w:val="20"/>
              </w:rPr>
              <w:t>crédito</w:t>
            </w:r>
            <w:r w:rsidR="006F33DB" w:rsidRPr="007E63A2">
              <w:rPr>
                <w:rFonts w:cs="Arial"/>
                <w:sz w:val="20"/>
              </w:rPr>
              <w:t xml:space="preserve"> de energía,</w:t>
            </w:r>
            <w:r w:rsidR="00AB372B" w:rsidRPr="007E63A2">
              <w:rPr>
                <w:rFonts w:cs="Arial"/>
                <w:sz w:val="20"/>
              </w:rPr>
              <w:t xml:space="preserve"> no se les recauda dicho valor cuando se les paga a precio de bolsa</w:t>
            </w:r>
            <w:r w:rsidR="00E253A0" w:rsidRPr="007E63A2">
              <w:rPr>
                <w:rFonts w:cs="Arial"/>
                <w:sz w:val="20"/>
              </w:rPr>
              <w:t>.</w:t>
            </w:r>
          </w:p>
          <w:p w14:paraId="14890783" w14:textId="77777777" w:rsidR="009213EA" w:rsidRPr="007E63A2" w:rsidRDefault="009213EA" w:rsidP="00B17E86">
            <w:pPr>
              <w:spacing w:line="276" w:lineRule="auto"/>
              <w:rPr>
                <w:rFonts w:cs="Arial"/>
                <w:sz w:val="20"/>
              </w:rPr>
            </w:pPr>
          </w:p>
          <w:p w14:paraId="16000A11" w14:textId="2C31B2CA" w:rsidR="009213EA" w:rsidRPr="007E63A2" w:rsidRDefault="002B36DE" w:rsidP="00B17E86">
            <w:pPr>
              <w:spacing w:line="276" w:lineRule="auto"/>
              <w:rPr>
                <w:rFonts w:cs="Arial"/>
                <w:sz w:val="20"/>
              </w:rPr>
            </w:pPr>
            <w:r w:rsidRPr="007E63A2">
              <w:rPr>
                <w:rFonts w:cs="Arial"/>
                <w:sz w:val="20"/>
              </w:rPr>
              <w:t xml:space="preserve">Para el </w:t>
            </w:r>
            <w:r w:rsidR="009213EA" w:rsidRPr="007E63A2">
              <w:rPr>
                <w:rFonts w:cs="Arial"/>
                <w:sz w:val="20"/>
              </w:rPr>
              <w:t>FAZNI, el artículo 81 de la Ley 633 de 2000</w:t>
            </w:r>
            <w:r w:rsidR="00AF5536" w:rsidRPr="007E63A2">
              <w:rPr>
                <w:rFonts w:cs="Arial"/>
                <w:sz w:val="20"/>
              </w:rPr>
              <w:t xml:space="preserve"> establece que el </w:t>
            </w:r>
            <w:r w:rsidR="00225451" w:rsidRPr="007E63A2">
              <w:rPr>
                <w:rFonts w:cs="Arial"/>
                <w:sz w:val="20"/>
              </w:rPr>
              <w:t xml:space="preserve">recaudo con destino al </w:t>
            </w:r>
            <w:r w:rsidR="00272B1A" w:rsidRPr="007E63A2">
              <w:rPr>
                <w:rFonts w:cs="Arial"/>
                <w:sz w:val="20"/>
              </w:rPr>
              <w:t>F</w:t>
            </w:r>
            <w:r w:rsidR="00225451" w:rsidRPr="007E63A2">
              <w:rPr>
                <w:rFonts w:cs="Arial"/>
                <w:sz w:val="20"/>
              </w:rPr>
              <w:t xml:space="preserve">ondo de Apoyo Financiero para la energización de las zonas no interconectadas será pagado </w:t>
            </w:r>
            <w:r w:rsidR="00272B1A" w:rsidRPr="007E63A2">
              <w:rPr>
                <w:rFonts w:cs="Arial"/>
                <w:sz w:val="20"/>
              </w:rPr>
              <w:t xml:space="preserve">por </w:t>
            </w:r>
            <w:r w:rsidR="007941DA" w:rsidRPr="007E63A2">
              <w:rPr>
                <w:rFonts w:cs="Arial"/>
                <w:sz w:val="20"/>
              </w:rPr>
              <w:t xml:space="preserve">los </w:t>
            </w:r>
            <w:r w:rsidR="00272B1A" w:rsidRPr="007E63A2">
              <w:rPr>
                <w:rFonts w:cs="Arial"/>
                <w:sz w:val="20"/>
              </w:rPr>
              <w:t>agentes generadores</w:t>
            </w:r>
            <w:r w:rsidR="007941DA" w:rsidRPr="007E63A2">
              <w:rPr>
                <w:rFonts w:cs="Arial"/>
                <w:sz w:val="20"/>
              </w:rPr>
              <w:t xml:space="preserve"> de energía y no se hace referencia a comercializadore</w:t>
            </w:r>
            <w:r w:rsidR="002E71AD" w:rsidRPr="007E63A2">
              <w:rPr>
                <w:rFonts w:cs="Arial"/>
                <w:sz w:val="20"/>
              </w:rPr>
              <w:t>s.</w:t>
            </w:r>
          </w:p>
          <w:p w14:paraId="778788EC" w14:textId="77777777" w:rsidR="002B36DE" w:rsidRPr="007E63A2" w:rsidRDefault="002B36DE" w:rsidP="00B17E86">
            <w:pPr>
              <w:spacing w:line="276" w:lineRule="auto"/>
              <w:rPr>
                <w:rFonts w:cs="Arial"/>
                <w:sz w:val="20"/>
              </w:rPr>
            </w:pPr>
          </w:p>
          <w:p w14:paraId="002D93A4" w14:textId="259CB980" w:rsidR="002B36DE" w:rsidRPr="007E63A2" w:rsidRDefault="002B36DE" w:rsidP="00B17E86">
            <w:pPr>
              <w:spacing w:line="276" w:lineRule="auto"/>
              <w:rPr>
                <w:rFonts w:cs="Arial"/>
                <w:sz w:val="20"/>
              </w:rPr>
            </w:pPr>
            <w:r w:rsidRPr="007E63A2">
              <w:rPr>
                <w:rFonts w:cs="Arial"/>
                <w:sz w:val="20"/>
              </w:rPr>
              <w:t>El tratamiento de no recaudo de CERE para AGPE sería similar al que se les da a las plantas no despachadas centralmente cuando tienen contratos.</w:t>
            </w:r>
          </w:p>
        </w:tc>
      </w:tr>
      <w:tr w:rsidR="005E20A7" w:rsidRPr="007E63A2" w14:paraId="38D8B45B" w14:textId="77777777" w:rsidTr="005E20A7">
        <w:tc>
          <w:tcPr>
            <w:tcW w:w="3256" w:type="dxa"/>
            <w:vMerge w:val="restart"/>
            <w:vAlign w:val="center"/>
          </w:tcPr>
          <w:p w14:paraId="6175B260" w14:textId="192137F6" w:rsidR="005E20A7" w:rsidRPr="007E63A2" w:rsidRDefault="005E20A7" w:rsidP="005E20A7">
            <w:pPr>
              <w:spacing w:line="276" w:lineRule="auto"/>
              <w:jc w:val="center"/>
              <w:rPr>
                <w:rFonts w:cs="Arial"/>
                <w:b/>
                <w:bCs/>
                <w:sz w:val="20"/>
              </w:rPr>
            </w:pPr>
            <w:r w:rsidRPr="007E63A2">
              <w:rPr>
                <w:rFonts w:cs="Arial"/>
                <w:b/>
                <w:bCs/>
                <w:sz w:val="20"/>
              </w:rPr>
              <w:lastRenderedPageBreak/>
              <w:t>3.3. Reglas para el procedimiento de conexión de las comunidades energéticas</w:t>
            </w:r>
          </w:p>
        </w:tc>
        <w:tc>
          <w:tcPr>
            <w:tcW w:w="5574" w:type="dxa"/>
          </w:tcPr>
          <w:p w14:paraId="7B48F47F" w14:textId="5FD2A4B9" w:rsidR="005E20A7" w:rsidRPr="007E63A2" w:rsidRDefault="005E20A7" w:rsidP="005E20A7">
            <w:pPr>
              <w:spacing w:line="276" w:lineRule="auto"/>
              <w:rPr>
                <w:rFonts w:cs="Arial"/>
                <w:sz w:val="20"/>
              </w:rPr>
            </w:pPr>
            <w:r w:rsidRPr="007E63A2">
              <w:rPr>
                <w:rFonts w:cs="Arial"/>
                <w:b/>
                <w:bCs/>
                <w:sz w:val="20"/>
              </w:rPr>
              <w:t xml:space="preserve">1. No regular: </w:t>
            </w:r>
            <w:r w:rsidRPr="007E63A2">
              <w:rPr>
                <w:rFonts w:cs="Arial"/>
                <w:sz w:val="20"/>
              </w:rPr>
              <w:t>Se mantiene la regla bajo la cual los GD que se vinculen a GDC para que todo recurso en el sistema que tenga capacidad efectiva neta menor a 5 MW aplique el procedimiento de la Resolución CREG 075 de 2021.</w:t>
            </w:r>
          </w:p>
        </w:tc>
      </w:tr>
      <w:tr w:rsidR="005E20A7" w:rsidRPr="007E63A2" w14:paraId="0331DF0F" w14:textId="77777777" w:rsidTr="008D5885">
        <w:tc>
          <w:tcPr>
            <w:tcW w:w="3256" w:type="dxa"/>
            <w:vMerge/>
          </w:tcPr>
          <w:p w14:paraId="1633EAEE" w14:textId="77777777" w:rsidR="005E20A7" w:rsidRPr="007E63A2" w:rsidRDefault="005E20A7" w:rsidP="00B17E86">
            <w:pPr>
              <w:spacing w:line="276" w:lineRule="auto"/>
              <w:rPr>
                <w:rFonts w:cs="Arial"/>
                <w:sz w:val="20"/>
              </w:rPr>
            </w:pPr>
          </w:p>
        </w:tc>
        <w:tc>
          <w:tcPr>
            <w:tcW w:w="5574" w:type="dxa"/>
          </w:tcPr>
          <w:p w14:paraId="60C8675A" w14:textId="3740D179" w:rsidR="005E20A7" w:rsidRPr="007E63A2" w:rsidRDefault="005E20A7" w:rsidP="005E20A7">
            <w:pPr>
              <w:spacing w:line="276" w:lineRule="auto"/>
              <w:rPr>
                <w:rFonts w:cs="Arial"/>
                <w:sz w:val="20"/>
              </w:rPr>
            </w:pPr>
            <w:r w:rsidRPr="007E63A2">
              <w:rPr>
                <w:rFonts w:cs="Arial"/>
                <w:b/>
                <w:bCs/>
                <w:sz w:val="20"/>
              </w:rPr>
              <w:t xml:space="preserve">2. Ajustar la regla conforme se propuso para autogeneración remota: </w:t>
            </w:r>
            <w:r w:rsidRPr="007E63A2">
              <w:rPr>
                <w:rFonts w:cs="Arial"/>
                <w:sz w:val="20"/>
              </w:rPr>
              <w:t>Modificar la Resolución CREG 101 072 de 2025 para que todo recurso en el sistema que tenga capacidad efectiva neta menor a 5 MW aplicaría procedimientos simplificados, facilitando la entrada de nuevas comunidades energéticas.</w:t>
            </w:r>
          </w:p>
        </w:tc>
      </w:tr>
      <w:tr w:rsidR="00214119" w:rsidRPr="007E63A2" w14:paraId="5C7EB268" w14:textId="77777777" w:rsidTr="00214119">
        <w:tc>
          <w:tcPr>
            <w:tcW w:w="3256" w:type="dxa"/>
            <w:vMerge w:val="restart"/>
            <w:vAlign w:val="center"/>
          </w:tcPr>
          <w:p w14:paraId="48B7922B" w14:textId="05A85169" w:rsidR="00214119" w:rsidRPr="007E63A2" w:rsidRDefault="00214119" w:rsidP="00214119">
            <w:pPr>
              <w:spacing w:line="276" w:lineRule="auto"/>
              <w:jc w:val="center"/>
              <w:rPr>
                <w:rFonts w:cs="Arial"/>
                <w:b/>
                <w:bCs/>
                <w:sz w:val="20"/>
              </w:rPr>
            </w:pPr>
            <w:r w:rsidRPr="007E63A2">
              <w:rPr>
                <w:rFonts w:cs="Arial"/>
                <w:b/>
                <w:bCs/>
                <w:sz w:val="20"/>
              </w:rPr>
              <w:t xml:space="preserve">3.4. </w:t>
            </w:r>
            <w:r w:rsidR="00FA2A13" w:rsidRPr="007E63A2">
              <w:rPr>
                <w:rFonts w:cs="Arial"/>
                <w:b/>
                <w:bCs/>
                <w:sz w:val="20"/>
              </w:rPr>
              <w:t>C</w:t>
            </w:r>
            <w:r w:rsidRPr="007E63A2">
              <w:rPr>
                <w:rFonts w:cs="Arial"/>
                <w:b/>
                <w:bCs/>
                <w:sz w:val="20"/>
              </w:rPr>
              <w:t>omunidades energéticas con energía proveniente de combustibles renovables y recursos energéticos distribuidos</w:t>
            </w:r>
          </w:p>
        </w:tc>
        <w:tc>
          <w:tcPr>
            <w:tcW w:w="5574" w:type="dxa"/>
          </w:tcPr>
          <w:p w14:paraId="456F5E3A" w14:textId="3EF4880C" w:rsidR="00214119" w:rsidRPr="007E63A2" w:rsidRDefault="00214119" w:rsidP="00B17E86">
            <w:pPr>
              <w:spacing w:line="276" w:lineRule="auto"/>
              <w:rPr>
                <w:rFonts w:cs="Arial"/>
                <w:sz w:val="20"/>
              </w:rPr>
            </w:pPr>
            <w:r w:rsidRPr="007E63A2">
              <w:rPr>
                <w:rFonts w:cs="Arial"/>
                <w:b/>
                <w:bCs/>
                <w:sz w:val="20"/>
              </w:rPr>
              <w:t xml:space="preserve">1. No regular: </w:t>
            </w:r>
            <w:r w:rsidRPr="007E63A2">
              <w:rPr>
                <w:rFonts w:cs="Arial"/>
                <w:sz w:val="20"/>
              </w:rPr>
              <w:t xml:space="preserve">Mantener la Resolución CREG 101 072 de 2025 de forma que no sea aplicable para las comunidades energéticas </w:t>
            </w:r>
            <w:r w:rsidR="00BA522D" w:rsidRPr="007E63A2">
              <w:rPr>
                <w:rFonts w:cs="Arial"/>
                <w:sz w:val="20"/>
              </w:rPr>
              <w:t>basadas en fuentes energéticas diferentes a FNCER</w:t>
            </w:r>
          </w:p>
        </w:tc>
      </w:tr>
      <w:tr w:rsidR="00214119" w:rsidRPr="007E63A2" w14:paraId="1CDDFC35" w14:textId="77777777" w:rsidTr="008D5885">
        <w:tc>
          <w:tcPr>
            <w:tcW w:w="3256" w:type="dxa"/>
            <w:vMerge/>
          </w:tcPr>
          <w:p w14:paraId="038F29BC" w14:textId="77777777" w:rsidR="00214119" w:rsidRPr="007E63A2" w:rsidRDefault="00214119" w:rsidP="00B17E86">
            <w:pPr>
              <w:spacing w:line="276" w:lineRule="auto"/>
              <w:rPr>
                <w:rFonts w:cs="Arial"/>
                <w:sz w:val="20"/>
              </w:rPr>
            </w:pPr>
          </w:p>
        </w:tc>
        <w:tc>
          <w:tcPr>
            <w:tcW w:w="5574" w:type="dxa"/>
          </w:tcPr>
          <w:p w14:paraId="050D2CBC" w14:textId="77777777" w:rsidR="00214119" w:rsidRPr="007E63A2" w:rsidRDefault="00214119" w:rsidP="00B17E86">
            <w:pPr>
              <w:spacing w:line="276" w:lineRule="auto"/>
              <w:rPr>
                <w:rFonts w:cs="Arial"/>
                <w:sz w:val="20"/>
              </w:rPr>
            </w:pPr>
            <w:r w:rsidRPr="007E63A2">
              <w:rPr>
                <w:rFonts w:cs="Arial"/>
                <w:b/>
                <w:bCs/>
                <w:sz w:val="20"/>
              </w:rPr>
              <w:t xml:space="preserve">2. Complementar las reglas para incluir comunidades energéticas </w:t>
            </w:r>
            <w:r w:rsidR="00CF60DE" w:rsidRPr="007E63A2">
              <w:rPr>
                <w:rFonts w:cs="Arial"/>
                <w:b/>
                <w:bCs/>
                <w:sz w:val="20"/>
              </w:rPr>
              <w:t>basadas en fuentes energéticas diferentes a FNCER</w:t>
            </w:r>
            <w:r w:rsidRPr="007E63A2">
              <w:rPr>
                <w:rFonts w:cs="Arial"/>
                <w:b/>
                <w:bCs/>
                <w:sz w:val="20"/>
              </w:rPr>
              <w:t xml:space="preserve">: </w:t>
            </w:r>
            <w:r w:rsidRPr="007E63A2">
              <w:rPr>
                <w:rFonts w:cs="Arial"/>
                <w:sz w:val="20"/>
              </w:rPr>
              <w:t xml:space="preserve">Modificar la Resolución CREG 101 072 de 2025 para incluir una regla que permita el reconocimiento de excedentes a un AC </w:t>
            </w:r>
            <w:r w:rsidR="00CF60DE" w:rsidRPr="007E63A2">
              <w:rPr>
                <w:rFonts w:cs="Arial"/>
                <w:sz w:val="20"/>
              </w:rPr>
              <w:t>basado en fuentes energéticas diferentes a FNCER</w:t>
            </w:r>
            <w:r w:rsidRPr="007E63A2">
              <w:rPr>
                <w:rFonts w:cs="Arial"/>
                <w:sz w:val="20"/>
              </w:rPr>
              <w:t>.</w:t>
            </w:r>
          </w:p>
          <w:p w14:paraId="287AC8F4" w14:textId="097BF869" w:rsidR="005712EF" w:rsidRPr="007E63A2" w:rsidRDefault="00FF63A5" w:rsidP="008E5F7A">
            <w:pPr>
              <w:spacing w:line="276" w:lineRule="auto"/>
              <w:rPr>
                <w:rFonts w:cs="Arial"/>
                <w:sz w:val="20"/>
              </w:rPr>
            </w:pPr>
            <w:r w:rsidRPr="007E63A2">
              <w:rPr>
                <w:rFonts w:cs="Arial"/>
                <w:sz w:val="20"/>
              </w:rPr>
              <w:t>La Ley 1715 de 2014 define el beneficio del crédito de energía para los GD y AGPE con FNCER</w:t>
            </w:r>
            <w:r w:rsidR="008E5F7A" w:rsidRPr="007E63A2">
              <w:rPr>
                <w:rFonts w:cs="Arial"/>
                <w:sz w:val="20"/>
              </w:rPr>
              <w:t xml:space="preserve">. La misma Ley establece que la </w:t>
            </w:r>
            <w:r w:rsidR="006760C1" w:rsidRPr="007E63A2">
              <w:rPr>
                <w:rFonts w:cs="Arial"/>
                <w:sz w:val="20"/>
              </w:rPr>
              <w:t xml:space="preserve">UPME </w:t>
            </w:r>
            <w:r w:rsidR="008E5F7A" w:rsidRPr="007E63A2">
              <w:rPr>
                <w:rFonts w:cs="Arial"/>
                <w:sz w:val="20"/>
              </w:rPr>
              <w:t xml:space="preserve">es la encargada de </w:t>
            </w:r>
            <w:r w:rsidR="006760C1" w:rsidRPr="007E63A2">
              <w:rPr>
                <w:rFonts w:cs="Arial"/>
                <w:sz w:val="20"/>
              </w:rPr>
              <w:t xml:space="preserve">establecer </w:t>
            </w:r>
            <w:r w:rsidR="00771504" w:rsidRPr="007E63A2">
              <w:rPr>
                <w:rFonts w:cs="Arial"/>
                <w:sz w:val="20"/>
              </w:rPr>
              <w:t>que otras fuentes podrán ser consideradas como FNCER</w:t>
            </w:r>
            <w:r w:rsidR="005712EF" w:rsidRPr="007E63A2">
              <w:rPr>
                <w:rFonts w:cs="Arial"/>
                <w:sz w:val="20"/>
              </w:rPr>
              <w:t>.</w:t>
            </w:r>
          </w:p>
          <w:p w14:paraId="2640BEA1" w14:textId="255BA989" w:rsidR="006760C1" w:rsidRPr="007E63A2" w:rsidRDefault="005712EF" w:rsidP="003E5361">
            <w:pPr>
              <w:spacing w:line="276" w:lineRule="auto"/>
              <w:rPr>
                <w:rFonts w:cs="Arial"/>
                <w:sz w:val="20"/>
              </w:rPr>
            </w:pPr>
            <w:r w:rsidRPr="007E63A2">
              <w:rPr>
                <w:rFonts w:cs="Arial"/>
                <w:sz w:val="20"/>
              </w:rPr>
              <w:t xml:space="preserve">De acuerdo con la definición de los recursos energéticos distribuidos de la </w:t>
            </w:r>
            <w:r w:rsidR="005C7A0E" w:rsidRPr="007E63A2">
              <w:rPr>
                <w:rFonts w:cs="Arial"/>
                <w:sz w:val="20"/>
              </w:rPr>
              <w:t>Resolución 40283 de 2022</w:t>
            </w:r>
            <w:r w:rsidR="00E334D2" w:rsidRPr="007E63A2">
              <w:rPr>
                <w:rFonts w:cs="Arial"/>
                <w:sz w:val="20"/>
              </w:rPr>
              <w:t>,</w:t>
            </w:r>
            <w:r w:rsidR="005C7A0E" w:rsidRPr="007E63A2">
              <w:rPr>
                <w:rFonts w:cs="Arial"/>
                <w:sz w:val="20"/>
              </w:rPr>
              <w:t xml:space="preserve"> </w:t>
            </w:r>
            <w:r w:rsidRPr="007E63A2">
              <w:rPr>
                <w:rFonts w:cs="Arial"/>
                <w:sz w:val="20"/>
              </w:rPr>
              <w:t xml:space="preserve">se entiende que </w:t>
            </w:r>
            <w:r w:rsidR="003549CB" w:rsidRPr="007E63A2">
              <w:rPr>
                <w:rFonts w:cs="Arial"/>
                <w:sz w:val="20"/>
              </w:rPr>
              <w:t xml:space="preserve">este tipo de recursos puede utilizar otras fuentes energéticas por lo cual no deberían acceder a los beneficios otorgados por la Ley para </w:t>
            </w:r>
            <w:r w:rsidR="003E5361" w:rsidRPr="007E63A2">
              <w:rPr>
                <w:rFonts w:cs="Arial"/>
                <w:sz w:val="20"/>
              </w:rPr>
              <w:t xml:space="preserve">las FNCER, y en tal sentido, se propone dar aplicación </w:t>
            </w:r>
            <w:r w:rsidR="00B675FB" w:rsidRPr="007E63A2">
              <w:rPr>
                <w:rFonts w:cs="Arial"/>
                <w:sz w:val="20"/>
              </w:rPr>
              <w:t>a fuentes energéticas diferentes a FNCER.</w:t>
            </w:r>
          </w:p>
        </w:tc>
      </w:tr>
      <w:tr w:rsidR="00614FC0" w:rsidRPr="007E63A2" w14:paraId="1E3F92EB" w14:textId="77777777" w:rsidTr="00614FC0">
        <w:tc>
          <w:tcPr>
            <w:tcW w:w="3256" w:type="dxa"/>
            <w:vMerge w:val="restart"/>
            <w:vAlign w:val="center"/>
          </w:tcPr>
          <w:p w14:paraId="569BA216" w14:textId="4D2EF609" w:rsidR="00614FC0" w:rsidRPr="007E63A2" w:rsidRDefault="00614FC0" w:rsidP="00614FC0">
            <w:pPr>
              <w:spacing w:line="276" w:lineRule="auto"/>
              <w:jc w:val="center"/>
              <w:rPr>
                <w:rFonts w:cs="Arial"/>
                <w:b/>
                <w:bCs/>
                <w:sz w:val="20"/>
              </w:rPr>
            </w:pPr>
            <w:r w:rsidRPr="007E63A2">
              <w:rPr>
                <w:rFonts w:cs="Arial"/>
                <w:b/>
                <w:bCs/>
                <w:sz w:val="20"/>
              </w:rPr>
              <w:lastRenderedPageBreak/>
              <w:t>3.5. Solicitud de concepto CAC – Radicado CREG E2025007967</w:t>
            </w:r>
          </w:p>
        </w:tc>
        <w:tc>
          <w:tcPr>
            <w:tcW w:w="5574" w:type="dxa"/>
          </w:tcPr>
          <w:p w14:paraId="2BA619FC" w14:textId="47D4F993" w:rsidR="00614FC0" w:rsidRPr="007E63A2" w:rsidRDefault="00614FC0" w:rsidP="00B17E86">
            <w:pPr>
              <w:spacing w:line="276" w:lineRule="auto"/>
              <w:rPr>
                <w:rFonts w:cs="Arial"/>
                <w:sz w:val="20"/>
              </w:rPr>
            </w:pPr>
            <w:r w:rsidRPr="007E63A2">
              <w:rPr>
                <w:rFonts w:cs="Arial"/>
                <w:b/>
                <w:bCs/>
                <w:sz w:val="20"/>
              </w:rPr>
              <w:t xml:space="preserve">1. No regular: </w:t>
            </w:r>
            <w:r w:rsidRPr="007E63A2">
              <w:rPr>
                <w:rFonts w:cs="Arial"/>
                <w:sz w:val="20"/>
              </w:rPr>
              <w:t>No modificar la Resolución CREG 101 072 de 2025 y aclarar las confusiones generadas sobre la liquidación de excedentes a precio de Mc para usuario AGPE nuevos durante el periodo de transición y los ajustes a los contratos de AGPE a través de la línea establecida en el Concepto CREG S2025005076.</w:t>
            </w:r>
          </w:p>
        </w:tc>
      </w:tr>
      <w:tr w:rsidR="00614FC0" w:rsidRPr="007E63A2" w14:paraId="732E7A5E" w14:textId="77777777" w:rsidTr="008D5885">
        <w:tc>
          <w:tcPr>
            <w:tcW w:w="3256" w:type="dxa"/>
            <w:vMerge/>
          </w:tcPr>
          <w:p w14:paraId="07F407F5" w14:textId="77777777" w:rsidR="00614FC0" w:rsidRPr="007E63A2" w:rsidRDefault="00614FC0" w:rsidP="00B17E86">
            <w:pPr>
              <w:spacing w:line="276" w:lineRule="auto"/>
              <w:rPr>
                <w:rFonts w:cs="Arial"/>
                <w:sz w:val="20"/>
              </w:rPr>
            </w:pPr>
          </w:p>
        </w:tc>
        <w:tc>
          <w:tcPr>
            <w:tcW w:w="5574" w:type="dxa"/>
          </w:tcPr>
          <w:p w14:paraId="37E1F987" w14:textId="490D3394" w:rsidR="00614FC0" w:rsidRPr="007E63A2" w:rsidRDefault="00614FC0" w:rsidP="00B17E86">
            <w:pPr>
              <w:spacing w:line="276" w:lineRule="auto"/>
              <w:rPr>
                <w:rFonts w:cs="Arial"/>
                <w:b/>
                <w:bCs/>
                <w:sz w:val="20"/>
              </w:rPr>
            </w:pPr>
            <w:r w:rsidRPr="007E63A2">
              <w:rPr>
                <w:rFonts w:cs="Arial"/>
                <w:b/>
                <w:bCs/>
                <w:sz w:val="20"/>
              </w:rPr>
              <w:t xml:space="preserve">2. Ajustar la Resolución CREG 101 072 de 2025 para aclarar la transición del Pb a Mc y ajustar el texto sobre la vigencia de los contratos AGPE: </w:t>
            </w:r>
            <w:r w:rsidRPr="007E63A2">
              <w:rPr>
                <w:rFonts w:cs="Arial"/>
                <w:sz w:val="20"/>
              </w:rPr>
              <w:t>Realizar los ajustes requeridos a la Resolución CREG 101 072 de 2025 que permitan su aplicación de forma clara.</w:t>
            </w:r>
          </w:p>
        </w:tc>
      </w:tr>
    </w:tbl>
    <w:p w14:paraId="0BC3BE1D" w14:textId="52CD05B9" w:rsidR="00A044B4" w:rsidRPr="007E63A2" w:rsidRDefault="001C6690" w:rsidP="001C6690">
      <w:pPr>
        <w:pStyle w:val="Descripcin"/>
        <w:jc w:val="center"/>
        <w:rPr>
          <w:rFonts w:cs="Arial"/>
          <w:color w:val="auto"/>
        </w:rPr>
      </w:pPr>
      <w:r w:rsidRPr="007E63A2">
        <w:rPr>
          <w:color w:val="auto"/>
        </w:rPr>
        <w:t xml:space="preserve">Tabla </w:t>
      </w:r>
      <w:r w:rsidRPr="007E63A2">
        <w:rPr>
          <w:color w:val="auto"/>
        </w:rPr>
        <w:fldChar w:fldCharType="begin"/>
      </w:r>
      <w:r w:rsidRPr="007E63A2">
        <w:rPr>
          <w:color w:val="auto"/>
        </w:rPr>
        <w:instrText xml:space="preserve"> SEQ Tabla \* ARABIC </w:instrText>
      </w:r>
      <w:r w:rsidRPr="007E63A2">
        <w:rPr>
          <w:color w:val="auto"/>
        </w:rPr>
        <w:fldChar w:fldCharType="separate"/>
      </w:r>
      <w:r w:rsidR="0033166C" w:rsidRPr="007E63A2">
        <w:rPr>
          <w:color w:val="auto"/>
        </w:rPr>
        <w:t>2</w:t>
      </w:r>
      <w:r w:rsidRPr="007E63A2">
        <w:rPr>
          <w:color w:val="auto"/>
        </w:rPr>
        <w:fldChar w:fldCharType="end"/>
      </w:r>
      <w:r w:rsidRPr="007E63A2">
        <w:rPr>
          <w:color w:val="auto"/>
        </w:rPr>
        <w:t>. Alternativas</w:t>
      </w:r>
      <w:r w:rsidR="0033166C" w:rsidRPr="007E63A2">
        <w:rPr>
          <w:color w:val="auto"/>
        </w:rPr>
        <w:t xml:space="preserve"> propuestas</w:t>
      </w:r>
    </w:p>
    <w:p w14:paraId="253E778F" w14:textId="77777777" w:rsidR="001C6690" w:rsidRPr="007E63A2" w:rsidRDefault="001C6690" w:rsidP="00B17E86">
      <w:pPr>
        <w:spacing w:line="276" w:lineRule="auto"/>
        <w:rPr>
          <w:rFonts w:cs="Arial"/>
        </w:rPr>
      </w:pPr>
    </w:p>
    <w:p w14:paraId="1C03DB26" w14:textId="69308B8C" w:rsidR="00FA2A13" w:rsidRPr="007E63A2" w:rsidRDefault="00FA2A13" w:rsidP="00FA2A13">
      <w:pPr>
        <w:pStyle w:val="Ttulo1"/>
        <w:spacing w:after="0" w:line="276" w:lineRule="auto"/>
        <w:ind w:left="431" w:hanging="431"/>
        <w:rPr>
          <w:sz w:val="22"/>
        </w:rPr>
      </w:pPr>
      <w:bookmarkStart w:id="19" w:name="_Toc212219334"/>
      <w:r w:rsidRPr="007E63A2">
        <w:rPr>
          <w:sz w:val="22"/>
        </w:rPr>
        <w:t>SELECCIÓN DE ALTERNATIVAS PARA LA PROPUESTA</w:t>
      </w:r>
      <w:bookmarkEnd w:id="19"/>
    </w:p>
    <w:p w14:paraId="7A27ECD2" w14:textId="77777777" w:rsidR="00A044B4" w:rsidRPr="007E63A2" w:rsidRDefault="00A044B4" w:rsidP="00B17E86">
      <w:pPr>
        <w:spacing w:line="276" w:lineRule="auto"/>
        <w:rPr>
          <w:rFonts w:cs="Arial"/>
        </w:rPr>
      </w:pPr>
    </w:p>
    <w:tbl>
      <w:tblPr>
        <w:tblStyle w:val="Tablaconcuadrcula"/>
        <w:tblW w:w="0" w:type="auto"/>
        <w:tblLook w:val="04A0" w:firstRow="1" w:lastRow="0" w:firstColumn="1" w:lastColumn="0" w:noHBand="0" w:noVBand="1"/>
      </w:tblPr>
      <w:tblGrid>
        <w:gridCol w:w="8830"/>
      </w:tblGrid>
      <w:tr w:rsidR="00FA2A13" w:rsidRPr="007E63A2" w14:paraId="6E926280" w14:textId="77777777" w:rsidTr="0033166C">
        <w:tc>
          <w:tcPr>
            <w:tcW w:w="8830" w:type="dxa"/>
            <w:shd w:val="clear" w:color="auto" w:fill="D9D9D9" w:themeFill="background1" w:themeFillShade="D9"/>
          </w:tcPr>
          <w:p w14:paraId="0657BA4A" w14:textId="5986A006" w:rsidR="00FA2A13" w:rsidRPr="007E63A2" w:rsidRDefault="001C6690" w:rsidP="001C6690">
            <w:pPr>
              <w:spacing w:line="276" w:lineRule="auto"/>
              <w:rPr>
                <w:rFonts w:cs="Arial"/>
                <w:b/>
                <w:bCs/>
              </w:rPr>
            </w:pPr>
            <w:r w:rsidRPr="007E63A2">
              <w:rPr>
                <w:rFonts w:cs="Arial"/>
                <w:b/>
                <w:bCs/>
              </w:rPr>
              <w:t>Alternativas seleccionadas:</w:t>
            </w:r>
          </w:p>
        </w:tc>
      </w:tr>
      <w:tr w:rsidR="00FA2A13" w:rsidRPr="007E63A2" w14:paraId="3C20E825" w14:textId="77777777">
        <w:tc>
          <w:tcPr>
            <w:tcW w:w="8830" w:type="dxa"/>
          </w:tcPr>
          <w:p w14:paraId="1302433A" w14:textId="02910AF7" w:rsidR="00FA2A13" w:rsidRPr="007E63A2" w:rsidRDefault="001C6690" w:rsidP="00B17E86">
            <w:pPr>
              <w:spacing w:line="276" w:lineRule="auto"/>
              <w:rPr>
                <w:rFonts w:cs="Arial"/>
              </w:rPr>
            </w:pPr>
            <w:r w:rsidRPr="007E63A2">
              <w:rPr>
                <w:rFonts w:cs="Arial"/>
                <w:b/>
                <w:bCs/>
              </w:rPr>
              <w:t xml:space="preserve">Problema 3.1 Alternativa </w:t>
            </w:r>
            <w:r w:rsidR="00FA2A13" w:rsidRPr="007E63A2">
              <w:rPr>
                <w:rFonts w:cs="Arial"/>
                <w:b/>
                <w:bCs/>
              </w:rPr>
              <w:t>2</w:t>
            </w:r>
            <w:r w:rsidRPr="007E63A2">
              <w:rPr>
                <w:rFonts w:cs="Arial"/>
                <w:b/>
                <w:bCs/>
              </w:rPr>
              <w:t>:</w:t>
            </w:r>
            <w:r w:rsidR="00FA2A13" w:rsidRPr="007E63A2">
              <w:rPr>
                <w:rFonts w:cs="Arial"/>
              </w:rPr>
              <w:t xml:space="preserve"> Ajustar el tiempo de transición para la aplicación del Mc</w:t>
            </w:r>
            <w:r w:rsidR="00E8312A" w:rsidRPr="007E63A2">
              <w:rPr>
                <w:rFonts w:cs="Arial"/>
              </w:rPr>
              <w:t>.</w:t>
            </w:r>
          </w:p>
          <w:p w14:paraId="014C2084" w14:textId="77777777" w:rsidR="00E8312A" w:rsidRPr="007E63A2" w:rsidRDefault="00E8312A" w:rsidP="00B17E86">
            <w:pPr>
              <w:spacing w:line="276" w:lineRule="auto"/>
              <w:rPr>
                <w:rFonts w:cs="Arial"/>
              </w:rPr>
            </w:pPr>
          </w:p>
          <w:p w14:paraId="32B22A68" w14:textId="29D4A423" w:rsidR="00E8312A" w:rsidRPr="007E63A2" w:rsidRDefault="001C6690" w:rsidP="00B17E86">
            <w:pPr>
              <w:spacing w:line="276" w:lineRule="auto"/>
              <w:rPr>
                <w:rFonts w:cs="Arial"/>
              </w:rPr>
            </w:pPr>
            <w:r w:rsidRPr="007E63A2">
              <w:rPr>
                <w:rFonts w:cs="Arial"/>
                <w:b/>
                <w:bCs/>
              </w:rPr>
              <w:t>Problema 3.2 Alternativa 2:</w:t>
            </w:r>
            <w:r w:rsidR="00E8312A" w:rsidRPr="007E63A2">
              <w:rPr>
                <w:rFonts w:cs="Arial"/>
              </w:rPr>
              <w:t xml:space="preserve"> Modificar las reglas el tratamiento de excedentes de los AGPE en el ASIC y el LAC del Comercializador no integrado al OR.</w:t>
            </w:r>
          </w:p>
          <w:p w14:paraId="5EF60F20" w14:textId="77777777" w:rsidR="00E8312A" w:rsidRPr="007E63A2" w:rsidRDefault="00E8312A" w:rsidP="00B17E86">
            <w:pPr>
              <w:spacing w:line="276" w:lineRule="auto"/>
              <w:rPr>
                <w:rFonts w:cs="Arial"/>
              </w:rPr>
            </w:pPr>
          </w:p>
          <w:p w14:paraId="18031E5A" w14:textId="1B4E2C23" w:rsidR="00E8312A" w:rsidRPr="007E63A2" w:rsidRDefault="001C6690" w:rsidP="00B17E86">
            <w:pPr>
              <w:spacing w:line="276" w:lineRule="auto"/>
              <w:rPr>
                <w:rFonts w:cs="Arial"/>
              </w:rPr>
            </w:pPr>
            <w:r w:rsidRPr="007E63A2">
              <w:rPr>
                <w:rFonts w:cs="Arial"/>
                <w:b/>
                <w:bCs/>
              </w:rPr>
              <w:t>Problema 3.3 Alternativa 2</w:t>
            </w:r>
            <w:r w:rsidR="00E8312A" w:rsidRPr="007E63A2">
              <w:rPr>
                <w:rFonts w:cs="Arial"/>
              </w:rPr>
              <w:t>. Ajustar la regla conforme se propuso para autogeneración remota.</w:t>
            </w:r>
          </w:p>
          <w:p w14:paraId="5B78F102" w14:textId="77777777" w:rsidR="00E8312A" w:rsidRPr="007E63A2" w:rsidRDefault="00E8312A" w:rsidP="00B17E86">
            <w:pPr>
              <w:spacing w:line="276" w:lineRule="auto"/>
              <w:rPr>
                <w:rFonts w:cs="Arial"/>
              </w:rPr>
            </w:pPr>
          </w:p>
          <w:p w14:paraId="7B807A7A" w14:textId="105E88C4" w:rsidR="00E8312A" w:rsidRPr="007E63A2" w:rsidRDefault="001C6690" w:rsidP="00B17E86">
            <w:pPr>
              <w:spacing w:line="276" w:lineRule="auto"/>
              <w:rPr>
                <w:rFonts w:cs="Arial"/>
              </w:rPr>
            </w:pPr>
            <w:r w:rsidRPr="007E63A2">
              <w:rPr>
                <w:rFonts w:cs="Arial"/>
                <w:b/>
                <w:bCs/>
              </w:rPr>
              <w:t>Problema 3.4 Alternativa 2</w:t>
            </w:r>
            <w:r w:rsidR="00E8312A" w:rsidRPr="007E63A2">
              <w:rPr>
                <w:rFonts w:cs="Arial"/>
              </w:rPr>
              <w:t xml:space="preserve">. Complementar las reglas para incluir comunidades energéticas </w:t>
            </w:r>
            <w:r w:rsidR="00CF60DE" w:rsidRPr="007E63A2">
              <w:rPr>
                <w:rFonts w:cs="Arial"/>
              </w:rPr>
              <w:t>basadas en fuentes energéticas diferentes a FNCER</w:t>
            </w:r>
            <w:r w:rsidR="00E8312A" w:rsidRPr="007E63A2">
              <w:rPr>
                <w:rFonts w:cs="Arial"/>
              </w:rPr>
              <w:t>.</w:t>
            </w:r>
          </w:p>
          <w:p w14:paraId="4D19573A" w14:textId="77777777" w:rsidR="00E8312A" w:rsidRPr="007E63A2" w:rsidRDefault="00E8312A" w:rsidP="00B17E86">
            <w:pPr>
              <w:spacing w:line="276" w:lineRule="auto"/>
              <w:rPr>
                <w:rFonts w:cs="Arial"/>
              </w:rPr>
            </w:pPr>
          </w:p>
          <w:p w14:paraId="35F03EDA" w14:textId="77777777" w:rsidR="00E8312A" w:rsidRPr="007E63A2" w:rsidRDefault="001C6690" w:rsidP="00B17E86">
            <w:pPr>
              <w:spacing w:line="276" w:lineRule="auto"/>
              <w:rPr>
                <w:rFonts w:cs="Arial"/>
              </w:rPr>
            </w:pPr>
            <w:r w:rsidRPr="007E63A2">
              <w:rPr>
                <w:rFonts w:cs="Arial"/>
                <w:b/>
                <w:bCs/>
              </w:rPr>
              <w:t>Problema 3.5 Alternativa 2</w:t>
            </w:r>
            <w:r w:rsidR="00E8312A" w:rsidRPr="007E63A2">
              <w:rPr>
                <w:rFonts w:cs="Arial"/>
              </w:rPr>
              <w:t>. Ajustar la Resolución CREG 101 072 de 2025 para aclarar la transición del Pb a Mc y ajustar el texto sobre la vigencia de los contratos AGPE.</w:t>
            </w:r>
          </w:p>
          <w:p w14:paraId="00D9BC7E" w14:textId="7F94378D" w:rsidR="00E8312A" w:rsidRPr="007E63A2" w:rsidRDefault="00E8312A" w:rsidP="00B17E86">
            <w:pPr>
              <w:spacing w:line="276" w:lineRule="auto"/>
              <w:rPr>
                <w:rFonts w:cs="Arial"/>
              </w:rPr>
            </w:pPr>
          </w:p>
        </w:tc>
      </w:tr>
      <w:tr w:rsidR="00FA2A13" w:rsidRPr="007E63A2" w14:paraId="6E0C2C3D" w14:textId="77777777">
        <w:tc>
          <w:tcPr>
            <w:tcW w:w="8830" w:type="dxa"/>
          </w:tcPr>
          <w:p w14:paraId="0A55C940" w14:textId="6BACE3F9" w:rsidR="0033166C" w:rsidRPr="007E63A2" w:rsidRDefault="0033166C" w:rsidP="0033166C">
            <w:pPr>
              <w:spacing w:line="276" w:lineRule="auto"/>
              <w:rPr>
                <w:rFonts w:asciiTheme="minorBidi" w:hAnsiTheme="minorBidi"/>
                <w:b/>
                <w:bCs/>
              </w:rPr>
            </w:pPr>
            <w:r w:rsidRPr="007E63A2">
              <w:rPr>
                <w:rFonts w:asciiTheme="minorBidi" w:hAnsiTheme="minorBidi"/>
                <w:b/>
                <w:bCs/>
              </w:rPr>
              <w:t>Medidas a tomar</w:t>
            </w:r>
          </w:p>
          <w:p w14:paraId="67A306D1" w14:textId="7920BD81" w:rsidR="00FA2A13" w:rsidRPr="007E63A2" w:rsidRDefault="00FA2A13" w:rsidP="00FA2A13">
            <w:pPr>
              <w:pStyle w:val="Prrafodelista"/>
              <w:numPr>
                <w:ilvl w:val="0"/>
                <w:numId w:val="17"/>
              </w:numPr>
              <w:spacing w:line="276" w:lineRule="auto"/>
              <w:rPr>
                <w:rFonts w:asciiTheme="minorBidi" w:hAnsiTheme="minorBidi"/>
                <w:b/>
                <w:bCs/>
              </w:rPr>
            </w:pPr>
            <w:r w:rsidRPr="007E63A2">
              <w:rPr>
                <w:rFonts w:asciiTheme="minorBidi" w:hAnsiTheme="minorBidi"/>
              </w:rPr>
              <w:t xml:space="preserve">Crear un artículo </w:t>
            </w:r>
            <w:r w:rsidR="00957349" w:rsidRPr="007E63A2">
              <w:rPr>
                <w:rFonts w:asciiTheme="minorBidi" w:hAnsiTheme="minorBidi"/>
              </w:rPr>
              <w:t xml:space="preserve">que aclare </w:t>
            </w:r>
            <w:r w:rsidRPr="007E63A2">
              <w:rPr>
                <w:rFonts w:asciiTheme="minorBidi" w:hAnsiTheme="minorBidi"/>
              </w:rPr>
              <w:t>la transición del precio Mc en resoluciones CREG 174 de 2021 y CREG 101 072 de 2025</w:t>
            </w:r>
            <w:r w:rsidR="00AF28ED" w:rsidRPr="007E63A2">
              <w:rPr>
                <w:rFonts w:asciiTheme="minorBidi" w:hAnsiTheme="minorBidi"/>
              </w:rPr>
              <w:t xml:space="preserve"> donde se aclaran las reglas para la transición al Mc.</w:t>
            </w:r>
          </w:p>
          <w:p w14:paraId="7C105943" w14:textId="77777777" w:rsidR="0033166C" w:rsidRPr="007E63A2" w:rsidRDefault="0033166C" w:rsidP="0033166C">
            <w:pPr>
              <w:pStyle w:val="Prrafodelista"/>
              <w:spacing w:line="276" w:lineRule="auto"/>
              <w:rPr>
                <w:rFonts w:asciiTheme="minorBidi" w:hAnsiTheme="minorBidi"/>
                <w:b/>
                <w:bCs/>
              </w:rPr>
            </w:pPr>
          </w:p>
          <w:p w14:paraId="06C18D7C" w14:textId="25B55477" w:rsidR="00FA2A13" w:rsidRPr="007E63A2" w:rsidRDefault="00AF28ED" w:rsidP="00FA2A13">
            <w:pPr>
              <w:pStyle w:val="Prrafodelista"/>
              <w:numPr>
                <w:ilvl w:val="0"/>
                <w:numId w:val="17"/>
              </w:numPr>
              <w:spacing w:line="276" w:lineRule="auto"/>
              <w:rPr>
                <w:rFonts w:asciiTheme="minorBidi" w:hAnsiTheme="minorBidi"/>
                <w:b/>
                <w:bCs/>
              </w:rPr>
            </w:pPr>
            <w:r w:rsidRPr="007E63A2">
              <w:rPr>
                <w:rFonts w:asciiTheme="minorBidi" w:hAnsiTheme="minorBidi"/>
              </w:rPr>
              <w:t xml:space="preserve">Modificar los parágrafos de los artículos 26, 27 y 28 de la Resolución CREG 101 072 de 2025 donde se ajusta el tiempo de transición </w:t>
            </w:r>
            <w:r w:rsidR="00A37011" w:rsidRPr="007E63A2">
              <w:rPr>
                <w:rFonts w:asciiTheme="minorBidi" w:hAnsiTheme="minorBidi"/>
              </w:rPr>
              <w:t xml:space="preserve">hasta </w:t>
            </w:r>
            <w:r w:rsidR="00A37011" w:rsidRPr="007E63A2">
              <w:rPr>
                <w:rFonts w:asciiTheme="minorBidi" w:hAnsiTheme="minorBidi"/>
              </w:rPr>
              <w:lastRenderedPageBreak/>
              <w:t>que la comisión defina a través de resolución el traslado del costo de compras de energía al valor del Mcm el cual aplicará a partir del mes siguiente de expedida.</w:t>
            </w:r>
          </w:p>
          <w:p w14:paraId="416CF350" w14:textId="77777777" w:rsidR="0033166C" w:rsidRPr="007E63A2" w:rsidRDefault="0033166C" w:rsidP="0033166C">
            <w:pPr>
              <w:pStyle w:val="Prrafodelista"/>
              <w:spacing w:line="276" w:lineRule="auto"/>
              <w:rPr>
                <w:rFonts w:asciiTheme="minorBidi" w:hAnsiTheme="minorBidi"/>
                <w:b/>
                <w:bCs/>
              </w:rPr>
            </w:pPr>
          </w:p>
          <w:p w14:paraId="39A6ED6E" w14:textId="77777777" w:rsidR="00AF28ED" w:rsidRPr="007E63A2" w:rsidRDefault="00AF28ED" w:rsidP="00FA2A13">
            <w:pPr>
              <w:pStyle w:val="Prrafodelista"/>
              <w:numPr>
                <w:ilvl w:val="0"/>
                <w:numId w:val="17"/>
              </w:numPr>
              <w:spacing w:line="276" w:lineRule="auto"/>
              <w:rPr>
                <w:rFonts w:asciiTheme="minorBidi" w:hAnsiTheme="minorBidi"/>
              </w:rPr>
            </w:pPr>
            <w:r w:rsidRPr="007E63A2">
              <w:rPr>
                <w:rFonts w:asciiTheme="minorBidi" w:hAnsiTheme="minorBidi"/>
              </w:rPr>
              <w:t>Modificar el Anexo 2 de la Resolución CREG 101 072 de 2025 eliminando el parágrafo 3 de este.</w:t>
            </w:r>
          </w:p>
          <w:p w14:paraId="6E809AC4" w14:textId="77777777" w:rsidR="0033166C" w:rsidRPr="007E63A2" w:rsidRDefault="0033166C" w:rsidP="0033166C">
            <w:pPr>
              <w:pStyle w:val="Prrafodelista"/>
              <w:spacing w:line="276" w:lineRule="auto"/>
              <w:rPr>
                <w:rFonts w:asciiTheme="minorBidi" w:hAnsiTheme="minorBidi"/>
              </w:rPr>
            </w:pPr>
          </w:p>
          <w:p w14:paraId="3495630E" w14:textId="713A8A14" w:rsidR="00AF28ED" w:rsidRPr="007E63A2" w:rsidRDefault="00AF28ED" w:rsidP="00FA2A13">
            <w:pPr>
              <w:pStyle w:val="Prrafodelista"/>
              <w:numPr>
                <w:ilvl w:val="0"/>
                <w:numId w:val="17"/>
              </w:numPr>
              <w:spacing w:line="276" w:lineRule="auto"/>
              <w:rPr>
                <w:rFonts w:asciiTheme="minorBidi" w:hAnsiTheme="minorBidi"/>
              </w:rPr>
            </w:pPr>
            <w:r w:rsidRPr="007E63A2">
              <w:rPr>
                <w:rFonts w:asciiTheme="minorBidi" w:hAnsiTheme="minorBidi"/>
              </w:rPr>
              <w:t xml:space="preserve">Modificar el artículo 24 de la Resolución CREG 174 de 2021 para incluir en el Tratamiento de Excedentes de los AGPE en el ASIC y el LAC </w:t>
            </w:r>
            <w:r w:rsidR="007D3D44" w:rsidRPr="007E63A2">
              <w:rPr>
                <w:rFonts w:asciiTheme="minorBidi" w:hAnsiTheme="minorBidi"/>
              </w:rPr>
              <w:t xml:space="preserve">el </w:t>
            </w:r>
            <w:r w:rsidRPr="007E63A2">
              <w:rPr>
                <w:rFonts w:asciiTheme="minorBidi" w:hAnsiTheme="minorBidi"/>
              </w:rPr>
              <w:t>caso de borde donde se presente que los excedentes de AGPE superen la demanda del comercializador y estos en vez de ser negativos, se reconozcan a precio de bolsa. Así mismo, contempla modificar la definición de la</w:t>
            </w:r>
            <w:r w:rsidR="009271B9" w:rsidRPr="007E63A2">
              <w:rPr>
                <w:rFonts w:asciiTheme="minorBidi" w:hAnsiTheme="minorBidi"/>
              </w:rPr>
              <w:t>s</w:t>
            </w:r>
            <w:r w:rsidRPr="007E63A2">
              <w:rPr>
                <w:rFonts w:asciiTheme="minorBidi" w:hAnsiTheme="minorBidi"/>
              </w:rPr>
              <w:t xml:space="preserve"> variable</w:t>
            </w:r>
            <w:r w:rsidR="009271B9" w:rsidRPr="007E63A2">
              <w:rPr>
                <w:rFonts w:asciiTheme="minorBidi" w:hAnsiTheme="minorBidi"/>
              </w:rPr>
              <w:t>s</w:t>
            </w:r>
            <w:r w:rsidRPr="007E63A2">
              <w:rPr>
                <w:rFonts w:asciiTheme="minorBidi" w:hAnsiTheme="minorBidi"/>
              </w:rPr>
              <w:t xml:space="preserve"> GRm</w:t>
            </w:r>
            <w:r w:rsidR="00210BF0" w:rsidRPr="007E63A2">
              <w:rPr>
                <w:rFonts w:asciiTheme="minorBidi" w:hAnsiTheme="minorBidi"/>
              </w:rPr>
              <w:t>,</w:t>
            </w:r>
            <w:r w:rsidR="009271B9" w:rsidRPr="007E63A2">
              <w:rPr>
                <w:rFonts w:asciiTheme="minorBidi" w:hAnsiTheme="minorBidi"/>
              </w:rPr>
              <w:t xml:space="preserve"> </w:t>
            </w:r>
            <w:r w:rsidR="00210BF0" w:rsidRPr="007E63A2">
              <w:rPr>
                <w:rFonts w:asciiTheme="minorBidi" w:hAnsiTheme="minorBidi"/>
              </w:rPr>
              <w:t>Dem y</w:t>
            </w:r>
            <w:r w:rsidR="000229DB" w:rsidRPr="007E63A2">
              <w:rPr>
                <w:rFonts w:asciiTheme="minorBidi" w:hAnsiTheme="minorBidi"/>
              </w:rPr>
              <w:t xml:space="preserve"> el numeral </w:t>
            </w:r>
            <w:r w:rsidR="007D171B" w:rsidRPr="007E63A2">
              <w:rPr>
                <w:rFonts w:asciiTheme="minorBidi" w:hAnsiTheme="minorBidi"/>
              </w:rPr>
              <w:t>8.2.1 de</w:t>
            </w:r>
            <w:r w:rsidRPr="007E63A2">
              <w:rPr>
                <w:rFonts w:asciiTheme="minorBidi" w:hAnsiTheme="minorBidi"/>
              </w:rPr>
              <w:t xml:space="preserve"> la Resolución CREG 071 de 2006</w:t>
            </w:r>
            <w:r w:rsidR="00B758B5" w:rsidRPr="007E63A2">
              <w:rPr>
                <w:rFonts w:asciiTheme="minorBidi" w:hAnsiTheme="minorBidi"/>
              </w:rPr>
              <w:t xml:space="preserve"> para poder incluir lo anterior, ya que se trata de generación a favor del comercializador</w:t>
            </w:r>
            <w:r w:rsidRPr="007E63A2">
              <w:rPr>
                <w:rFonts w:asciiTheme="minorBidi" w:hAnsiTheme="minorBidi"/>
              </w:rPr>
              <w:t>.</w:t>
            </w:r>
            <w:r w:rsidR="008F2C23" w:rsidRPr="007E63A2">
              <w:rPr>
                <w:rFonts w:asciiTheme="minorBidi" w:hAnsiTheme="minorBidi"/>
              </w:rPr>
              <w:t xml:space="preserve"> Por otro lado, </w:t>
            </w:r>
            <w:r w:rsidR="00D458F3" w:rsidRPr="007E63A2">
              <w:rPr>
                <w:rFonts w:asciiTheme="minorBidi" w:hAnsiTheme="minorBidi"/>
              </w:rPr>
              <w:t xml:space="preserve">modificar </w:t>
            </w:r>
            <w:r w:rsidR="00DA1EE5" w:rsidRPr="007E63A2">
              <w:rPr>
                <w:rFonts w:asciiTheme="minorBidi" w:hAnsiTheme="minorBidi"/>
              </w:rPr>
              <w:t xml:space="preserve">el artículo 2 de la Resolución CREG </w:t>
            </w:r>
            <w:r w:rsidR="00324078" w:rsidRPr="007E63A2">
              <w:rPr>
                <w:rFonts w:asciiTheme="minorBidi" w:hAnsiTheme="minorBidi"/>
              </w:rPr>
              <w:t xml:space="preserve">232 de 2015 </w:t>
            </w:r>
            <w:r w:rsidR="00BA235E" w:rsidRPr="007E63A2">
              <w:rPr>
                <w:rFonts w:asciiTheme="minorBidi" w:hAnsiTheme="minorBidi"/>
              </w:rPr>
              <w:t xml:space="preserve">y el numeral 1.1.1.2.1. </w:t>
            </w:r>
            <w:r w:rsidR="005252A6" w:rsidRPr="007E63A2">
              <w:rPr>
                <w:rFonts w:asciiTheme="minorBidi" w:hAnsiTheme="minorBidi"/>
              </w:rPr>
              <w:t xml:space="preserve">del Anexo A </w:t>
            </w:r>
            <w:r w:rsidR="00062EA3" w:rsidRPr="007E63A2">
              <w:rPr>
                <w:rFonts w:asciiTheme="minorBidi" w:hAnsiTheme="minorBidi"/>
              </w:rPr>
              <w:t xml:space="preserve">de la Resolución CREG </w:t>
            </w:r>
            <w:r w:rsidR="00D826FF" w:rsidRPr="007E63A2">
              <w:rPr>
                <w:rFonts w:asciiTheme="minorBidi" w:hAnsiTheme="minorBidi"/>
              </w:rPr>
              <w:t>024 de 1995.</w:t>
            </w:r>
          </w:p>
          <w:p w14:paraId="2A2A6E87" w14:textId="77777777" w:rsidR="0033166C" w:rsidRPr="007E63A2" w:rsidRDefault="0033166C" w:rsidP="0033166C">
            <w:pPr>
              <w:pStyle w:val="Prrafodelista"/>
              <w:rPr>
                <w:rFonts w:asciiTheme="minorBidi" w:hAnsiTheme="minorBidi"/>
              </w:rPr>
            </w:pPr>
          </w:p>
          <w:p w14:paraId="7B6D9D5E" w14:textId="77777777" w:rsidR="00AF28ED" w:rsidRPr="007E63A2" w:rsidRDefault="00AF28ED" w:rsidP="00FA2A13">
            <w:pPr>
              <w:pStyle w:val="Prrafodelista"/>
              <w:numPr>
                <w:ilvl w:val="0"/>
                <w:numId w:val="17"/>
              </w:numPr>
              <w:spacing w:line="276" w:lineRule="auto"/>
              <w:rPr>
                <w:rFonts w:asciiTheme="minorBidi" w:hAnsiTheme="minorBidi"/>
              </w:rPr>
            </w:pPr>
            <w:r w:rsidRPr="007E63A2">
              <w:rPr>
                <w:rFonts w:asciiTheme="minorBidi" w:hAnsiTheme="minorBidi"/>
              </w:rPr>
              <w:t xml:space="preserve">Modificar el literal </w:t>
            </w:r>
            <w:r w:rsidR="00E8312A" w:rsidRPr="007E63A2">
              <w:rPr>
                <w:rFonts w:asciiTheme="minorBidi" w:hAnsiTheme="minorBidi"/>
              </w:rPr>
              <w:t>e) del artículo 8 de la Resolución CREG 101 072 de 2025 de forma que todo recurso en el sistema que tenga capacidad efectiva neta menor a 5 MW aplicaría procedimientos simplificados.</w:t>
            </w:r>
          </w:p>
          <w:p w14:paraId="5CF8E5ED" w14:textId="77777777" w:rsidR="0033166C" w:rsidRPr="007E63A2" w:rsidRDefault="0033166C" w:rsidP="0033166C">
            <w:pPr>
              <w:pStyle w:val="Prrafodelista"/>
              <w:rPr>
                <w:rFonts w:asciiTheme="minorBidi" w:hAnsiTheme="minorBidi"/>
              </w:rPr>
            </w:pPr>
          </w:p>
          <w:p w14:paraId="49055EA1" w14:textId="7F47052F" w:rsidR="00E8312A" w:rsidRPr="007E63A2" w:rsidRDefault="00E8312A" w:rsidP="00FA2A13">
            <w:pPr>
              <w:pStyle w:val="Prrafodelista"/>
              <w:numPr>
                <w:ilvl w:val="0"/>
                <w:numId w:val="17"/>
              </w:numPr>
              <w:spacing w:line="276" w:lineRule="auto"/>
              <w:rPr>
                <w:rFonts w:cs="Arial"/>
              </w:rPr>
            </w:pPr>
            <w:r w:rsidRPr="007E63A2">
              <w:rPr>
                <w:rFonts w:asciiTheme="minorBidi" w:hAnsiTheme="minorBidi"/>
              </w:rPr>
              <w:t xml:space="preserve">Modificar el artículo 20 de la Resolución CREG 101 072 de 2025 para incluir un nuevo numeral que permita el reconocimiento de excedentes a un AC </w:t>
            </w:r>
            <w:r w:rsidR="00CF60DE" w:rsidRPr="007E63A2">
              <w:rPr>
                <w:rFonts w:asciiTheme="minorBidi" w:hAnsiTheme="minorBidi"/>
              </w:rPr>
              <w:t>basado en fuentes energéticas diferentes a FNCER</w:t>
            </w:r>
            <w:r w:rsidRPr="007E63A2">
              <w:rPr>
                <w:rFonts w:asciiTheme="minorBidi" w:hAnsiTheme="minorBidi"/>
              </w:rPr>
              <w:t>.</w:t>
            </w:r>
          </w:p>
        </w:tc>
      </w:tr>
    </w:tbl>
    <w:p w14:paraId="7BBC9D2F" w14:textId="4EC3EC2F" w:rsidR="00FA2A13" w:rsidRPr="007E63A2" w:rsidRDefault="0033166C" w:rsidP="0033166C">
      <w:pPr>
        <w:pStyle w:val="Descripcin"/>
        <w:jc w:val="center"/>
        <w:rPr>
          <w:rFonts w:cs="Arial"/>
          <w:color w:val="auto"/>
        </w:rPr>
      </w:pPr>
      <w:r w:rsidRPr="007E63A2">
        <w:rPr>
          <w:color w:val="auto"/>
        </w:rPr>
        <w:lastRenderedPageBreak/>
        <w:t xml:space="preserve">Tabla </w:t>
      </w:r>
      <w:r w:rsidRPr="007E63A2">
        <w:rPr>
          <w:color w:val="auto"/>
        </w:rPr>
        <w:fldChar w:fldCharType="begin"/>
      </w:r>
      <w:r w:rsidRPr="007E63A2">
        <w:rPr>
          <w:color w:val="auto"/>
        </w:rPr>
        <w:instrText xml:space="preserve"> SEQ Tabla \* ARABIC </w:instrText>
      </w:r>
      <w:r w:rsidRPr="007E63A2">
        <w:rPr>
          <w:color w:val="auto"/>
        </w:rPr>
        <w:fldChar w:fldCharType="separate"/>
      </w:r>
      <w:r w:rsidRPr="007E63A2">
        <w:rPr>
          <w:color w:val="auto"/>
        </w:rPr>
        <w:t>3</w:t>
      </w:r>
      <w:r w:rsidRPr="007E63A2">
        <w:rPr>
          <w:color w:val="auto"/>
        </w:rPr>
        <w:fldChar w:fldCharType="end"/>
      </w:r>
      <w:r w:rsidRPr="007E63A2">
        <w:rPr>
          <w:color w:val="auto"/>
        </w:rPr>
        <w:t>. Alternativas seleccionadas:</w:t>
      </w:r>
    </w:p>
    <w:p w14:paraId="269D184A" w14:textId="77777777" w:rsidR="00E27B35" w:rsidRPr="007E63A2" w:rsidRDefault="00E27B35" w:rsidP="00CB2A53">
      <w:pPr>
        <w:spacing w:line="276" w:lineRule="auto"/>
      </w:pPr>
    </w:p>
    <w:p w14:paraId="54769175" w14:textId="4576AC37" w:rsidR="00E7790B" w:rsidRPr="007E63A2" w:rsidRDefault="001329A0" w:rsidP="00B17E86">
      <w:pPr>
        <w:pStyle w:val="Ttulo1"/>
        <w:spacing w:after="0" w:line="276" w:lineRule="auto"/>
        <w:ind w:left="431" w:hanging="431"/>
        <w:rPr>
          <w:sz w:val="22"/>
        </w:rPr>
      </w:pPr>
      <w:bookmarkStart w:id="20" w:name="_Toc212219335"/>
      <w:r w:rsidRPr="007E63A2">
        <w:rPr>
          <w:sz w:val="22"/>
        </w:rPr>
        <w:t>CONSULTA PÚBLICA</w:t>
      </w:r>
      <w:bookmarkEnd w:id="20"/>
    </w:p>
    <w:p w14:paraId="7D201FF2" w14:textId="77777777" w:rsidR="00E7790B" w:rsidRPr="007E63A2" w:rsidRDefault="00E7790B" w:rsidP="00B17E86">
      <w:pPr>
        <w:spacing w:line="276" w:lineRule="auto"/>
      </w:pPr>
    </w:p>
    <w:p w14:paraId="7A76ECD0" w14:textId="1B622B3B" w:rsidR="003039D5" w:rsidRPr="007E63A2" w:rsidRDefault="003039D5" w:rsidP="002F590C">
      <w:pPr>
        <w:spacing w:line="276" w:lineRule="auto"/>
        <w:rPr>
          <w:rFonts w:cs="Arial"/>
          <w:color w:val="000000"/>
          <w:lang w:eastAsia="es-CO"/>
        </w:rPr>
      </w:pPr>
      <w:r w:rsidRPr="007E63A2">
        <w:rPr>
          <w:rFonts w:cs="Arial"/>
          <w:color w:val="000000"/>
          <w:lang w:eastAsia="es-CO"/>
        </w:rPr>
        <w:t xml:space="preserve">La propuesta regulatoria de que trata el Proyecto de </w:t>
      </w:r>
      <w:r w:rsidR="00B17E86" w:rsidRPr="007E63A2">
        <w:rPr>
          <w:rFonts w:cs="Arial"/>
          <w:color w:val="000000"/>
          <w:lang w:eastAsia="es-CO"/>
        </w:rPr>
        <w:t>Resolución</w:t>
      </w:r>
      <w:r w:rsidRPr="007E63A2">
        <w:rPr>
          <w:rFonts w:cs="Arial"/>
          <w:color w:val="000000"/>
          <w:lang w:eastAsia="es-CO"/>
        </w:rPr>
        <w:t xml:space="preserve"> </w:t>
      </w:r>
      <w:r w:rsidR="0058052A" w:rsidRPr="007E63A2">
        <w:rPr>
          <w:rFonts w:cs="Arial"/>
          <w:color w:val="000000"/>
          <w:lang w:eastAsia="es-CO"/>
        </w:rPr>
        <w:t xml:space="preserve">CREG </w:t>
      </w:r>
      <w:r w:rsidR="00652DAF" w:rsidRPr="007E63A2">
        <w:rPr>
          <w:rFonts w:cs="Arial"/>
          <w:color w:val="000000"/>
          <w:lang w:eastAsia="es-CO"/>
        </w:rPr>
        <w:t xml:space="preserve">701 </w:t>
      </w:r>
      <w:r w:rsidR="00182034" w:rsidRPr="007E63A2">
        <w:rPr>
          <w:rFonts w:cs="Arial"/>
          <w:color w:val="000000"/>
          <w:lang w:eastAsia="es-CO"/>
        </w:rPr>
        <w:t xml:space="preserve">097 de 2025 </w:t>
      </w:r>
      <w:r w:rsidRPr="007E63A2">
        <w:rPr>
          <w:rFonts w:cs="Arial"/>
          <w:color w:val="000000"/>
          <w:lang w:eastAsia="es-CO"/>
        </w:rPr>
        <w:t>se present</w:t>
      </w:r>
      <w:r w:rsidR="00182034" w:rsidRPr="007E63A2">
        <w:rPr>
          <w:rFonts w:cs="Arial"/>
          <w:color w:val="000000"/>
          <w:lang w:eastAsia="es-CO"/>
        </w:rPr>
        <w:t>ó</w:t>
      </w:r>
      <w:r w:rsidRPr="007E63A2">
        <w:rPr>
          <w:rFonts w:cs="Arial"/>
          <w:color w:val="000000"/>
          <w:lang w:eastAsia="es-CO"/>
        </w:rPr>
        <w:t xml:space="preserve"> para comentarios de los interesados durante un plazo de 10 días hábiles contados a partir del día siguiente al de publicación en la página web de la CREG.</w:t>
      </w:r>
    </w:p>
    <w:p w14:paraId="7210B28D" w14:textId="77777777" w:rsidR="00182034" w:rsidRPr="007E63A2" w:rsidRDefault="00182034" w:rsidP="002F590C">
      <w:pPr>
        <w:spacing w:line="276" w:lineRule="auto"/>
        <w:rPr>
          <w:rFonts w:cs="Arial"/>
          <w:color w:val="000000"/>
          <w:lang w:eastAsia="es-CO"/>
        </w:rPr>
      </w:pPr>
    </w:p>
    <w:p w14:paraId="3639FA01" w14:textId="25A9C63D" w:rsidR="00182034" w:rsidRPr="007E63A2" w:rsidRDefault="00182034" w:rsidP="002F590C">
      <w:pPr>
        <w:spacing w:line="276" w:lineRule="auto"/>
        <w:rPr>
          <w:rFonts w:cs="Arial"/>
          <w:color w:val="000000"/>
          <w:lang w:eastAsia="es-CO"/>
        </w:rPr>
      </w:pPr>
      <w:r w:rsidRPr="007E63A2">
        <w:rPr>
          <w:rFonts w:cs="Arial"/>
          <w:color w:val="000000"/>
          <w:lang w:eastAsia="es-CO"/>
        </w:rPr>
        <w:t xml:space="preserve">Una vez finalizado el periodo de consulta, se recibieron </w:t>
      </w:r>
      <w:r w:rsidR="00F14C7E" w:rsidRPr="007E63A2">
        <w:rPr>
          <w:rFonts w:cs="Arial"/>
          <w:color w:val="000000"/>
          <w:lang w:eastAsia="es-CO"/>
        </w:rPr>
        <w:t xml:space="preserve">19 comunicaciones </w:t>
      </w:r>
      <w:r w:rsidR="00BB2C81" w:rsidRPr="007E63A2">
        <w:rPr>
          <w:rFonts w:cs="Arial"/>
          <w:color w:val="000000"/>
          <w:lang w:eastAsia="es-CO"/>
        </w:rPr>
        <w:t>cuyos números de radicado se indican a continuación:</w:t>
      </w:r>
    </w:p>
    <w:p w14:paraId="56922C31" w14:textId="77777777" w:rsidR="00BB2C81" w:rsidRPr="007E63A2" w:rsidRDefault="00BB2C81" w:rsidP="002F590C">
      <w:pPr>
        <w:spacing w:line="276" w:lineRule="auto"/>
        <w:rPr>
          <w:rFonts w:cs="Arial"/>
          <w:color w:val="000000"/>
          <w:lang w:eastAsia="es-CO"/>
        </w:rPr>
      </w:pPr>
    </w:p>
    <w:tbl>
      <w:tblPr>
        <w:tblW w:w="5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0"/>
        <w:gridCol w:w="1920"/>
        <w:gridCol w:w="2760"/>
      </w:tblGrid>
      <w:tr w:rsidR="001E7F8E" w:rsidRPr="007E63A2" w14:paraId="64557E49" w14:textId="77777777" w:rsidTr="007D685E">
        <w:trPr>
          <w:trHeight w:val="290"/>
          <w:jc w:val="center"/>
        </w:trPr>
        <w:tc>
          <w:tcPr>
            <w:tcW w:w="960" w:type="dxa"/>
            <w:shd w:val="clear" w:color="000000" w:fill="D9D9D9"/>
            <w:noWrap/>
            <w:vAlign w:val="bottom"/>
            <w:hideMark/>
          </w:tcPr>
          <w:p w14:paraId="76BA1088" w14:textId="77777777" w:rsidR="001E7F8E" w:rsidRPr="007E63A2" w:rsidRDefault="001E7F8E" w:rsidP="007D685E">
            <w:pPr>
              <w:jc w:val="center"/>
              <w:rPr>
                <w:rFonts w:ascii="Verdana" w:hAnsi="Verdana" w:cs="Calibri"/>
                <w:b/>
                <w:bCs/>
                <w:color w:val="000000"/>
                <w:sz w:val="22"/>
                <w:szCs w:val="22"/>
                <w:lang w:eastAsia="zh-CN"/>
              </w:rPr>
            </w:pPr>
            <w:r w:rsidRPr="007E63A2">
              <w:rPr>
                <w:rFonts w:ascii="Verdana" w:hAnsi="Verdana" w:cs="Calibri"/>
                <w:b/>
                <w:bCs/>
                <w:color w:val="000000"/>
                <w:sz w:val="22"/>
                <w:szCs w:val="22"/>
                <w:lang w:eastAsia="zh-CN"/>
              </w:rPr>
              <w:t>Nro</w:t>
            </w:r>
          </w:p>
        </w:tc>
        <w:tc>
          <w:tcPr>
            <w:tcW w:w="1920" w:type="dxa"/>
            <w:shd w:val="clear" w:color="000000" w:fill="D9D9D9"/>
            <w:noWrap/>
            <w:vAlign w:val="bottom"/>
            <w:hideMark/>
          </w:tcPr>
          <w:p w14:paraId="5B192AB7" w14:textId="77777777" w:rsidR="001E7F8E" w:rsidRPr="007E63A2" w:rsidRDefault="001E7F8E" w:rsidP="007D685E">
            <w:pPr>
              <w:jc w:val="center"/>
              <w:rPr>
                <w:rFonts w:ascii="Verdana" w:hAnsi="Verdana" w:cs="Calibri"/>
                <w:b/>
                <w:bCs/>
                <w:color w:val="000000"/>
                <w:sz w:val="22"/>
                <w:szCs w:val="22"/>
                <w:lang w:eastAsia="zh-CN"/>
              </w:rPr>
            </w:pPr>
            <w:r w:rsidRPr="007E63A2">
              <w:rPr>
                <w:rFonts w:ascii="Verdana" w:hAnsi="Verdana" w:cs="Calibri"/>
                <w:b/>
                <w:bCs/>
                <w:color w:val="000000"/>
                <w:sz w:val="22"/>
                <w:szCs w:val="22"/>
                <w:lang w:eastAsia="zh-CN"/>
              </w:rPr>
              <w:t>Radicado</w:t>
            </w:r>
          </w:p>
        </w:tc>
        <w:tc>
          <w:tcPr>
            <w:tcW w:w="2760" w:type="dxa"/>
            <w:shd w:val="clear" w:color="000000" w:fill="D9D9D9"/>
            <w:noWrap/>
            <w:vAlign w:val="bottom"/>
            <w:hideMark/>
          </w:tcPr>
          <w:p w14:paraId="6F888B50" w14:textId="77777777" w:rsidR="001E7F8E" w:rsidRPr="007E63A2" w:rsidRDefault="001E7F8E" w:rsidP="007D685E">
            <w:pPr>
              <w:jc w:val="center"/>
              <w:rPr>
                <w:rFonts w:ascii="Verdana" w:hAnsi="Verdana" w:cs="Calibri"/>
                <w:b/>
                <w:bCs/>
                <w:color w:val="000000"/>
                <w:sz w:val="22"/>
                <w:szCs w:val="22"/>
                <w:lang w:eastAsia="zh-CN"/>
              </w:rPr>
            </w:pPr>
            <w:r w:rsidRPr="007E63A2">
              <w:rPr>
                <w:rFonts w:ascii="Verdana" w:hAnsi="Verdana" w:cs="Calibri"/>
                <w:b/>
                <w:bCs/>
                <w:color w:val="000000"/>
                <w:sz w:val="22"/>
                <w:szCs w:val="22"/>
                <w:lang w:eastAsia="zh-CN"/>
              </w:rPr>
              <w:t>Remitente</w:t>
            </w:r>
          </w:p>
        </w:tc>
      </w:tr>
      <w:tr w:rsidR="001E7F8E" w:rsidRPr="007E63A2" w14:paraId="332D7595" w14:textId="77777777" w:rsidTr="007D685E">
        <w:trPr>
          <w:trHeight w:val="290"/>
          <w:jc w:val="center"/>
        </w:trPr>
        <w:tc>
          <w:tcPr>
            <w:tcW w:w="960" w:type="dxa"/>
            <w:noWrap/>
            <w:vAlign w:val="bottom"/>
            <w:hideMark/>
          </w:tcPr>
          <w:p w14:paraId="3EDAAB09"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lastRenderedPageBreak/>
              <w:t>1</w:t>
            </w:r>
          </w:p>
        </w:tc>
        <w:tc>
          <w:tcPr>
            <w:tcW w:w="1920" w:type="dxa"/>
            <w:noWrap/>
            <w:vAlign w:val="center"/>
            <w:hideMark/>
          </w:tcPr>
          <w:p w14:paraId="65E03D0D"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E2025012522</w:t>
            </w:r>
          </w:p>
        </w:tc>
        <w:tc>
          <w:tcPr>
            <w:tcW w:w="2760" w:type="dxa"/>
            <w:noWrap/>
            <w:vAlign w:val="bottom"/>
            <w:hideMark/>
          </w:tcPr>
          <w:p w14:paraId="6693122F"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OGE ENERGY</w:t>
            </w:r>
          </w:p>
        </w:tc>
      </w:tr>
      <w:tr w:rsidR="001E7F8E" w:rsidRPr="007E63A2" w14:paraId="403CA152" w14:textId="77777777" w:rsidTr="007D685E">
        <w:trPr>
          <w:trHeight w:val="290"/>
          <w:jc w:val="center"/>
        </w:trPr>
        <w:tc>
          <w:tcPr>
            <w:tcW w:w="960" w:type="dxa"/>
            <w:noWrap/>
            <w:vAlign w:val="bottom"/>
            <w:hideMark/>
          </w:tcPr>
          <w:p w14:paraId="7204AD2B"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2</w:t>
            </w:r>
          </w:p>
        </w:tc>
        <w:tc>
          <w:tcPr>
            <w:tcW w:w="1920" w:type="dxa"/>
            <w:noWrap/>
            <w:vAlign w:val="center"/>
            <w:hideMark/>
          </w:tcPr>
          <w:p w14:paraId="387434DF"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E2025012601</w:t>
            </w:r>
          </w:p>
        </w:tc>
        <w:tc>
          <w:tcPr>
            <w:tcW w:w="2760" w:type="dxa"/>
            <w:noWrap/>
            <w:vAlign w:val="bottom"/>
            <w:hideMark/>
          </w:tcPr>
          <w:p w14:paraId="5D1D185D"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ACOSOL</w:t>
            </w:r>
          </w:p>
        </w:tc>
      </w:tr>
      <w:tr w:rsidR="001E7F8E" w:rsidRPr="007E63A2" w14:paraId="61A55F7B" w14:textId="77777777" w:rsidTr="007D685E">
        <w:trPr>
          <w:trHeight w:val="290"/>
          <w:jc w:val="center"/>
        </w:trPr>
        <w:tc>
          <w:tcPr>
            <w:tcW w:w="960" w:type="dxa"/>
            <w:noWrap/>
            <w:vAlign w:val="bottom"/>
            <w:hideMark/>
          </w:tcPr>
          <w:p w14:paraId="71059217"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3</w:t>
            </w:r>
          </w:p>
        </w:tc>
        <w:tc>
          <w:tcPr>
            <w:tcW w:w="1920" w:type="dxa"/>
            <w:noWrap/>
            <w:vAlign w:val="bottom"/>
            <w:hideMark/>
          </w:tcPr>
          <w:p w14:paraId="7DC26B3F"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E2025012676</w:t>
            </w:r>
          </w:p>
        </w:tc>
        <w:tc>
          <w:tcPr>
            <w:tcW w:w="2760" w:type="dxa"/>
            <w:noWrap/>
            <w:vAlign w:val="bottom"/>
            <w:hideMark/>
          </w:tcPr>
          <w:p w14:paraId="2699497F"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CEDENAR</w:t>
            </w:r>
          </w:p>
        </w:tc>
      </w:tr>
      <w:tr w:rsidR="001E7F8E" w:rsidRPr="007E63A2" w14:paraId="1A37D5E7" w14:textId="77777777" w:rsidTr="007D685E">
        <w:trPr>
          <w:trHeight w:val="290"/>
          <w:jc w:val="center"/>
        </w:trPr>
        <w:tc>
          <w:tcPr>
            <w:tcW w:w="960" w:type="dxa"/>
            <w:noWrap/>
            <w:vAlign w:val="bottom"/>
            <w:hideMark/>
          </w:tcPr>
          <w:p w14:paraId="204CE36D"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4</w:t>
            </w:r>
          </w:p>
        </w:tc>
        <w:tc>
          <w:tcPr>
            <w:tcW w:w="1920" w:type="dxa"/>
            <w:noWrap/>
            <w:vAlign w:val="bottom"/>
            <w:hideMark/>
          </w:tcPr>
          <w:p w14:paraId="40BD9C19"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E2025013135</w:t>
            </w:r>
          </w:p>
        </w:tc>
        <w:tc>
          <w:tcPr>
            <w:tcW w:w="2760" w:type="dxa"/>
            <w:noWrap/>
            <w:vAlign w:val="bottom"/>
            <w:hideMark/>
          </w:tcPr>
          <w:p w14:paraId="451A3A35"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ERCO ENERGY</w:t>
            </w:r>
          </w:p>
        </w:tc>
      </w:tr>
      <w:tr w:rsidR="001E7F8E" w:rsidRPr="007E63A2" w14:paraId="749693BC" w14:textId="77777777" w:rsidTr="007D685E">
        <w:trPr>
          <w:trHeight w:val="290"/>
          <w:jc w:val="center"/>
        </w:trPr>
        <w:tc>
          <w:tcPr>
            <w:tcW w:w="960" w:type="dxa"/>
            <w:noWrap/>
            <w:vAlign w:val="bottom"/>
            <w:hideMark/>
          </w:tcPr>
          <w:p w14:paraId="6B15BFCE"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5</w:t>
            </w:r>
          </w:p>
        </w:tc>
        <w:tc>
          <w:tcPr>
            <w:tcW w:w="1920" w:type="dxa"/>
            <w:noWrap/>
            <w:vAlign w:val="bottom"/>
            <w:hideMark/>
          </w:tcPr>
          <w:p w14:paraId="3C6C2737"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E2025013208</w:t>
            </w:r>
          </w:p>
        </w:tc>
        <w:tc>
          <w:tcPr>
            <w:tcW w:w="2760" w:type="dxa"/>
            <w:noWrap/>
            <w:vAlign w:val="bottom"/>
            <w:hideMark/>
          </w:tcPr>
          <w:p w14:paraId="1C2939AE"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ENEL</w:t>
            </w:r>
          </w:p>
        </w:tc>
      </w:tr>
      <w:tr w:rsidR="001E7F8E" w:rsidRPr="007E63A2" w14:paraId="66E790DF" w14:textId="77777777" w:rsidTr="007D685E">
        <w:trPr>
          <w:trHeight w:val="290"/>
          <w:jc w:val="center"/>
        </w:trPr>
        <w:tc>
          <w:tcPr>
            <w:tcW w:w="960" w:type="dxa"/>
            <w:noWrap/>
            <w:vAlign w:val="bottom"/>
            <w:hideMark/>
          </w:tcPr>
          <w:p w14:paraId="4FAE9718"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6</w:t>
            </w:r>
          </w:p>
        </w:tc>
        <w:tc>
          <w:tcPr>
            <w:tcW w:w="1920" w:type="dxa"/>
            <w:noWrap/>
            <w:vAlign w:val="bottom"/>
            <w:hideMark/>
          </w:tcPr>
          <w:p w14:paraId="77E76109"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E2025013223</w:t>
            </w:r>
          </w:p>
        </w:tc>
        <w:tc>
          <w:tcPr>
            <w:tcW w:w="2760" w:type="dxa"/>
            <w:noWrap/>
            <w:vAlign w:val="bottom"/>
            <w:hideMark/>
          </w:tcPr>
          <w:p w14:paraId="02829700"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CEO</w:t>
            </w:r>
          </w:p>
        </w:tc>
      </w:tr>
      <w:tr w:rsidR="001E7F8E" w:rsidRPr="007E63A2" w14:paraId="5C7E9E8A" w14:textId="77777777" w:rsidTr="007D685E">
        <w:trPr>
          <w:trHeight w:val="290"/>
          <w:jc w:val="center"/>
        </w:trPr>
        <w:tc>
          <w:tcPr>
            <w:tcW w:w="960" w:type="dxa"/>
            <w:noWrap/>
            <w:vAlign w:val="bottom"/>
            <w:hideMark/>
          </w:tcPr>
          <w:p w14:paraId="5CADABDB"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7</w:t>
            </w:r>
          </w:p>
        </w:tc>
        <w:tc>
          <w:tcPr>
            <w:tcW w:w="1920" w:type="dxa"/>
            <w:noWrap/>
            <w:vAlign w:val="bottom"/>
            <w:hideMark/>
          </w:tcPr>
          <w:p w14:paraId="0DA6D02C"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E2025013231</w:t>
            </w:r>
          </w:p>
        </w:tc>
        <w:tc>
          <w:tcPr>
            <w:tcW w:w="2760" w:type="dxa"/>
            <w:noWrap/>
            <w:vAlign w:val="bottom"/>
            <w:hideMark/>
          </w:tcPr>
          <w:p w14:paraId="538CD2C4"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PLUS ENERGY</w:t>
            </w:r>
          </w:p>
        </w:tc>
      </w:tr>
      <w:tr w:rsidR="001E7F8E" w:rsidRPr="007E63A2" w14:paraId="79CB83B6" w14:textId="77777777" w:rsidTr="007D685E">
        <w:trPr>
          <w:trHeight w:val="290"/>
          <w:jc w:val="center"/>
        </w:trPr>
        <w:tc>
          <w:tcPr>
            <w:tcW w:w="960" w:type="dxa"/>
            <w:noWrap/>
            <w:vAlign w:val="bottom"/>
            <w:hideMark/>
          </w:tcPr>
          <w:p w14:paraId="0094FF36"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8</w:t>
            </w:r>
          </w:p>
        </w:tc>
        <w:tc>
          <w:tcPr>
            <w:tcW w:w="1920" w:type="dxa"/>
            <w:noWrap/>
            <w:vAlign w:val="bottom"/>
            <w:hideMark/>
          </w:tcPr>
          <w:p w14:paraId="6F0F5D62"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E2025013240</w:t>
            </w:r>
          </w:p>
        </w:tc>
        <w:tc>
          <w:tcPr>
            <w:tcW w:w="2760" w:type="dxa"/>
            <w:noWrap/>
            <w:vAlign w:val="bottom"/>
            <w:hideMark/>
          </w:tcPr>
          <w:p w14:paraId="3B7E5D3B"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CAC</w:t>
            </w:r>
          </w:p>
        </w:tc>
      </w:tr>
      <w:tr w:rsidR="001E7F8E" w:rsidRPr="007E63A2" w14:paraId="2C8F4C57" w14:textId="77777777" w:rsidTr="007D685E">
        <w:trPr>
          <w:trHeight w:val="290"/>
          <w:jc w:val="center"/>
        </w:trPr>
        <w:tc>
          <w:tcPr>
            <w:tcW w:w="960" w:type="dxa"/>
            <w:noWrap/>
            <w:vAlign w:val="bottom"/>
            <w:hideMark/>
          </w:tcPr>
          <w:p w14:paraId="0F88D0CF"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9</w:t>
            </w:r>
          </w:p>
        </w:tc>
        <w:tc>
          <w:tcPr>
            <w:tcW w:w="1920" w:type="dxa"/>
            <w:noWrap/>
            <w:vAlign w:val="bottom"/>
            <w:hideMark/>
          </w:tcPr>
          <w:p w14:paraId="0EBF5A10"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E2025013243</w:t>
            </w:r>
          </w:p>
        </w:tc>
        <w:tc>
          <w:tcPr>
            <w:tcW w:w="2760" w:type="dxa"/>
            <w:noWrap/>
            <w:vAlign w:val="bottom"/>
            <w:hideMark/>
          </w:tcPr>
          <w:p w14:paraId="5DEEC884"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ANDESCO</w:t>
            </w:r>
          </w:p>
        </w:tc>
      </w:tr>
      <w:tr w:rsidR="001E7F8E" w:rsidRPr="007E63A2" w14:paraId="303CD4FA" w14:textId="77777777" w:rsidTr="007D685E">
        <w:trPr>
          <w:trHeight w:val="290"/>
          <w:jc w:val="center"/>
        </w:trPr>
        <w:tc>
          <w:tcPr>
            <w:tcW w:w="960" w:type="dxa"/>
            <w:noWrap/>
            <w:vAlign w:val="bottom"/>
            <w:hideMark/>
          </w:tcPr>
          <w:p w14:paraId="10707E06"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10</w:t>
            </w:r>
          </w:p>
        </w:tc>
        <w:tc>
          <w:tcPr>
            <w:tcW w:w="1920" w:type="dxa"/>
            <w:noWrap/>
            <w:vAlign w:val="bottom"/>
            <w:hideMark/>
          </w:tcPr>
          <w:p w14:paraId="469F6C8B"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E2025013244</w:t>
            </w:r>
          </w:p>
        </w:tc>
        <w:tc>
          <w:tcPr>
            <w:tcW w:w="2760" w:type="dxa"/>
            <w:noWrap/>
            <w:vAlign w:val="bottom"/>
            <w:hideMark/>
          </w:tcPr>
          <w:p w14:paraId="6D13EB75"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XM</w:t>
            </w:r>
          </w:p>
        </w:tc>
      </w:tr>
      <w:tr w:rsidR="001E7F8E" w:rsidRPr="007E63A2" w14:paraId="56A14A6C" w14:textId="77777777" w:rsidTr="007D685E">
        <w:trPr>
          <w:trHeight w:val="290"/>
          <w:jc w:val="center"/>
        </w:trPr>
        <w:tc>
          <w:tcPr>
            <w:tcW w:w="960" w:type="dxa"/>
            <w:noWrap/>
            <w:vAlign w:val="bottom"/>
            <w:hideMark/>
          </w:tcPr>
          <w:p w14:paraId="28C33CD5"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11</w:t>
            </w:r>
          </w:p>
        </w:tc>
        <w:tc>
          <w:tcPr>
            <w:tcW w:w="1920" w:type="dxa"/>
            <w:noWrap/>
            <w:vAlign w:val="bottom"/>
            <w:hideMark/>
          </w:tcPr>
          <w:p w14:paraId="65019231"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E2025013246</w:t>
            </w:r>
          </w:p>
        </w:tc>
        <w:tc>
          <w:tcPr>
            <w:tcW w:w="2760" w:type="dxa"/>
            <w:noWrap/>
            <w:vAlign w:val="bottom"/>
            <w:hideMark/>
          </w:tcPr>
          <w:p w14:paraId="08524157"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ENERTOTAL</w:t>
            </w:r>
          </w:p>
        </w:tc>
      </w:tr>
      <w:tr w:rsidR="001E7F8E" w:rsidRPr="007E63A2" w14:paraId="211D78B9" w14:textId="77777777" w:rsidTr="007D685E">
        <w:trPr>
          <w:trHeight w:val="290"/>
          <w:jc w:val="center"/>
        </w:trPr>
        <w:tc>
          <w:tcPr>
            <w:tcW w:w="960" w:type="dxa"/>
            <w:noWrap/>
            <w:vAlign w:val="bottom"/>
            <w:hideMark/>
          </w:tcPr>
          <w:p w14:paraId="04B0E455"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12</w:t>
            </w:r>
          </w:p>
        </w:tc>
        <w:tc>
          <w:tcPr>
            <w:tcW w:w="1920" w:type="dxa"/>
            <w:noWrap/>
            <w:vAlign w:val="bottom"/>
            <w:hideMark/>
          </w:tcPr>
          <w:p w14:paraId="11345537"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E2025013248</w:t>
            </w:r>
          </w:p>
        </w:tc>
        <w:tc>
          <w:tcPr>
            <w:tcW w:w="2760" w:type="dxa"/>
            <w:noWrap/>
            <w:vAlign w:val="bottom"/>
            <w:hideMark/>
          </w:tcPr>
          <w:p w14:paraId="1FB5EBA2"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ACOLGEN</w:t>
            </w:r>
          </w:p>
        </w:tc>
      </w:tr>
      <w:tr w:rsidR="001E7F8E" w:rsidRPr="007E63A2" w14:paraId="05FB9EE4" w14:textId="77777777" w:rsidTr="007D685E">
        <w:trPr>
          <w:trHeight w:val="290"/>
          <w:jc w:val="center"/>
        </w:trPr>
        <w:tc>
          <w:tcPr>
            <w:tcW w:w="960" w:type="dxa"/>
            <w:noWrap/>
            <w:vAlign w:val="bottom"/>
            <w:hideMark/>
          </w:tcPr>
          <w:p w14:paraId="02AD2701"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13</w:t>
            </w:r>
          </w:p>
        </w:tc>
        <w:tc>
          <w:tcPr>
            <w:tcW w:w="1920" w:type="dxa"/>
            <w:noWrap/>
            <w:vAlign w:val="bottom"/>
            <w:hideMark/>
          </w:tcPr>
          <w:p w14:paraId="47BE0404"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E2025013249</w:t>
            </w:r>
          </w:p>
        </w:tc>
        <w:tc>
          <w:tcPr>
            <w:tcW w:w="2760" w:type="dxa"/>
            <w:noWrap/>
            <w:vAlign w:val="bottom"/>
            <w:hideMark/>
          </w:tcPr>
          <w:p w14:paraId="5FACDF33"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GRUPO EPM</w:t>
            </w:r>
          </w:p>
        </w:tc>
      </w:tr>
      <w:tr w:rsidR="001E7F8E" w:rsidRPr="007E63A2" w14:paraId="120135D4" w14:textId="77777777" w:rsidTr="007D685E">
        <w:trPr>
          <w:trHeight w:val="290"/>
          <w:jc w:val="center"/>
        </w:trPr>
        <w:tc>
          <w:tcPr>
            <w:tcW w:w="960" w:type="dxa"/>
            <w:noWrap/>
            <w:vAlign w:val="bottom"/>
            <w:hideMark/>
          </w:tcPr>
          <w:p w14:paraId="210B51DE"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14</w:t>
            </w:r>
          </w:p>
        </w:tc>
        <w:tc>
          <w:tcPr>
            <w:tcW w:w="1920" w:type="dxa"/>
            <w:noWrap/>
            <w:vAlign w:val="bottom"/>
            <w:hideMark/>
          </w:tcPr>
          <w:p w14:paraId="4A507E99"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E2025013250</w:t>
            </w:r>
          </w:p>
        </w:tc>
        <w:tc>
          <w:tcPr>
            <w:tcW w:w="2760" w:type="dxa"/>
            <w:noWrap/>
            <w:vAlign w:val="bottom"/>
            <w:hideMark/>
          </w:tcPr>
          <w:p w14:paraId="0D15A254"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UNERGY</w:t>
            </w:r>
          </w:p>
        </w:tc>
      </w:tr>
      <w:tr w:rsidR="001E7F8E" w:rsidRPr="007E63A2" w14:paraId="41061CE3" w14:textId="77777777" w:rsidTr="007D685E">
        <w:trPr>
          <w:trHeight w:val="290"/>
          <w:jc w:val="center"/>
        </w:trPr>
        <w:tc>
          <w:tcPr>
            <w:tcW w:w="960" w:type="dxa"/>
            <w:noWrap/>
            <w:vAlign w:val="bottom"/>
            <w:hideMark/>
          </w:tcPr>
          <w:p w14:paraId="537ABA2A"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15</w:t>
            </w:r>
          </w:p>
        </w:tc>
        <w:tc>
          <w:tcPr>
            <w:tcW w:w="1920" w:type="dxa"/>
            <w:noWrap/>
            <w:vAlign w:val="bottom"/>
            <w:hideMark/>
          </w:tcPr>
          <w:p w14:paraId="2644C749"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E2025013253</w:t>
            </w:r>
          </w:p>
        </w:tc>
        <w:tc>
          <w:tcPr>
            <w:tcW w:w="2760" w:type="dxa"/>
            <w:noWrap/>
            <w:vAlign w:val="bottom"/>
            <w:hideMark/>
          </w:tcPr>
          <w:p w14:paraId="379DEFD2"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SOLENIUM</w:t>
            </w:r>
          </w:p>
        </w:tc>
      </w:tr>
      <w:tr w:rsidR="001E7F8E" w:rsidRPr="007E63A2" w14:paraId="22CC5B0D" w14:textId="77777777" w:rsidTr="007D685E">
        <w:trPr>
          <w:trHeight w:val="290"/>
          <w:jc w:val="center"/>
        </w:trPr>
        <w:tc>
          <w:tcPr>
            <w:tcW w:w="960" w:type="dxa"/>
            <w:noWrap/>
            <w:vAlign w:val="bottom"/>
            <w:hideMark/>
          </w:tcPr>
          <w:p w14:paraId="228F02E3"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16</w:t>
            </w:r>
          </w:p>
        </w:tc>
        <w:tc>
          <w:tcPr>
            <w:tcW w:w="1920" w:type="dxa"/>
            <w:noWrap/>
            <w:vAlign w:val="bottom"/>
            <w:hideMark/>
          </w:tcPr>
          <w:p w14:paraId="636E90CF"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E2025013255</w:t>
            </w:r>
          </w:p>
        </w:tc>
        <w:tc>
          <w:tcPr>
            <w:tcW w:w="2760" w:type="dxa"/>
            <w:noWrap/>
            <w:vAlign w:val="bottom"/>
            <w:hideMark/>
          </w:tcPr>
          <w:p w14:paraId="23B646F1"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ASOCODIS</w:t>
            </w:r>
          </w:p>
        </w:tc>
      </w:tr>
      <w:tr w:rsidR="001E7F8E" w:rsidRPr="007E63A2" w14:paraId="71CA386A" w14:textId="77777777" w:rsidTr="007D685E">
        <w:trPr>
          <w:trHeight w:val="290"/>
          <w:jc w:val="center"/>
        </w:trPr>
        <w:tc>
          <w:tcPr>
            <w:tcW w:w="960" w:type="dxa"/>
            <w:noWrap/>
            <w:vAlign w:val="bottom"/>
            <w:hideMark/>
          </w:tcPr>
          <w:p w14:paraId="14CDD0DA"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17</w:t>
            </w:r>
          </w:p>
        </w:tc>
        <w:tc>
          <w:tcPr>
            <w:tcW w:w="1920" w:type="dxa"/>
            <w:noWrap/>
            <w:vAlign w:val="bottom"/>
            <w:hideMark/>
          </w:tcPr>
          <w:p w14:paraId="36D1E77B"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E2025013257</w:t>
            </w:r>
          </w:p>
        </w:tc>
        <w:tc>
          <w:tcPr>
            <w:tcW w:w="2760" w:type="dxa"/>
            <w:noWrap/>
            <w:vAlign w:val="bottom"/>
            <w:hideMark/>
          </w:tcPr>
          <w:p w14:paraId="2DAA1A93"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AIRE</w:t>
            </w:r>
          </w:p>
        </w:tc>
      </w:tr>
      <w:tr w:rsidR="001E7F8E" w:rsidRPr="007E63A2" w14:paraId="7FD5E815" w14:textId="77777777" w:rsidTr="007D685E">
        <w:trPr>
          <w:trHeight w:val="290"/>
          <w:jc w:val="center"/>
        </w:trPr>
        <w:tc>
          <w:tcPr>
            <w:tcW w:w="960" w:type="dxa"/>
            <w:noWrap/>
            <w:vAlign w:val="bottom"/>
            <w:hideMark/>
          </w:tcPr>
          <w:p w14:paraId="75E3317E"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18</w:t>
            </w:r>
          </w:p>
        </w:tc>
        <w:tc>
          <w:tcPr>
            <w:tcW w:w="1920" w:type="dxa"/>
            <w:noWrap/>
            <w:vAlign w:val="bottom"/>
            <w:hideMark/>
          </w:tcPr>
          <w:p w14:paraId="27EE99B3"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E2025013279</w:t>
            </w:r>
          </w:p>
        </w:tc>
        <w:tc>
          <w:tcPr>
            <w:tcW w:w="2760" w:type="dxa"/>
            <w:noWrap/>
            <w:vAlign w:val="bottom"/>
            <w:hideMark/>
          </w:tcPr>
          <w:p w14:paraId="078B234D"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SUN FACTORY</w:t>
            </w:r>
          </w:p>
        </w:tc>
      </w:tr>
      <w:tr w:rsidR="001E7F8E" w:rsidRPr="007E63A2" w14:paraId="4BD6BF97" w14:textId="77777777" w:rsidTr="007D685E">
        <w:trPr>
          <w:trHeight w:val="290"/>
          <w:jc w:val="center"/>
        </w:trPr>
        <w:tc>
          <w:tcPr>
            <w:tcW w:w="960" w:type="dxa"/>
            <w:noWrap/>
            <w:vAlign w:val="bottom"/>
            <w:hideMark/>
          </w:tcPr>
          <w:p w14:paraId="4C3566CA"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19</w:t>
            </w:r>
          </w:p>
        </w:tc>
        <w:tc>
          <w:tcPr>
            <w:tcW w:w="1920" w:type="dxa"/>
            <w:noWrap/>
            <w:vAlign w:val="bottom"/>
            <w:hideMark/>
          </w:tcPr>
          <w:p w14:paraId="37B52248"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E2025013346</w:t>
            </w:r>
          </w:p>
        </w:tc>
        <w:tc>
          <w:tcPr>
            <w:tcW w:w="2760" w:type="dxa"/>
            <w:noWrap/>
            <w:vAlign w:val="bottom"/>
            <w:hideMark/>
          </w:tcPr>
          <w:p w14:paraId="3AF10843" w14:textId="77777777" w:rsidR="001E7F8E" w:rsidRPr="007E63A2" w:rsidRDefault="001E7F8E" w:rsidP="007D685E">
            <w:pPr>
              <w:jc w:val="center"/>
              <w:rPr>
                <w:rFonts w:ascii="Verdana" w:hAnsi="Verdana" w:cs="Calibri"/>
                <w:color w:val="000000"/>
                <w:sz w:val="22"/>
                <w:szCs w:val="22"/>
                <w:lang w:eastAsia="zh-CN"/>
              </w:rPr>
            </w:pPr>
            <w:r w:rsidRPr="007E63A2">
              <w:rPr>
                <w:rFonts w:ascii="Verdana" w:hAnsi="Verdana" w:cs="Calibri"/>
                <w:color w:val="000000"/>
                <w:sz w:val="22"/>
                <w:szCs w:val="22"/>
                <w:lang w:eastAsia="zh-CN"/>
              </w:rPr>
              <w:t>ACCE</w:t>
            </w:r>
          </w:p>
        </w:tc>
      </w:tr>
    </w:tbl>
    <w:p w14:paraId="29FBA77E" w14:textId="77777777" w:rsidR="00BB2C81" w:rsidRPr="007E63A2" w:rsidRDefault="00BB2C81" w:rsidP="002F590C">
      <w:pPr>
        <w:spacing w:line="276" w:lineRule="auto"/>
        <w:rPr>
          <w:rFonts w:cs="Arial"/>
          <w:color w:val="000000"/>
          <w:lang w:eastAsia="es-CO"/>
        </w:rPr>
      </w:pPr>
    </w:p>
    <w:p w14:paraId="037FDFC7" w14:textId="3B7F2416" w:rsidR="00FD783C" w:rsidRPr="007E63A2" w:rsidRDefault="00FD783C" w:rsidP="002F590C">
      <w:pPr>
        <w:spacing w:line="276" w:lineRule="auto"/>
        <w:rPr>
          <w:rFonts w:cs="Arial"/>
          <w:color w:val="000000"/>
          <w:lang w:eastAsia="es-CO"/>
        </w:rPr>
      </w:pPr>
      <w:r w:rsidRPr="007E63A2">
        <w:rPr>
          <w:rFonts w:cs="Arial"/>
          <w:color w:val="000000"/>
          <w:lang w:eastAsia="es-CO"/>
        </w:rPr>
        <w:t xml:space="preserve">La respuesta a los comentarios se encuentra </w:t>
      </w:r>
      <w:r w:rsidR="0020136D" w:rsidRPr="007E63A2">
        <w:rPr>
          <w:rFonts w:cs="Arial"/>
          <w:color w:val="000000"/>
          <w:lang w:eastAsia="es-CO"/>
        </w:rPr>
        <w:t xml:space="preserve">en el Anexo </w:t>
      </w:r>
      <w:r w:rsidR="00266CDC" w:rsidRPr="007E63A2">
        <w:rPr>
          <w:rFonts w:cs="Arial"/>
          <w:color w:val="000000"/>
          <w:lang w:eastAsia="es-CO"/>
        </w:rPr>
        <w:t>2</w:t>
      </w:r>
      <w:r w:rsidR="0020136D" w:rsidRPr="007E63A2">
        <w:rPr>
          <w:rFonts w:cs="Arial"/>
          <w:color w:val="000000"/>
          <w:lang w:eastAsia="es-CO"/>
        </w:rPr>
        <w:t xml:space="preserve"> del presente documento</w:t>
      </w:r>
      <w:r w:rsidR="001004C2" w:rsidRPr="007E63A2">
        <w:rPr>
          <w:rFonts w:cs="Arial"/>
          <w:color w:val="000000"/>
          <w:lang w:eastAsia="es-CO"/>
        </w:rPr>
        <w:t>.</w:t>
      </w:r>
    </w:p>
    <w:p w14:paraId="4FE29091" w14:textId="77777777" w:rsidR="00FD783C" w:rsidRPr="007E63A2" w:rsidRDefault="00FD783C" w:rsidP="002F590C">
      <w:pPr>
        <w:spacing w:line="276" w:lineRule="auto"/>
        <w:rPr>
          <w:rFonts w:cs="Arial"/>
          <w:color w:val="000000"/>
          <w:lang w:eastAsia="es-CO"/>
        </w:rPr>
      </w:pPr>
    </w:p>
    <w:p w14:paraId="0F39A1A8" w14:textId="175013E3" w:rsidR="00FD783C" w:rsidRPr="007E63A2" w:rsidRDefault="000157C4" w:rsidP="00FD783C">
      <w:pPr>
        <w:pStyle w:val="Ttulo1"/>
        <w:numPr>
          <w:ilvl w:val="0"/>
          <w:numId w:val="1"/>
        </w:numPr>
        <w:spacing w:after="0" w:line="276" w:lineRule="auto"/>
        <w:ind w:left="431" w:hanging="431"/>
        <w:rPr>
          <w:sz w:val="22"/>
        </w:rPr>
      </w:pPr>
      <w:bookmarkStart w:id="21" w:name="_Toc212219336"/>
      <w:r w:rsidRPr="007E63A2">
        <w:rPr>
          <w:sz w:val="22"/>
        </w:rPr>
        <w:t xml:space="preserve">AJUSTES A LA PROPUESTA </w:t>
      </w:r>
      <w:r w:rsidR="00FD783C" w:rsidRPr="007E63A2">
        <w:rPr>
          <w:sz w:val="22"/>
        </w:rPr>
        <w:t>CONSULTADA</w:t>
      </w:r>
      <w:bookmarkEnd w:id="21"/>
    </w:p>
    <w:p w14:paraId="05DCD6D6" w14:textId="77777777" w:rsidR="00FD783C" w:rsidRPr="007E63A2" w:rsidRDefault="00FD783C" w:rsidP="00FD783C"/>
    <w:p w14:paraId="6C831DD3" w14:textId="5848516F" w:rsidR="00FD783C" w:rsidRPr="007E63A2" w:rsidRDefault="003332BB" w:rsidP="00FD783C">
      <w:r w:rsidRPr="007E63A2">
        <w:t xml:space="preserve">Con base en los comentarios allegados, </w:t>
      </w:r>
      <w:r w:rsidR="00730D18" w:rsidRPr="007E63A2">
        <w:t>se identifica</w:t>
      </w:r>
      <w:r w:rsidR="00285638" w:rsidRPr="007E63A2">
        <w:t xml:space="preserve"> la necesidad de realizar </w:t>
      </w:r>
      <w:r w:rsidR="00EC1616" w:rsidRPr="007E63A2">
        <w:t>cuatro</w:t>
      </w:r>
      <w:r w:rsidR="00285638" w:rsidRPr="007E63A2">
        <w:t xml:space="preserve"> ajustes a la propuesta consultada de forma que hagan parte de la versión definitiva de la resolución:</w:t>
      </w:r>
    </w:p>
    <w:p w14:paraId="3BAD1CAC" w14:textId="77777777" w:rsidR="00285638" w:rsidRPr="007E63A2" w:rsidRDefault="00285638" w:rsidP="00FD783C"/>
    <w:p w14:paraId="4052FF81" w14:textId="33788D66" w:rsidR="00285638" w:rsidRPr="007E63A2" w:rsidRDefault="00B63BFC" w:rsidP="00E65B93">
      <w:pPr>
        <w:pStyle w:val="Ttulo2"/>
        <w:ind w:left="578" w:hanging="578"/>
        <w:rPr>
          <w:lang w:eastAsia="es-CO"/>
        </w:rPr>
      </w:pPr>
      <w:bookmarkStart w:id="22" w:name="_Toc212219337"/>
      <w:r w:rsidRPr="007E63A2">
        <w:rPr>
          <w:lang w:eastAsia="es-CO"/>
        </w:rPr>
        <w:t>Ajuste al plazo de aplicación de</w:t>
      </w:r>
      <w:r w:rsidR="00E65B93" w:rsidRPr="007E63A2">
        <w:rPr>
          <w:lang w:eastAsia="es-CO"/>
        </w:rPr>
        <w:t>l</w:t>
      </w:r>
      <w:r w:rsidR="00A44FD3" w:rsidRPr="007E63A2">
        <w:rPr>
          <w:lang w:eastAsia="es-CO"/>
        </w:rPr>
        <w:t xml:space="preserve"> traslado del costo de compras de energía al valor del Mc</w:t>
      </w:r>
      <w:r w:rsidR="00A44FD3" w:rsidRPr="007E63A2">
        <w:rPr>
          <w:vertAlign w:val="subscript"/>
          <w:lang w:eastAsia="es-CO"/>
        </w:rPr>
        <w:t>m</w:t>
      </w:r>
      <w:r w:rsidR="00A44FD3" w:rsidRPr="007E63A2">
        <w:rPr>
          <w:lang w:eastAsia="es-CO"/>
        </w:rPr>
        <w:t>.</w:t>
      </w:r>
      <w:bookmarkEnd w:id="22"/>
    </w:p>
    <w:p w14:paraId="3BECD169" w14:textId="25455679" w:rsidR="00FD783C" w:rsidRPr="007E63A2" w:rsidRDefault="00E65B93" w:rsidP="00FD783C">
      <w:r w:rsidRPr="007E63A2">
        <w:t xml:space="preserve">Si bien la Comisión se encuentra trabajando en la propuesta para definir el traslado de compras de </w:t>
      </w:r>
      <w:r w:rsidR="00C620E1" w:rsidRPr="007E63A2">
        <w:t>excedentes a los AGPE, GD, AC y GDC</w:t>
      </w:r>
      <w:r w:rsidR="000908FF" w:rsidRPr="007E63A2">
        <w:t xml:space="preserve"> al componente de Generación del CU a través del G Transitorio</w:t>
      </w:r>
      <w:r w:rsidR="00281F7E" w:rsidRPr="007E63A2">
        <w:t xml:space="preserve"> cuando entre en aplicación el</w:t>
      </w:r>
      <w:r w:rsidR="000B4869" w:rsidRPr="007E63A2">
        <w:t xml:space="preserve"> </w:t>
      </w:r>
      <w:r w:rsidR="000908FF" w:rsidRPr="007E63A2">
        <w:t>Mc</w:t>
      </w:r>
      <w:r w:rsidR="00C620E1" w:rsidRPr="007E63A2">
        <w:t xml:space="preserve">, </w:t>
      </w:r>
      <w:r w:rsidR="000B4869" w:rsidRPr="007E63A2">
        <w:t>tanto empresas como gremios consideraron que la regla de aplicar</w:t>
      </w:r>
      <w:r w:rsidR="00DE1E72" w:rsidRPr="007E63A2">
        <w:t>la</w:t>
      </w:r>
      <w:r w:rsidR="000B4869" w:rsidRPr="007E63A2">
        <w:t xml:space="preserve"> al mes siguiente de expedida </w:t>
      </w:r>
      <w:r w:rsidR="00DE1E72" w:rsidRPr="007E63A2">
        <w:t>era insuficiente ya que deben realizar ajustes a sus procedimientos internos y a sus sistemas de información comercial de forma que la aplicación de la regla una vez sea expedida se realice sin contratiempos.</w:t>
      </w:r>
    </w:p>
    <w:p w14:paraId="2C217E58" w14:textId="77777777" w:rsidR="00DE1E72" w:rsidRPr="007E63A2" w:rsidRDefault="00DE1E72" w:rsidP="00FD783C"/>
    <w:p w14:paraId="310A23BD" w14:textId="6554B9BE" w:rsidR="00DE1E72" w:rsidRPr="007E63A2" w:rsidRDefault="00DE1E72" w:rsidP="00FD783C">
      <w:r w:rsidRPr="007E63A2">
        <w:t xml:space="preserve">Una vez realizados los análisis por parte de la CREG, </w:t>
      </w:r>
      <w:r w:rsidR="008A010F" w:rsidRPr="007E63A2">
        <w:t xml:space="preserve">se realiza el ajuste en los parágrafos de los artículos 2, 3 y 4 de la propuesta que modifican los artículos </w:t>
      </w:r>
      <w:r w:rsidR="001332E7" w:rsidRPr="007E63A2">
        <w:t xml:space="preserve">26, 27 y 28 de la Resolución CREG 101 072 de 2025 de forma que </w:t>
      </w:r>
      <w:r w:rsidR="00AA668A" w:rsidRPr="007E63A2">
        <w:t>el traslado de compras a Mc</w:t>
      </w:r>
      <w:r w:rsidR="00C449AA" w:rsidRPr="007E63A2">
        <w:rPr>
          <w:vertAlign w:val="subscript"/>
        </w:rPr>
        <w:t>m</w:t>
      </w:r>
      <w:r w:rsidR="00AA668A" w:rsidRPr="007E63A2">
        <w:t xml:space="preserve"> aplique </w:t>
      </w:r>
      <w:r w:rsidR="00C449AA" w:rsidRPr="007E63A2">
        <w:t>«</w:t>
      </w:r>
      <w:r w:rsidR="00CB5A00">
        <w:rPr>
          <w:i/>
          <w:iCs/>
        </w:rPr>
        <w:t>a partir</w:t>
      </w:r>
      <w:r w:rsidR="00CB5A00" w:rsidRPr="008D349B">
        <w:rPr>
          <w:i/>
          <w:iCs/>
        </w:rPr>
        <w:t xml:space="preserve"> del tercer mes </w:t>
      </w:r>
      <w:r w:rsidR="00CB5A00">
        <w:rPr>
          <w:i/>
          <w:iCs/>
        </w:rPr>
        <w:t xml:space="preserve">de la entrada en </w:t>
      </w:r>
      <w:r w:rsidR="00CB5A00" w:rsidRPr="008D349B">
        <w:rPr>
          <w:i/>
          <w:iCs/>
        </w:rPr>
        <w:t>vigencia</w:t>
      </w:r>
      <w:r w:rsidR="00CB5A00">
        <w:rPr>
          <w:i/>
          <w:iCs/>
        </w:rPr>
        <w:t xml:space="preserve"> de la </w:t>
      </w:r>
      <w:r w:rsidR="00CB5A00">
        <w:rPr>
          <w:i/>
          <w:iCs/>
        </w:rPr>
        <w:lastRenderedPageBreak/>
        <w:t>resolución con la cual se establezca la</w:t>
      </w:r>
      <w:r w:rsidR="00CB5A00" w:rsidRPr="008D349B">
        <w:rPr>
          <w:i/>
          <w:iCs/>
        </w:rPr>
        <w:t xml:space="preserve"> regla</w:t>
      </w:r>
      <w:r w:rsidR="00CB5A00" w:rsidRPr="007E63A2">
        <w:t xml:space="preserve"> </w:t>
      </w:r>
      <w:r w:rsidR="00C449AA" w:rsidRPr="007E63A2">
        <w:t xml:space="preserve">». De esta forma también se da tiempo para que los comercializadores puedan ajustar los contratos </w:t>
      </w:r>
      <w:r w:rsidR="00B026E3" w:rsidRPr="007E63A2">
        <w:t>con los AGPE, GD, AC y GDC.</w:t>
      </w:r>
    </w:p>
    <w:p w14:paraId="7F76718F" w14:textId="77777777" w:rsidR="00B026E3" w:rsidRPr="007E63A2" w:rsidRDefault="00B026E3" w:rsidP="00FD783C"/>
    <w:p w14:paraId="09AD243B" w14:textId="5FC4CAEA" w:rsidR="00B026E3" w:rsidRPr="007E63A2" w:rsidRDefault="00B026E3" w:rsidP="00B026E3">
      <w:pPr>
        <w:pStyle w:val="Ttulo2"/>
        <w:numPr>
          <w:ilvl w:val="1"/>
          <w:numId w:val="1"/>
        </w:numPr>
        <w:ind w:left="578" w:hanging="578"/>
        <w:rPr>
          <w:lang w:eastAsia="es-CO"/>
        </w:rPr>
      </w:pPr>
      <w:bookmarkStart w:id="23" w:name="_Toc212219338"/>
      <w:r w:rsidRPr="007E63A2">
        <w:rPr>
          <w:lang w:eastAsia="es-CO"/>
        </w:rPr>
        <w:t xml:space="preserve">Ajuste al punto ii) del literal d) del numeral 2.3 del </w:t>
      </w:r>
      <w:r w:rsidR="0073136B" w:rsidRPr="007E63A2">
        <w:rPr>
          <w:lang w:eastAsia="es-CO"/>
        </w:rPr>
        <w:t>artículo</w:t>
      </w:r>
      <w:r w:rsidRPr="007E63A2">
        <w:rPr>
          <w:lang w:eastAsia="es-CO"/>
        </w:rPr>
        <w:t xml:space="preserve"> 24 de la Resolución CREG 174 de 2021 </w:t>
      </w:r>
      <w:r w:rsidR="00122FEA">
        <w:rPr>
          <w:lang w:eastAsia="es-CO"/>
        </w:rPr>
        <w:t>incorporado</w:t>
      </w:r>
      <w:r w:rsidR="00D405DB" w:rsidRPr="007E63A2">
        <w:rPr>
          <w:lang w:eastAsia="es-CO"/>
        </w:rPr>
        <w:t xml:space="preserve"> por </w:t>
      </w:r>
      <w:r w:rsidR="00F338DC" w:rsidRPr="007E63A2">
        <w:rPr>
          <w:lang w:eastAsia="es-CO"/>
        </w:rPr>
        <w:t>el artículo 6 de la propuesta</w:t>
      </w:r>
      <w:bookmarkEnd w:id="23"/>
    </w:p>
    <w:p w14:paraId="679F158D" w14:textId="00A0C09E" w:rsidR="00B026E3" w:rsidRPr="007E63A2" w:rsidRDefault="007E5794" w:rsidP="00FD783C">
      <w:r w:rsidRPr="007E63A2">
        <w:t xml:space="preserve">Dentro de los comentarios allegados por XM S.A. E.S.P. en su calidad de ASIC, </w:t>
      </w:r>
      <w:r w:rsidR="009266B8" w:rsidRPr="007E63A2">
        <w:t xml:space="preserve">sugiere a la Comisión </w:t>
      </w:r>
      <w:r w:rsidR="00933566" w:rsidRPr="007E63A2">
        <w:t>que,</w:t>
      </w:r>
      <w:r w:rsidR="009266B8" w:rsidRPr="007E63A2">
        <w:t xml:space="preserve"> para tener mayor claridad en</w:t>
      </w:r>
      <w:r w:rsidR="00933566" w:rsidRPr="007E63A2">
        <w:t xml:space="preserve"> cuanto a que el factor FA del que trata el numeral 2 del Anexo 7 de la Resolución CREG 071 de 2006</w:t>
      </w:r>
      <w:r w:rsidR="00FC47D2" w:rsidRPr="007E63A2">
        <w:t xml:space="preserve"> siempre deber ser igual a 1,</w:t>
      </w:r>
      <w:r w:rsidR="00933566" w:rsidRPr="007E63A2">
        <w:t xml:space="preserve"> </w:t>
      </w:r>
      <w:r w:rsidR="009266B8" w:rsidRPr="007E63A2">
        <w:t>se incorpore dentro de la resolución definitiva el siguiente texto</w:t>
      </w:r>
      <w:r w:rsidR="008F476C" w:rsidRPr="007E63A2">
        <w:t xml:space="preserve"> del punto ii)</w:t>
      </w:r>
      <w:r w:rsidR="009266B8" w:rsidRPr="007E63A2">
        <w:t>:</w:t>
      </w:r>
    </w:p>
    <w:p w14:paraId="16852BE1" w14:textId="77777777" w:rsidR="009266B8" w:rsidRPr="007E63A2" w:rsidRDefault="009266B8" w:rsidP="00FD783C"/>
    <w:p w14:paraId="48153FA5" w14:textId="0E76EE1E" w:rsidR="007E1B00" w:rsidRPr="007E63A2" w:rsidRDefault="007E1B00" w:rsidP="007E1B00">
      <w:pPr>
        <w:ind w:left="708" w:firstLine="2"/>
      </w:pPr>
      <w:r w:rsidRPr="007E63A2">
        <w:t xml:space="preserve">«(…) </w:t>
      </w:r>
      <w:r w:rsidRPr="007E63A2">
        <w:rPr>
          <w:i/>
          <w:iCs/>
          <w:sz w:val="22"/>
          <w:szCs w:val="22"/>
        </w:rPr>
        <w:t>y deberá estar reflejado en el Numeral 2 del Anexo 7 de la Resolución CREG 071 de 2006 y aquellas que la adicionan, modifican o sustituyan, tal como se realiza con los recursos no despachados centralmente.</w:t>
      </w:r>
      <w:r w:rsidRPr="007E63A2">
        <w:t>»</w:t>
      </w:r>
    </w:p>
    <w:p w14:paraId="4A258CF8" w14:textId="77777777" w:rsidR="00A72187" w:rsidRPr="007E63A2" w:rsidRDefault="00A72187" w:rsidP="00A72187"/>
    <w:p w14:paraId="4D00A15B" w14:textId="21402912" w:rsidR="00A72187" w:rsidRPr="007E63A2" w:rsidRDefault="00A72187" w:rsidP="00A72187">
      <w:r w:rsidRPr="007E63A2">
        <w:t xml:space="preserve">La Comisión </w:t>
      </w:r>
      <w:r w:rsidR="008C3783">
        <w:t>acepta el comentario</w:t>
      </w:r>
      <w:r w:rsidRPr="007E63A2">
        <w:t xml:space="preserve"> y realiza el ajuste solicitado.</w:t>
      </w:r>
    </w:p>
    <w:p w14:paraId="724CFB38" w14:textId="77777777" w:rsidR="009266B8" w:rsidRPr="007E63A2" w:rsidRDefault="009266B8" w:rsidP="00FD783C"/>
    <w:p w14:paraId="7D3F8A64" w14:textId="6D58ECEA" w:rsidR="00B026E3" w:rsidRPr="007E63A2" w:rsidRDefault="007623B4" w:rsidP="006F6212">
      <w:pPr>
        <w:pStyle w:val="Ttulo2"/>
        <w:numPr>
          <w:ilvl w:val="1"/>
          <w:numId w:val="1"/>
        </w:numPr>
        <w:ind w:left="578" w:hanging="578"/>
      </w:pPr>
      <w:bookmarkStart w:id="24" w:name="_Toc212219339"/>
      <w:r w:rsidRPr="007E63A2">
        <w:rPr>
          <w:lang w:eastAsia="es-CO"/>
        </w:rPr>
        <w:t xml:space="preserve">Incorporación de un plazo para </w:t>
      </w:r>
      <w:r w:rsidR="00A25A7F" w:rsidRPr="007E63A2">
        <w:rPr>
          <w:lang w:eastAsia="es-CO"/>
        </w:rPr>
        <w:t>aplicar los ajustes propuestos en los artículos 6 al 11 de la propuesta</w:t>
      </w:r>
      <w:bookmarkEnd w:id="24"/>
    </w:p>
    <w:p w14:paraId="2E307B11" w14:textId="74015F0B" w:rsidR="00A25A7F" w:rsidRPr="007E63A2" w:rsidRDefault="00A25A7F" w:rsidP="00616C37">
      <w:r w:rsidRPr="007E63A2">
        <w:t xml:space="preserve">Debido a las </w:t>
      </w:r>
      <w:r w:rsidR="0030674A" w:rsidRPr="007E63A2">
        <w:t>implicaciones en l</w:t>
      </w:r>
      <w:r w:rsidR="00B329EC" w:rsidRPr="007E63A2">
        <w:t xml:space="preserve">os cálculos de la bolsa de energía </w:t>
      </w:r>
      <w:r w:rsidR="00FA0009" w:rsidRPr="007E63A2">
        <w:t xml:space="preserve">por parte del ASIC </w:t>
      </w:r>
      <w:r w:rsidR="00CE55A8" w:rsidRPr="007E63A2">
        <w:t>mediante</w:t>
      </w:r>
      <w:r w:rsidR="00FA0009" w:rsidRPr="007E63A2">
        <w:t xml:space="preserve"> </w:t>
      </w:r>
      <w:r w:rsidR="00AC491D" w:rsidRPr="007E63A2">
        <w:t xml:space="preserve">la </w:t>
      </w:r>
      <w:r w:rsidR="00FA0009" w:rsidRPr="007E63A2">
        <w:t xml:space="preserve">incorporación </w:t>
      </w:r>
      <w:r w:rsidR="00CE55A8" w:rsidRPr="007E63A2">
        <w:t xml:space="preserve">de los excedentes negativos resultado </w:t>
      </w:r>
      <w:r w:rsidR="00FA0009" w:rsidRPr="007E63A2">
        <w:t>del caso de borde</w:t>
      </w:r>
      <w:r w:rsidR="00CE55A8" w:rsidRPr="007E63A2">
        <w:t xml:space="preserve"> </w:t>
      </w:r>
      <w:r w:rsidR="00FA0009" w:rsidRPr="007E63A2">
        <w:t xml:space="preserve">a través de los ajustes </w:t>
      </w:r>
      <w:r w:rsidR="00CC1BB1" w:rsidRPr="007E63A2">
        <w:t xml:space="preserve">propuestos </w:t>
      </w:r>
      <w:r w:rsidR="00923A8E" w:rsidRPr="007E63A2">
        <w:t>en los</w:t>
      </w:r>
      <w:r w:rsidR="00FA0009" w:rsidRPr="007E63A2">
        <w:t xml:space="preserve"> artículos 6, 7, 8, 9, 10 y 11 </w:t>
      </w:r>
      <w:r w:rsidR="00CC1BB1" w:rsidRPr="007E63A2">
        <w:t>que impacta</w:t>
      </w:r>
      <w:r w:rsidR="00923A8E" w:rsidRPr="007E63A2">
        <w:t>n</w:t>
      </w:r>
      <w:r w:rsidR="00CC1BB1" w:rsidRPr="007E63A2">
        <w:t xml:space="preserve"> las Resoluciones CREG 174 de 2021, CREG 071 de 2006, CREG 232 de 2015 y CREG 024 de 1995</w:t>
      </w:r>
      <w:r w:rsidR="00923A8E" w:rsidRPr="007E63A2">
        <w:t>, XM S.A. E.S.P. solicit</w:t>
      </w:r>
      <w:r w:rsidR="00D31DC2" w:rsidRPr="007E63A2">
        <w:t>a</w:t>
      </w:r>
      <w:r w:rsidR="00923A8E" w:rsidRPr="007E63A2">
        <w:t xml:space="preserve"> se otorgue un plazo de tres meses </w:t>
      </w:r>
      <w:r w:rsidR="00D31DC2" w:rsidRPr="007E63A2">
        <w:t xml:space="preserve">para que el ASIC realice los ajustes y pueda iniciar con la aplicación </w:t>
      </w:r>
      <w:r w:rsidR="00616C37" w:rsidRPr="007E63A2">
        <w:t>de las disposiciones definidas en la resolución.</w:t>
      </w:r>
    </w:p>
    <w:p w14:paraId="11C6435E" w14:textId="77777777" w:rsidR="009E48B7" w:rsidRPr="007E63A2" w:rsidRDefault="009E48B7" w:rsidP="00616C37"/>
    <w:p w14:paraId="418F0C80" w14:textId="431CFF34" w:rsidR="009E48B7" w:rsidRPr="007E63A2" w:rsidRDefault="009E48B7" w:rsidP="00616C37">
      <w:r w:rsidRPr="007E63A2">
        <w:t xml:space="preserve">En un espacio realizado con XM con el objeto de entender por parte de la CREG </w:t>
      </w:r>
      <w:r w:rsidR="005239F5" w:rsidRPr="007E63A2">
        <w:t xml:space="preserve">el plazo solicitado, el ASIC argumenta </w:t>
      </w:r>
      <w:r w:rsidR="0004308C" w:rsidRPr="007E63A2">
        <w:t>que los tres meses son requeridos porque se impactan cuatro procesos:</w:t>
      </w:r>
    </w:p>
    <w:p w14:paraId="459E6887" w14:textId="77777777" w:rsidR="0004308C" w:rsidRPr="007E63A2" w:rsidRDefault="0004308C" w:rsidP="00616C37"/>
    <w:tbl>
      <w:tblPr>
        <w:tblStyle w:val="Tablaconcuadrcula"/>
        <w:tblW w:w="0" w:type="auto"/>
        <w:tblLook w:val="04A0" w:firstRow="1" w:lastRow="0" w:firstColumn="1" w:lastColumn="0" w:noHBand="0" w:noVBand="1"/>
      </w:tblPr>
      <w:tblGrid>
        <w:gridCol w:w="2547"/>
        <w:gridCol w:w="6283"/>
      </w:tblGrid>
      <w:tr w:rsidR="00806B9D" w:rsidRPr="007E63A2" w14:paraId="1B803238" w14:textId="77777777" w:rsidTr="001C69A2">
        <w:trPr>
          <w:tblHeader/>
        </w:trPr>
        <w:tc>
          <w:tcPr>
            <w:tcW w:w="2547" w:type="dxa"/>
            <w:shd w:val="clear" w:color="auto" w:fill="D9D9D9" w:themeFill="background1" w:themeFillShade="D9"/>
          </w:tcPr>
          <w:p w14:paraId="6DD456F9" w14:textId="6D55B95F" w:rsidR="00806B9D" w:rsidRPr="007E63A2" w:rsidRDefault="00806B9D" w:rsidP="001C69A2">
            <w:pPr>
              <w:jc w:val="center"/>
              <w:rPr>
                <w:b/>
                <w:bCs/>
                <w:sz w:val="22"/>
                <w:szCs w:val="22"/>
              </w:rPr>
            </w:pPr>
            <w:r w:rsidRPr="007E63A2">
              <w:rPr>
                <w:b/>
                <w:bCs/>
                <w:sz w:val="22"/>
                <w:szCs w:val="22"/>
              </w:rPr>
              <w:t>Impacto en</w:t>
            </w:r>
          </w:p>
        </w:tc>
        <w:tc>
          <w:tcPr>
            <w:tcW w:w="6283" w:type="dxa"/>
            <w:shd w:val="clear" w:color="auto" w:fill="D9D9D9" w:themeFill="background1" w:themeFillShade="D9"/>
          </w:tcPr>
          <w:p w14:paraId="06198140" w14:textId="5C922301" w:rsidR="00806B9D" w:rsidRPr="007E63A2" w:rsidRDefault="001C69A2" w:rsidP="001C69A2">
            <w:pPr>
              <w:jc w:val="center"/>
              <w:rPr>
                <w:b/>
                <w:bCs/>
                <w:sz w:val="22"/>
                <w:szCs w:val="22"/>
              </w:rPr>
            </w:pPr>
            <w:r w:rsidRPr="007E63A2">
              <w:rPr>
                <w:b/>
                <w:bCs/>
                <w:sz w:val="22"/>
                <w:szCs w:val="22"/>
              </w:rPr>
              <w:t>Observación</w:t>
            </w:r>
          </w:p>
        </w:tc>
      </w:tr>
      <w:tr w:rsidR="00E50546" w:rsidRPr="007E63A2" w14:paraId="2D4F1C91" w14:textId="77777777" w:rsidTr="00C155DE">
        <w:tc>
          <w:tcPr>
            <w:tcW w:w="2547" w:type="dxa"/>
            <w:vAlign w:val="center"/>
          </w:tcPr>
          <w:p w14:paraId="6CD30F53" w14:textId="7E009224" w:rsidR="00E50546" w:rsidRPr="007E63A2" w:rsidRDefault="00806B9D" w:rsidP="00C155DE">
            <w:pPr>
              <w:jc w:val="center"/>
              <w:rPr>
                <w:sz w:val="22"/>
                <w:szCs w:val="22"/>
              </w:rPr>
            </w:pPr>
            <w:r w:rsidRPr="007E63A2">
              <w:rPr>
                <w:sz w:val="22"/>
                <w:szCs w:val="22"/>
              </w:rPr>
              <w:t>D</w:t>
            </w:r>
            <w:r w:rsidR="00461EF9" w:rsidRPr="007E63A2">
              <w:rPr>
                <w:sz w:val="22"/>
                <w:szCs w:val="22"/>
              </w:rPr>
              <w:t>emandas</w:t>
            </w:r>
          </w:p>
        </w:tc>
        <w:tc>
          <w:tcPr>
            <w:tcW w:w="6283" w:type="dxa"/>
            <w:vAlign w:val="center"/>
          </w:tcPr>
          <w:p w14:paraId="77FFD9B0" w14:textId="61FF9B0E" w:rsidR="00E50546" w:rsidRPr="007E63A2" w:rsidRDefault="00C155DE" w:rsidP="00C155DE">
            <w:pPr>
              <w:jc w:val="left"/>
              <w:rPr>
                <w:sz w:val="22"/>
                <w:szCs w:val="22"/>
              </w:rPr>
            </w:pPr>
            <w:r w:rsidRPr="007E63A2">
              <w:rPr>
                <w:sz w:val="22"/>
                <w:szCs w:val="22"/>
              </w:rPr>
              <w:t xml:space="preserve">- </w:t>
            </w:r>
            <w:r w:rsidR="00EA27DA" w:rsidRPr="007E63A2">
              <w:rPr>
                <w:sz w:val="22"/>
                <w:szCs w:val="22"/>
              </w:rPr>
              <w:t>Tratamiento de los excedentes negativos</w:t>
            </w:r>
          </w:p>
        </w:tc>
      </w:tr>
      <w:tr w:rsidR="00E50546" w:rsidRPr="007E63A2" w14:paraId="6BB2C8FF" w14:textId="77777777" w:rsidTr="00C155DE">
        <w:tc>
          <w:tcPr>
            <w:tcW w:w="2547" w:type="dxa"/>
            <w:vAlign w:val="center"/>
          </w:tcPr>
          <w:p w14:paraId="460957BF" w14:textId="71BC4906" w:rsidR="00E50546" w:rsidRPr="007E63A2" w:rsidRDefault="00EA27DA" w:rsidP="00C155DE">
            <w:pPr>
              <w:jc w:val="center"/>
              <w:rPr>
                <w:sz w:val="22"/>
                <w:szCs w:val="22"/>
              </w:rPr>
            </w:pPr>
            <w:r w:rsidRPr="007E63A2">
              <w:rPr>
                <w:sz w:val="22"/>
                <w:szCs w:val="22"/>
              </w:rPr>
              <w:t>Despacho ideal</w:t>
            </w:r>
          </w:p>
        </w:tc>
        <w:tc>
          <w:tcPr>
            <w:tcW w:w="6283" w:type="dxa"/>
            <w:vAlign w:val="center"/>
          </w:tcPr>
          <w:p w14:paraId="754499FA" w14:textId="77777777" w:rsidR="00EA27DA" w:rsidRPr="007E63A2" w:rsidRDefault="00EA27DA" w:rsidP="00C155DE">
            <w:pPr>
              <w:jc w:val="left"/>
              <w:rPr>
                <w:sz w:val="22"/>
                <w:szCs w:val="22"/>
              </w:rPr>
            </w:pPr>
            <w:r w:rsidRPr="007E63A2">
              <w:rPr>
                <w:sz w:val="22"/>
                <w:szCs w:val="22"/>
              </w:rPr>
              <w:t>- Carga de datos, requerimos datos de comercializadores (ID, valor lectura frontera por periodo)</w:t>
            </w:r>
          </w:p>
          <w:p w14:paraId="63D3FE4F" w14:textId="14A23814" w:rsidR="00EA27DA" w:rsidRPr="007E63A2" w:rsidRDefault="00EA27DA" w:rsidP="00C155DE">
            <w:pPr>
              <w:jc w:val="left"/>
              <w:rPr>
                <w:sz w:val="22"/>
                <w:szCs w:val="22"/>
              </w:rPr>
            </w:pPr>
            <w:r w:rsidRPr="007E63A2">
              <w:rPr>
                <w:sz w:val="22"/>
                <w:szCs w:val="22"/>
              </w:rPr>
              <w:t>- Crear Modulo para almacenar y administrar los comercializadores con excedentes</w:t>
            </w:r>
          </w:p>
          <w:p w14:paraId="56D00B84" w14:textId="544F6FE5" w:rsidR="00EA27DA" w:rsidRPr="007E63A2" w:rsidRDefault="00EA27DA" w:rsidP="00C155DE">
            <w:pPr>
              <w:jc w:val="left"/>
              <w:rPr>
                <w:sz w:val="22"/>
                <w:szCs w:val="22"/>
              </w:rPr>
            </w:pPr>
            <w:r w:rsidRPr="007E63A2">
              <w:rPr>
                <w:sz w:val="22"/>
                <w:szCs w:val="22"/>
              </w:rPr>
              <w:t>- Modelo de optimización (se consideraría en la base)</w:t>
            </w:r>
          </w:p>
          <w:p w14:paraId="6F780DB5" w14:textId="4637C1FF" w:rsidR="00E50546" w:rsidRPr="007E63A2" w:rsidRDefault="00EA27DA" w:rsidP="00C155DE">
            <w:pPr>
              <w:jc w:val="left"/>
              <w:rPr>
                <w:sz w:val="22"/>
                <w:szCs w:val="22"/>
              </w:rPr>
            </w:pPr>
            <w:r w:rsidRPr="007E63A2">
              <w:rPr>
                <w:sz w:val="22"/>
                <w:szCs w:val="22"/>
              </w:rPr>
              <w:t>- Cálculos (MPOs, Desagregación de Generaciones Ideales, Deltas de Incremento)</w:t>
            </w:r>
          </w:p>
        </w:tc>
      </w:tr>
      <w:tr w:rsidR="00E50546" w:rsidRPr="008C3783" w14:paraId="4B690CB0" w14:textId="77777777" w:rsidTr="00C155DE">
        <w:tc>
          <w:tcPr>
            <w:tcW w:w="2547" w:type="dxa"/>
            <w:vAlign w:val="center"/>
          </w:tcPr>
          <w:p w14:paraId="4F07A23E" w14:textId="58B16F52" w:rsidR="00E50546" w:rsidRPr="007E63A2" w:rsidRDefault="008D3229" w:rsidP="00C155DE">
            <w:pPr>
              <w:jc w:val="center"/>
              <w:rPr>
                <w:sz w:val="22"/>
                <w:szCs w:val="22"/>
              </w:rPr>
            </w:pPr>
            <w:r w:rsidRPr="007E63A2">
              <w:rPr>
                <w:sz w:val="22"/>
                <w:szCs w:val="22"/>
              </w:rPr>
              <w:t xml:space="preserve">Paso de Información a liquidación SIC (implica </w:t>
            </w:r>
            <w:r w:rsidRPr="007E63A2">
              <w:rPr>
                <w:sz w:val="22"/>
                <w:szCs w:val="22"/>
              </w:rPr>
              <w:lastRenderedPageBreak/>
              <w:t>crear nuevas tablas en PDN1)</w:t>
            </w:r>
          </w:p>
        </w:tc>
        <w:tc>
          <w:tcPr>
            <w:tcW w:w="6283" w:type="dxa"/>
            <w:vAlign w:val="center"/>
          </w:tcPr>
          <w:p w14:paraId="72E80DDF" w14:textId="36205AA4" w:rsidR="00E50546" w:rsidRPr="00310122" w:rsidRDefault="00C155DE" w:rsidP="00C155DE">
            <w:pPr>
              <w:jc w:val="left"/>
              <w:rPr>
                <w:sz w:val="22"/>
                <w:szCs w:val="22"/>
                <w:lang w:val="pt-PT"/>
              </w:rPr>
            </w:pPr>
            <w:r w:rsidRPr="00310122">
              <w:rPr>
                <w:sz w:val="22"/>
                <w:szCs w:val="22"/>
                <w:lang w:val="pt-PT"/>
              </w:rPr>
              <w:lastRenderedPageBreak/>
              <w:t xml:space="preserve">- </w:t>
            </w:r>
            <w:r w:rsidR="008D3229" w:rsidRPr="00310122">
              <w:rPr>
                <w:sz w:val="22"/>
                <w:szCs w:val="22"/>
                <w:lang w:val="pt-PT"/>
              </w:rPr>
              <w:t xml:space="preserve">Ajustar </w:t>
            </w:r>
            <w:r w:rsidR="001C69A2" w:rsidRPr="00310122">
              <w:rPr>
                <w:sz w:val="22"/>
                <w:szCs w:val="22"/>
                <w:lang w:val="pt-PT"/>
              </w:rPr>
              <w:t>r</w:t>
            </w:r>
            <w:r w:rsidR="008D3229" w:rsidRPr="00310122">
              <w:rPr>
                <w:sz w:val="22"/>
                <w:szCs w:val="22"/>
                <w:lang w:val="pt-PT"/>
              </w:rPr>
              <w:t>eportes (coloreado, cálculos, SSPD)</w:t>
            </w:r>
          </w:p>
        </w:tc>
      </w:tr>
      <w:tr w:rsidR="00E50546" w:rsidRPr="007E63A2" w14:paraId="4386F2E5" w14:textId="77777777" w:rsidTr="00C155DE">
        <w:tc>
          <w:tcPr>
            <w:tcW w:w="2547" w:type="dxa"/>
            <w:vAlign w:val="center"/>
          </w:tcPr>
          <w:p w14:paraId="18188C57" w14:textId="5F4A666F" w:rsidR="00E50546" w:rsidRPr="007E63A2" w:rsidRDefault="008D3229" w:rsidP="00C155DE">
            <w:pPr>
              <w:jc w:val="center"/>
              <w:rPr>
                <w:sz w:val="22"/>
                <w:szCs w:val="22"/>
              </w:rPr>
            </w:pPr>
            <w:r w:rsidRPr="007E63A2">
              <w:rPr>
                <w:sz w:val="22"/>
                <w:szCs w:val="22"/>
              </w:rPr>
              <w:t>Liquidación</w:t>
            </w:r>
          </w:p>
        </w:tc>
        <w:tc>
          <w:tcPr>
            <w:tcW w:w="6283" w:type="dxa"/>
            <w:vAlign w:val="center"/>
          </w:tcPr>
          <w:p w14:paraId="4285ADDB" w14:textId="42C057D2" w:rsidR="00806B9D" w:rsidRPr="007E63A2" w:rsidRDefault="00806B9D" w:rsidP="00C155DE">
            <w:pPr>
              <w:jc w:val="left"/>
              <w:rPr>
                <w:sz w:val="22"/>
                <w:szCs w:val="22"/>
              </w:rPr>
            </w:pPr>
            <w:r w:rsidRPr="007E63A2">
              <w:rPr>
                <w:sz w:val="22"/>
                <w:szCs w:val="22"/>
              </w:rPr>
              <w:t>- Calculo de la liquidación de excedentes negativo</w:t>
            </w:r>
          </w:p>
          <w:p w14:paraId="1D6B8B25" w14:textId="136CF822" w:rsidR="00806B9D" w:rsidRPr="007E63A2" w:rsidRDefault="00806B9D" w:rsidP="00C155DE">
            <w:pPr>
              <w:jc w:val="left"/>
              <w:rPr>
                <w:sz w:val="22"/>
                <w:szCs w:val="22"/>
              </w:rPr>
            </w:pPr>
            <w:r w:rsidRPr="007E63A2">
              <w:rPr>
                <w:sz w:val="22"/>
                <w:szCs w:val="22"/>
              </w:rPr>
              <w:t>- Compra y ventas en bolsa</w:t>
            </w:r>
          </w:p>
          <w:p w14:paraId="00CC9544" w14:textId="428593D5" w:rsidR="00E50546" w:rsidRPr="007E63A2" w:rsidRDefault="00806B9D" w:rsidP="00C155DE">
            <w:pPr>
              <w:jc w:val="left"/>
              <w:rPr>
                <w:sz w:val="22"/>
                <w:szCs w:val="22"/>
              </w:rPr>
            </w:pPr>
            <w:r w:rsidRPr="007E63A2">
              <w:rPr>
                <w:sz w:val="22"/>
                <w:szCs w:val="22"/>
              </w:rPr>
              <w:t>- Archivos soporte</w:t>
            </w:r>
          </w:p>
        </w:tc>
      </w:tr>
    </w:tbl>
    <w:p w14:paraId="13249DD8" w14:textId="77777777" w:rsidR="0004308C" w:rsidRPr="007E63A2" w:rsidRDefault="0004308C" w:rsidP="0004308C">
      <w:pPr>
        <w:jc w:val="center"/>
      </w:pPr>
    </w:p>
    <w:p w14:paraId="02E4910C" w14:textId="559B158E" w:rsidR="00616C37" w:rsidRPr="007E63A2" w:rsidRDefault="00616C37" w:rsidP="00616C37">
      <w:r w:rsidRPr="007E63A2">
        <w:t>Una vez analizado el comentario</w:t>
      </w:r>
      <w:r w:rsidR="00E162F4">
        <w:t xml:space="preserve"> y lo expuesto por el ASIC</w:t>
      </w:r>
      <w:r w:rsidRPr="007E63A2">
        <w:t xml:space="preserve">, la Comisión </w:t>
      </w:r>
      <w:r w:rsidR="008C3783">
        <w:t>acepta</w:t>
      </w:r>
      <w:r w:rsidRPr="007E63A2">
        <w:t xml:space="preserve"> la </w:t>
      </w:r>
      <w:r w:rsidR="005E3D4C">
        <w:t>solicitud</w:t>
      </w:r>
      <w:r w:rsidR="000118BB">
        <w:t xml:space="preserve"> incluyendo un periodo de tres meses para los ajustes requeridos.</w:t>
      </w:r>
    </w:p>
    <w:p w14:paraId="7A594800" w14:textId="77777777" w:rsidR="00C37516" w:rsidRPr="007E63A2" w:rsidRDefault="00C37516" w:rsidP="00616C37"/>
    <w:p w14:paraId="10230B7B" w14:textId="3377147D" w:rsidR="00C37516" w:rsidRPr="007E63A2" w:rsidRDefault="00C37516" w:rsidP="00C37516">
      <w:pPr>
        <w:pStyle w:val="Ttulo2"/>
        <w:numPr>
          <w:ilvl w:val="1"/>
          <w:numId w:val="1"/>
        </w:numPr>
        <w:ind w:left="578" w:hanging="578"/>
      </w:pPr>
      <w:bookmarkStart w:id="25" w:name="_Toc212219340"/>
      <w:r w:rsidRPr="007E63A2">
        <w:rPr>
          <w:lang w:eastAsia="es-CO"/>
        </w:rPr>
        <w:t xml:space="preserve">Incorporación </w:t>
      </w:r>
      <w:r w:rsidR="00CA27F1" w:rsidRPr="007E63A2">
        <w:rPr>
          <w:lang w:eastAsia="es-CO"/>
        </w:rPr>
        <w:t>de una regla</w:t>
      </w:r>
      <w:r w:rsidRPr="007E63A2">
        <w:rPr>
          <w:lang w:eastAsia="es-CO"/>
        </w:rPr>
        <w:t xml:space="preserve"> </w:t>
      </w:r>
      <w:r w:rsidR="00225434" w:rsidRPr="007E63A2">
        <w:rPr>
          <w:lang w:eastAsia="es-CO"/>
        </w:rPr>
        <w:t xml:space="preserve">para la entrada </w:t>
      </w:r>
      <w:r w:rsidR="00DB762C" w:rsidRPr="007E63A2">
        <w:rPr>
          <w:lang w:eastAsia="es-CO"/>
        </w:rPr>
        <w:t>en aplicación del procedimiento de conexión simplificado para GD menores a 5MW</w:t>
      </w:r>
      <w:bookmarkEnd w:id="25"/>
    </w:p>
    <w:p w14:paraId="411247B9" w14:textId="77777777" w:rsidR="00A15B73" w:rsidRPr="007E63A2" w:rsidRDefault="00DA1C77" w:rsidP="00F83BA5">
      <w:r w:rsidRPr="007E63A2">
        <w:t xml:space="preserve">El artículo 12 del proyecto en consulta </w:t>
      </w:r>
      <w:r w:rsidR="008B363D" w:rsidRPr="007E63A2">
        <w:t xml:space="preserve">propuso </w:t>
      </w:r>
      <w:r w:rsidR="0094575F" w:rsidRPr="007E63A2">
        <w:t xml:space="preserve">que un generador que </w:t>
      </w:r>
      <w:r w:rsidR="005D3FFC" w:rsidRPr="007E63A2">
        <w:t xml:space="preserve">se vincule a un GDC </w:t>
      </w:r>
      <w:r w:rsidR="006C4448" w:rsidRPr="007E63A2">
        <w:t xml:space="preserve">con </w:t>
      </w:r>
      <w:r w:rsidR="00DB7D6C" w:rsidRPr="007E63A2">
        <w:t>potencia máxima declarada menor a 5MW</w:t>
      </w:r>
      <w:r w:rsidRPr="007E63A2">
        <w:t xml:space="preserve"> </w:t>
      </w:r>
      <w:r w:rsidR="00DB7D6C" w:rsidRPr="007E63A2">
        <w:t xml:space="preserve">le serían aplicables </w:t>
      </w:r>
      <w:r w:rsidR="00334BA3" w:rsidRPr="007E63A2">
        <w:t>los procedimientos de conexión simplificada</w:t>
      </w:r>
      <w:r w:rsidR="00F83BA5" w:rsidRPr="007E63A2">
        <w:t>, sin embargo, se necesita un procedimiento especifico el cual se regulará en regulación independiente como se ha identificado en los comentarios al proyecto de resolución CREG 701 091 de 2025 (Autogeneración Remota y Productor Marginal Remoto).</w:t>
      </w:r>
    </w:p>
    <w:p w14:paraId="0BB3976F" w14:textId="77777777" w:rsidR="00A15B73" w:rsidRPr="007E63A2" w:rsidRDefault="00A15B73" w:rsidP="00F83BA5"/>
    <w:p w14:paraId="2D303D99" w14:textId="0BE67537" w:rsidR="00F83BA5" w:rsidRPr="007E63A2" w:rsidRDefault="00A15B73" w:rsidP="00F83BA5">
      <w:r w:rsidRPr="007E63A2">
        <w:t>En consecuencia, s</w:t>
      </w:r>
      <w:r w:rsidR="00F83BA5" w:rsidRPr="007E63A2">
        <w:t xml:space="preserve">e ajusta </w:t>
      </w:r>
      <w:r w:rsidRPr="007E63A2">
        <w:t>el</w:t>
      </w:r>
      <w:r w:rsidR="00F83BA5" w:rsidRPr="007E63A2">
        <w:t xml:space="preserve"> artículo </w:t>
      </w:r>
      <w:r w:rsidRPr="007E63A2">
        <w:t>para</w:t>
      </w:r>
      <w:r w:rsidR="00F83BA5" w:rsidRPr="007E63A2">
        <w:t xml:space="preserve"> que mientras la CREG no defina un </w:t>
      </w:r>
      <w:r w:rsidR="00523AC9" w:rsidRPr="007E63A2">
        <w:t>procedimiento</w:t>
      </w:r>
      <w:r w:rsidR="00F83BA5" w:rsidRPr="007E63A2">
        <w:t xml:space="preserve"> transitorio específico, se continú</w:t>
      </w:r>
      <w:r w:rsidR="00523AC9" w:rsidRPr="007E63A2">
        <w:t>e</w:t>
      </w:r>
      <w:r w:rsidR="00F83BA5" w:rsidRPr="007E63A2">
        <w:t xml:space="preserve"> aplicando lo dispuesto en la Resolución CREG 075 de 2021 para proyectos Clase 1.</w:t>
      </w:r>
      <w:r w:rsidR="00B03CEF">
        <w:t xml:space="preserve"> Así mismo, se incluye una disposición para que el </w:t>
      </w:r>
      <w:r w:rsidR="00DC6794">
        <w:t>interesado pueda desistir de</w:t>
      </w:r>
      <w:r w:rsidR="00480596">
        <w:t xml:space="preserve"> la solicitud</w:t>
      </w:r>
      <w:r w:rsidR="00DC6794">
        <w:t xml:space="preserve"> </w:t>
      </w:r>
      <w:r w:rsidR="00480596">
        <w:t xml:space="preserve">en curso </w:t>
      </w:r>
      <w:r w:rsidR="00DC6794">
        <w:t>ante la UPME</w:t>
      </w:r>
      <w:r w:rsidR="00480596">
        <w:t xml:space="preserve"> e inicie un nuevo proceso frente al OR.</w:t>
      </w:r>
    </w:p>
    <w:p w14:paraId="47139EC7" w14:textId="77777777" w:rsidR="00616C37" w:rsidRPr="007E63A2" w:rsidRDefault="00616C37" w:rsidP="00616C37"/>
    <w:p w14:paraId="6140D423" w14:textId="350E1A3F" w:rsidR="001E7F8E" w:rsidRPr="007E63A2" w:rsidRDefault="00317DBE" w:rsidP="001E7F8E">
      <w:pPr>
        <w:pStyle w:val="Ttulo1"/>
        <w:numPr>
          <w:ilvl w:val="0"/>
          <w:numId w:val="1"/>
        </w:numPr>
        <w:spacing w:after="0" w:line="276" w:lineRule="auto"/>
        <w:ind w:left="431" w:hanging="431"/>
        <w:rPr>
          <w:sz w:val="22"/>
        </w:rPr>
      </w:pPr>
      <w:bookmarkStart w:id="26" w:name="_Toc212219341"/>
      <w:r w:rsidRPr="007E63A2">
        <w:rPr>
          <w:sz w:val="22"/>
        </w:rPr>
        <w:t>CUESTIONARIO DE ABOGACÍA DE LA COMPETENCIA</w:t>
      </w:r>
      <w:bookmarkEnd w:id="26"/>
    </w:p>
    <w:p w14:paraId="30E1C349" w14:textId="77777777" w:rsidR="00B17E86" w:rsidRPr="007E63A2" w:rsidRDefault="00B17E86" w:rsidP="00BB2C81">
      <w:pPr>
        <w:spacing w:line="276" w:lineRule="auto"/>
        <w:rPr>
          <w:rFonts w:cs="Arial"/>
          <w:color w:val="000000"/>
          <w:lang w:eastAsia="es-CO"/>
        </w:rPr>
      </w:pPr>
    </w:p>
    <w:p w14:paraId="1DBC3A6B" w14:textId="77777777" w:rsidR="005B7E45" w:rsidRPr="007E63A2" w:rsidRDefault="005B7E45" w:rsidP="005B7E45">
      <w:pPr>
        <w:autoSpaceDE w:val="0"/>
        <w:autoSpaceDN w:val="0"/>
        <w:adjustRightInd w:val="0"/>
        <w:ind w:right="-108"/>
        <w:rPr>
          <w:i/>
          <w:spacing w:val="-5"/>
          <w:u w:val="single"/>
        </w:rPr>
      </w:pPr>
      <w:r w:rsidRPr="007E63A2">
        <w:rPr>
          <w:rFonts w:eastAsia="Calibri" w:cs="Arial"/>
          <w:b/>
          <w:i/>
          <w:spacing w:val="-5"/>
          <w:szCs w:val="24"/>
          <w:u w:val="single"/>
        </w:rPr>
        <w:t>Cuestionario de evaluación de la incidencia sobre la libre competencia de los actos administrativos expedidos con fines regulatorios.</w:t>
      </w:r>
    </w:p>
    <w:p w14:paraId="5919E3A0" w14:textId="77777777" w:rsidR="005B7E45" w:rsidRPr="007E63A2" w:rsidRDefault="005B7E45" w:rsidP="005B7E45">
      <w:pPr>
        <w:ind w:right="-3"/>
        <w:rPr>
          <w:rFonts w:cs="Arial"/>
          <w:spacing w:val="-5"/>
          <w:szCs w:val="24"/>
        </w:rPr>
      </w:pPr>
    </w:p>
    <w:p w14:paraId="513E5946" w14:textId="77777777" w:rsidR="005B7E45" w:rsidRPr="007E63A2" w:rsidRDefault="005B7E45" w:rsidP="005B7E45">
      <w:pPr>
        <w:ind w:right="-3"/>
        <w:rPr>
          <w:rFonts w:cs="Arial"/>
          <w:spacing w:val="-5"/>
          <w:szCs w:val="24"/>
        </w:rPr>
      </w:pPr>
      <w:r w:rsidRPr="007E63A2">
        <w:rPr>
          <w:rFonts w:cs="Arial"/>
          <w:spacing w:val="-5"/>
          <w:szCs w:val="24"/>
        </w:rPr>
        <w:t>En desarrollo de lo establecido en el artículo 7 de la Ley 1340 de 2009, el Ministerio de Comercio, Industria y Turismo expidió el Decreto 2897 de fecha 5 de agosto de 2010, compilado en el Decreto 1074 de 2015, en el que determinó las autoridades que deben informar a la Superintendencia de Industria y Comercio sobre los proyectos de acto administrativo que se proponen expedir con fines de regulación, así como las reglas aplicables para la rendición por parte de esa Superintendencia del concepto previo a que hace referencia el artículo 7 de la Ley 1340 de 2009. En desarrollo de lo establecido por el artículo 2.2.2.30.5 del Decreto 1074 de 2015, la Superintendencia de Industria y Comercio adoptó mediante Resolución 44649 de 2010 el cuestionario para la evaluación de la incidencia sobre la libre competencia de los proyectos de actos administrativos expedidos con fines regulatorios a que hace referencia el citado artículo del Decreto 1074 de 2015.</w:t>
      </w:r>
    </w:p>
    <w:p w14:paraId="5FF3BEB3" w14:textId="77777777" w:rsidR="005B7E45" w:rsidRPr="007E63A2" w:rsidRDefault="005B7E45" w:rsidP="005B7E45">
      <w:pPr>
        <w:ind w:right="-3"/>
        <w:rPr>
          <w:rFonts w:cs="Arial"/>
          <w:spacing w:val="-5"/>
          <w:szCs w:val="24"/>
        </w:rPr>
      </w:pPr>
    </w:p>
    <w:p w14:paraId="24E7C4ED" w14:textId="77777777" w:rsidR="005B7E45" w:rsidRPr="007E63A2" w:rsidRDefault="005B7E45" w:rsidP="005B7E45">
      <w:pPr>
        <w:ind w:right="-3"/>
        <w:rPr>
          <w:rFonts w:cs="Arial"/>
          <w:spacing w:val="-5"/>
          <w:szCs w:val="24"/>
        </w:rPr>
      </w:pPr>
      <w:r w:rsidRPr="007E63A2">
        <w:rPr>
          <w:rFonts w:cs="Arial"/>
          <w:spacing w:val="-5"/>
          <w:szCs w:val="24"/>
        </w:rPr>
        <w:lastRenderedPageBreak/>
        <w:t>A continuación, se presenta el análisis efectuado por la CREG, con base en el cuestionario adoptado por la SIC. Entre otros, para el diligenciamiento del cuestionario y buscar que el mismo se resuelva de manera objetiva, la CREG tuvo como referencia los parámetros y lineamientos establecidos en los documentos “Guía OCDE Herramientas para la Evaluación de la Competencia”</w:t>
      </w:r>
      <w:r w:rsidRPr="007E63A2">
        <w:rPr>
          <w:rFonts w:cs="Arial"/>
          <w:spacing w:val="-5"/>
          <w:szCs w:val="24"/>
          <w:vertAlign w:val="superscript"/>
        </w:rPr>
        <w:footnoteReference w:id="2"/>
      </w:r>
      <w:r w:rsidRPr="007E63A2">
        <w:rPr>
          <w:rFonts w:cs="Arial"/>
          <w:spacing w:val="-5"/>
          <w:szCs w:val="24"/>
        </w:rPr>
        <w:t>, “Cartilla para el Ejercicio de la Abogacía de la Competencia: Revisión de Proyectos de Regulación Estatal”</w:t>
      </w:r>
      <w:r w:rsidRPr="007E63A2">
        <w:rPr>
          <w:rFonts w:cs="Arial"/>
          <w:spacing w:val="-5"/>
          <w:szCs w:val="24"/>
          <w:vertAlign w:val="superscript"/>
        </w:rPr>
        <w:footnoteReference w:id="3"/>
      </w:r>
      <w:r w:rsidRPr="007E63A2">
        <w:rPr>
          <w:rFonts w:cs="Arial"/>
          <w:spacing w:val="-5"/>
          <w:szCs w:val="24"/>
        </w:rPr>
        <w:t>, “Guía para la Elaboración de los Estudios Técnico-Económicos en el Marco del Trámite de Abogacía de la Competencia”</w:t>
      </w:r>
      <w:r w:rsidRPr="007E63A2">
        <w:rPr>
          <w:rFonts w:cs="Arial"/>
          <w:spacing w:val="-5"/>
          <w:szCs w:val="24"/>
          <w:vertAlign w:val="superscript"/>
        </w:rPr>
        <w:footnoteReference w:id="4"/>
      </w:r>
      <w:r w:rsidRPr="007E63A2">
        <w:rPr>
          <w:rFonts w:cs="Arial"/>
          <w:spacing w:val="-5"/>
          <w:szCs w:val="24"/>
        </w:rPr>
        <w:t>, expedidos por dichas autoridades.</w:t>
      </w:r>
    </w:p>
    <w:p w14:paraId="7DCC328D" w14:textId="77777777" w:rsidR="005B7E45" w:rsidRPr="007E63A2" w:rsidRDefault="005B7E45" w:rsidP="007E70D7">
      <w:pPr>
        <w:spacing w:line="276" w:lineRule="auto"/>
        <w:rPr>
          <w:rFonts w:cs="Arial"/>
          <w:color w:val="000000"/>
          <w:lang w:eastAsia="es-CO"/>
        </w:rPr>
      </w:pPr>
    </w:p>
    <w:p w14:paraId="01EE7070" w14:textId="4937D3FB" w:rsidR="00AB2683" w:rsidRPr="007E63A2" w:rsidRDefault="00282B96" w:rsidP="007E70D7">
      <w:pPr>
        <w:spacing w:line="276" w:lineRule="auto"/>
        <w:rPr>
          <w:rFonts w:cs="Arial"/>
          <w:color w:val="000000"/>
          <w:lang w:eastAsia="es-CO"/>
        </w:rPr>
      </w:pPr>
      <w:r w:rsidRPr="007E63A2">
        <w:rPr>
          <w:rFonts w:cs="Arial"/>
          <w:color w:val="000000"/>
          <w:lang w:eastAsia="es-CO"/>
        </w:rPr>
        <w:t>Como resultado del diligenciamiento del formulario sobre prácticas restrictivas a la competencia, de conformidad con los establecido los artículos 2.2.2.30.4 y 2.2.2.30.5 del Decreto número 1074 de 2015 se concluyó que esta normativa no es restrictiva de la competencia. Por lo anterior, no se informó a la Superintendencia de Industria y</w:t>
      </w:r>
      <w:r w:rsidR="007E70D7" w:rsidRPr="007E63A2">
        <w:rPr>
          <w:rFonts w:cs="Arial"/>
          <w:color w:val="000000"/>
          <w:lang w:eastAsia="es-CO"/>
        </w:rPr>
        <w:t xml:space="preserve"> </w:t>
      </w:r>
      <w:r w:rsidRPr="007E63A2">
        <w:rPr>
          <w:rFonts w:cs="Arial"/>
          <w:color w:val="000000"/>
          <w:lang w:eastAsia="es-CO"/>
        </w:rPr>
        <w:t>Comercio, SIC, sobre la presente resolución.</w:t>
      </w:r>
      <w:r w:rsidR="00266CDC" w:rsidRPr="007E63A2">
        <w:rPr>
          <w:rFonts w:cs="Arial"/>
          <w:color w:val="000000"/>
          <w:lang w:eastAsia="es-CO"/>
        </w:rPr>
        <w:t xml:space="preserve"> En el Anexo 1 puede identificarse el diligenciamiento del cuestionario.</w:t>
      </w:r>
    </w:p>
    <w:p w14:paraId="67AA1976" w14:textId="63694331" w:rsidR="00266CDC" w:rsidRPr="007E63A2" w:rsidRDefault="00266CDC">
      <w:pPr>
        <w:jc w:val="left"/>
        <w:rPr>
          <w:rFonts w:cs="Arial"/>
          <w:color w:val="000000"/>
          <w:lang w:eastAsia="es-CO"/>
        </w:rPr>
      </w:pPr>
      <w:r w:rsidRPr="007E63A2">
        <w:rPr>
          <w:rFonts w:cs="Arial"/>
          <w:color w:val="000000"/>
          <w:lang w:eastAsia="es-CO"/>
        </w:rPr>
        <w:br w:type="page"/>
      </w:r>
    </w:p>
    <w:p w14:paraId="58438844" w14:textId="77777777" w:rsidR="00266CDC" w:rsidRPr="007E63A2" w:rsidRDefault="00266CDC" w:rsidP="007E70D7">
      <w:pPr>
        <w:spacing w:line="276" w:lineRule="auto"/>
        <w:rPr>
          <w:rFonts w:cs="Arial"/>
          <w:color w:val="000000"/>
          <w:lang w:eastAsia="es-CO"/>
        </w:rPr>
      </w:pPr>
    </w:p>
    <w:p w14:paraId="706F857C" w14:textId="2D5E6DCE" w:rsidR="003B7CF7" w:rsidRPr="007E63A2" w:rsidRDefault="003B7CF7" w:rsidP="003B7CF7">
      <w:pPr>
        <w:pStyle w:val="Ttulo1"/>
        <w:numPr>
          <w:ilvl w:val="0"/>
          <w:numId w:val="0"/>
        </w:numPr>
        <w:spacing w:after="0" w:line="276" w:lineRule="auto"/>
        <w:ind w:left="431"/>
        <w:jc w:val="center"/>
        <w:rPr>
          <w:sz w:val="22"/>
        </w:rPr>
      </w:pPr>
      <w:bookmarkStart w:id="27" w:name="_Toc212219342"/>
      <w:r w:rsidRPr="007E63A2">
        <w:rPr>
          <w:sz w:val="22"/>
        </w:rPr>
        <w:t>ANEXO 1. FORMULARIO ABOGACÍA DE LA COMPETENCIA</w:t>
      </w:r>
      <w:bookmarkEnd w:id="27"/>
    </w:p>
    <w:p w14:paraId="1E9BF99C" w14:textId="77777777" w:rsidR="00362099" w:rsidRPr="007E63A2" w:rsidRDefault="00362099" w:rsidP="00362099">
      <w:pPr>
        <w:ind w:right="-3"/>
        <w:rPr>
          <w:rFonts w:cs="Arial"/>
          <w:spacing w:val="-5"/>
          <w:szCs w:val="24"/>
        </w:rPr>
      </w:pPr>
    </w:p>
    <w:tbl>
      <w:tblPr>
        <w:tblW w:w="8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5"/>
        <w:gridCol w:w="1985"/>
        <w:gridCol w:w="426"/>
        <w:gridCol w:w="425"/>
        <w:gridCol w:w="3401"/>
        <w:gridCol w:w="1843"/>
      </w:tblGrid>
      <w:tr w:rsidR="00074AF4" w:rsidRPr="007E63A2" w14:paraId="362164D6" w14:textId="77777777" w:rsidTr="00266CDC">
        <w:trPr>
          <w:tblHeader/>
        </w:trPr>
        <w:tc>
          <w:tcPr>
            <w:tcW w:w="845" w:type="dxa"/>
            <w:tcBorders>
              <w:top w:val="single" w:sz="4" w:space="0" w:color="000000"/>
              <w:left w:val="single" w:sz="4" w:space="0" w:color="000000"/>
              <w:bottom w:val="single" w:sz="4" w:space="0" w:color="000000"/>
              <w:right w:val="single" w:sz="4" w:space="0" w:color="000000"/>
            </w:tcBorders>
            <w:shd w:val="clear" w:color="auto" w:fill="222A35"/>
            <w:hideMark/>
          </w:tcPr>
          <w:p w14:paraId="44A8506A" w14:textId="77777777" w:rsidR="00074AF4" w:rsidRPr="007E63A2" w:rsidRDefault="00074AF4" w:rsidP="00266CDC">
            <w:pPr>
              <w:autoSpaceDE w:val="0"/>
              <w:autoSpaceDN w:val="0"/>
              <w:adjustRightInd w:val="0"/>
              <w:ind w:right="-108"/>
              <w:jc w:val="center"/>
              <w:rPr>
                <w:rFonts w:asciiTheme="minorHAnsi" w:eastAsia="Calibri" w:hAnsiTheme="minorHAnsi" w:cstheme="minorHAnsi"/>
                <w:b/>
                <w:color w:val="FFFFFF"/>
                <w:spacing w:val="-5"/>
                <w:sz w:val="16"/>
                <w:szCs w:val="16"/>
              </w:rPr>
            </w:pPr>
            <w:r w:rsidRPr="007E63A2">
              <w:rPr>
                <w:rFonts w:asciiTheme="minorHAnsi" w:eastAsia="Calibri" w:hAnsiTheme="minorHAnsi" w:cstheme="minorHAnsi"/>
                <w:b/>
                <w:color w:val="FFFFFF"/>
                <w:spacing w:val="-5"/>
                <w:sz w:val="16"/>
                <w:szCs w:val="16"/>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222A35"/>
            <w:hideMark/>
          </w:tcPr>
          <w:p w14:paraId="0821D737" w14:textId="77777777" w:rsidR="00074AF4" w:rsidRPr="007E63A2" w:rsidRDefault="00074AF4" w:rsidP="007D685E">
            <w:pPr>
              <w:autoSpaceDE w:val="0"/>
              <w:autoSpaceDN w:val="0"/>
              <w:adjustRightInd w:val="0"/>
              <w:ind w:left="-107" w:right="-108"/>
              <w:jc w:val="center"/>
              <w:rPr>
                <w:rFonts w:asciiTheme="minorHAnsi" w:eastAsia="Calibri" w:hAnsiTheme="minorHAnsi" w:cstheme="minorHAnsi"/>
                <w:b/>
                <w:color w:val="FFFFFF"/>
                <w:spacing w:val="-5"/>
                <w:sz w:val="16"/>
                <w:szCs w:val="16"/>
              </w:rPr>
            </w:pPr>
            <w:r w:rsidRPr="007E63A2">
              <w:rPr>
                <w:rFonts w:asciiTheme="minorHAnsi" w:eastAsia="Calibri" w:hAnsiTheme="minorHAnsi" w:cstheme="minorHAnsi"/>
                <w:b/>
                <w:color w:val="FFFFFF"/>
                <w:spacing w:val="-5"/>
                <w:sz w:val="16"/>
                <w:szCs w:val="16"/>
              </w:rPr>
              <w:t>Preguntas afectación a la competencia</w:t>
            </w:r>
          </w:p>
        </w:tc>
        <w:tc>
          <w:tcPr>
            <w:tcW w:w="426" w:type="dxa"/>
            <w:tcBorders>
              <w:top w:val="single" w:sz="4" w:space="0" w:color="000000"/>
              <w:left w:val="single" w:sz="4" w:space="0" w:color="000000"/>
              <w:bottom w:val="single" w:sz="4" w:space="0" w:color="000000"/>
              <w:right w:val="single" w:sz="4" w:space="0" w:color="000000"/>
            </w:tcBorders>
            <w:shd w:val="clear" w:color="auto" w:fill="222A35"/>
            <w:hideMark/>
          </w:tcPr>
          <w:p w14:paraId="154A1141" w14:textId="77777777" w:rsidR="00074AF4" w:rsidRPr="007E63A2" w:rsidRDefault="00074AF4" w:rsidP="00E305EF">
            <w:pPr>
              <w:autoSpaceDE w:val="0"/>
              <w:autoSpaceDN w:val="0"/>
              <w:adjustRightInd w:val="0"/>
              <w:ind w:left="-93" w:right="-108"/>
              <w:rPr>
                <w:rFonts w:asciiTheme="minorHAnsi" w:eastAsia="Calibri" w:hAnsiTheme="minorHAnsi" w:cstheme="minorHAnsi"/>
                <w:b/>
                <w:color w:val="FFFFFF"/>
                <w:spacing w:val="-5"/>
                <w:sz w:val="16"/>
                <w:szCs w:val="16"/>
              </w:rPr>
            </w:pPr>
            <w:r w:rsidRPr="007E63A2">
              <w:rPr>
                <w:rFonts w:asciiTheme="minorHAnsi" w:eastAsia="Calibri" w:hAnsiTheme="minorHAnsi" w:cstheme="minorHAnsi"/>
                <w:b/>
                <w:color w:val="FFFFFF"/>
                <w:spacing w:val="-5"/>
                <w:sz w:val="16"/>
                <w:szCs w:val="16"/>
              </w:rPr>
              <w:t>Si</w:t>
            </w:r>
          </w:p>
        </w:tc>
        <w:tc>
          <w:tcPr>
            <w:tcW w:w="425" w:type="dxa"/>
            <w:tcBorders>
              <w:top w:val="single" w:sz="4" w:space="0" w:color="000000"/>
              <w:left w:val="single" w:sz="4" w:space="0" w:color="000000"/>
              <w:bottom w:val="single" w:sz="4" w:space="0" w:color="000000"/>
              <w:right w:val="single" w:sz="4" w:space="0" w:color="000000"/>
            </w:tcBorders>
            <w:shd w:val="clear" w:color="auto" w:fill="222A35"/>
            <w:hideMark/>
          </w:tcPr>
          <w:p w14:paraId="5584ADE6" w14:textId="77777777" w:rsidR="00074AF4" w:rsidRPr="007E63A2" w:rsidRDefault="00074AF4" w:rsidP="00E305EF">
            <w:pPr>
              <w:autoSpaceDE w:val="0"/>
              <w:autoSpaceDN w:val="0"/>
              <w:adjustRightInd w:val="0"/>
              <w:ind w:left="-107" w:right="-108"/>
              <w:rPr>
                <w:rFonts w:asciiTheme="minorHAnsi" w:eastAsia="Calibri" w:hAnsiTheme="minorHAnsi" w:cstheme="minorHAnsi"/>
                <w:b/>
                <w:color w:val="FFFFFF"/>
                <w:spacing w:val="-5"/>
                <w:sz w:val="16"/>
                <w:szCs w:val="16"/>
              </w:rPr>
            </w:pPr>
            <w:r w:rsidRPr="007E63A2">
              <w:rPr>
                <w:rFonts w:asciiTheme="minorHAnsi" w:eastAsia="Calibri" w:hAnsiTheme="minorHAnsi" w:cstheme="minorHAnsi"/>
                <w:b/>
                <w:color w:val="FFFFFF"/>
                <w:spacing w:val="-5"/>
                <w:sz w:val="16"/>
                <w:szCs w:val="16"/>
              </w:rPr>
              <w:t>No</w:t>
            </w:r>
          </w:p>
        </w:tc>
        <w:tc>
          <w:tcPr>
            <w:tcW w:w="3401" w:type="dxa"/>
            <w:tcBorders>
              <w:top w:val="single" w:sz="4" w:space="0" w:color="000000"/>
              <w:left w:val="single" w:sz="4" w:space="0" w:color="000000"/>
              <w:bottom w:val="single" w:sz="4" w:space="0" w:color="000000"/>
              <w:right w:val="single" w:sz="4" w:space="0" w:color="000000"/>
            </w:tcBorders>
            <w:shd w:val="clear" w:color="auto" w:fill="222A35"/>
            <w:hideMark/>
          </w:tcPr>
          <w:p w14:paraId="5E102EBD" w14:textId="77777777" w:rsidR="00074AF4" w:rsidRPr="007E63A2" w:rsidRDefault="00074AF4" w:rsidP="00266CDC">
            <w:pPr>
              <w:autoSpaceDE w:val="0"/>
              <w:autoSpaceDN w:val="0"/>
              <w:adjustRightInd w:val="0"/>
              <w:ind w:left="-107"/>
              <w:jc w:val="center"/>
              <w:rPr>
                <w:rFonts w:asciiTheme="minorHAnsi" w:eastAsia="Calibri" w:hAnsiTheme="minorHAnsi" w:cstheme="minorHAnsi"/>
                <w:b/>
                <w:color w:val="FFFFFF"/>
                <w:spacing w:val="-5"/>
                <w:sz w:val="16"/>
                <w:szCs w:val="16"/>
              </w:rPr>
            </w:pPr>
            <w:r w:rsidRPr="007E63A2">
              <w:rPr>
                <w:rFonts w:asciiTheme="minorHAnsi" w:eastAsia="Calibri" w:hAnsiTheme="minorHAnsi" w:cstheme="minorHAnsi"/>
                <w:b/>
                <w:color w:val="FFFFFF"/>
                <w:spacing w:val="-5"/>
                <w:sz w:val="16"/>
                <w:szCs w:val="16"/>
              </w:rPr>
              <w:t>Explicación</w:t>
            </w:r>
          </w:p>
        </w:tc>
        <w:tc>
          <w:tcPr>
            <w:tcW w:w="1843" w:type="dxa"/>
            <w:tcBorders>
              <w:top w:val="single" w:sz="4" w:space="0" w:color="000000"/>
              <w:left w:val="single" w:sz="4" w:space="0" w:color="000000"/>
              <w:bottom w:val="single" w:sz="4" w:space="0" w:color="000000"/>
              <w:right w:val="single" w:sz="4" w:space="0" w:color="000000"/>
            </w:tcBorders>
            <w:shd w:val="clear" w:color="auto" w:fill="222A35"/>
            <w:hideMark/>
          </w:tcPr>
          <w:p w14:paraId="2DDDEEDD" w14:textId="77777777" w:rsidR="00074AF4" w:rsidRPr="007E63A2" w:rsidRDefault="00074AF4" w:rsidP="00266CDC">
            <w:pPr>
              <w:autoSpaceDE w:val="0"/>
              <w:autoSpaceDN w:val="0"/>
              <w:adjustRightInd w:val="0"/>
              <w:ind w:left="-107" w:right="-108"/>
              <w:jc w:val="center"/>
              <w:rPr>
                <w:rFonts w:asciiTheme="minorHAnsi" w:eastAsia="Calibri" w:hAnsiTheme="minorHAnsi" w:cstheme="minorHAnsi"/>
                <w:b/>
                <w:color w:val="FFFFFF"/>
                <w:spacing w:val="-5"/>
                <w:sz w:val="16"/>
                <w:szCs w:val="16"/>
              </w:rPr>
            </w:pPr>
            <w:r w:rsidRPr="007E63A2">
              <w:rPr>
                <w:rFonts w:asciiTheme="minorHAnsi" w:eastAsia="Calibri" w:hAnsiTheme="minorHAnsi" w:cstheme="minorHAnsi"/>
                <w:b/>
                <w:color w:val="FFFFFF"/>
                <w:spacing w:val="-5"/>
                <w:sz w:val="16"/>
                <w:szCs w:val="16"/>
              </w:rPr>
              <w:t>Observaciones</w:t>
            </w:r>
          </w:p>
        </w:tc>
      </w:tr>
      <w:tr w:rsidR="00074AF4" w:rsidRPr="007E63A2" w14:paraId="154F0968" w14:textId="77777777" w:rsidTr="00266CDC">
        <w:trPr>
          <w:cantSplit/>
        </w:trPr>
        <w:tc>
          <w:tcPr>
            <w:tcW w:w="845" w:type="dxa"/>
            <w:tcBorders>
              <w:top w:val="single" w:sz="4" w:space="0" w:color="000000"/>
              <w:left w:val="single" w:sz="4" w:space="0" w:color="000000"/>
              <w:bottom w:val="single" w:sz="4" w:space="0" w:color="000000"/>
              <w:right w:val="single" w:sz="4" w:space="0" w:color="000000"/>
            </w:tcBorders>
            <w:hideMark/>
          </w:tcPr>
          <w:p w14:paraId="3A262355" w14:textId="77777777" w:rsidR="00074AF4" w:rsidRPr="007E63A2" w:rsidRDefault="00074AF4" w:rsidP="00266CDC">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1.</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426598E" w14:textId="77777777" w:rsidR="00074AF4" w:rsidRPr="007E63A2" w:rsidRDefault="00074AF4" w:rsidP="007D685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¿La regulación limita el número o la variedad de las empresas en uno o varios mercados relevantes relacionados?</w:t>
            </w:r>
          </w:p>
          <w:p w14:paraId="2E468915" w14:textId="77777777" w:rsidR="00074AF4" w:rsidRPr="007E63A2" w:rsidRDefault="00074AF4" w:rsidP="007D685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Es posible que esto suceda, entre otros eventos, cuando el proyecto de acto:</w:t>
            </w:r>
          </w:p>
        </w:tc>
        <w:tc>
          <w:tcPr>
            <w:tcW w:w="426" w:type="dxa"/>
            <w:tcBorders>
              <w:top w:val="single" w:sz="4" w:space="0" w:color="000000"/>
              <w:left w:val="single" w:sz="4" w:space="0" w:color="000000"/>
              <w:bottom w:val="single" w:sz="4" w:space="0" w:color="000000"/>
              <w:right w:val="single" w:sz="4" w:space="0" w:color="000000"/>
            </w:tcBorders>
            <w:vAlign w:val="center"/>
          </w:tcPr>
          <w:p w14:paraId="6305C511" w14:textId="77777777" w:rsidR="00074AF4" w:rsidRPr="007E63A2" w:rsidRDefault="00074AF4" w:rsidP="00E305EF">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F66003A" w14:textId="77777777" w:rsidR="00074AF4" w:rsidRPr="007E63A2" w:rsidRDefault="00074AF4" w:rsidP="00E305EF">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0A1F977E" w14:textId="03048864" w:rsidR="00074AF4" w:rsidRPr="007E63A2" w:rsidRDefault="00074AF4" w:rsidP="00266CDC">
            <w:pPr>
              <w:autoSpaceDE w:val="0"/>
              <w:autoSpaceDN w:val="0"/>
              <w:adjustRightInd w:val="0"/>
              <w:jc w:val="center"/>
              <w:rPr>
                <w:rFonts w:asciiTheme="minorHAnsi" w:eastAsia="Calibri" w:hAnsiTheme="minorHAnsi" w:cstheme="minorHAnsi"/>
                <w:bCs/>
                <w:spacing w:val="-5"/>
                <w:sz w:val="16"/>
                <w:szCs w:val="16"/>
              </w:rPr>
            </w:pPr>
          </w:p>
        </w:tc>
        <w:tc>
          <w:tcPr>
            <w:tcW w:w="1843" w:type="dxa"/>
            <w:tcBorders>
              <w:top w:val="single" w:sz="4" w:space="0" w:color="000000"/>
              <w:left w:val="single" w:sz="4" w:space="0" w:color="000000"/>
              <w:bottom w:val="single" w:sz="4" w:space="0" w:color="000000"/>
              <w:right w:val="single" w:sz="4" w:space="0" w:color="000000"/>
            </w:tcBorders>
            <w:vAlign w:val="center"/>
          </w:tcPr>
          <w:p w14:paraId="7903793D" w14:textId="201FE561" w:rsidR="00074AF4" w:rsidRPr="007E63A2" w:rsidRDefault="00E863AE" w:rsidP="00266CDC">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No se tienen observaciones adicionales por parte de la Comisión.</w:t>
            </w:r>
          </w:p>
        </w:tc>
      </w:tr>
      <w:tr w:rsidR="00E863AE" w:rsidRPr="007E63A2" w14:paraId="2D7A5E34"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14289228"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1.1</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737BC4EC" w14:textId="77777777" w:rsidR="00E863AE" w:rsidRPr="007E63A2" w:rsidRDefault="00E863AE" w:rsidP="00E863AE">
            <w:pPr>
              <w:autoSpaceDE w:val="0"/>
              <w:autoSpaceDN w:val="0"/>
              <w:adjustRightInd w:val="0"/>
              <w:ind w:right="19"/>
              <w:rPr>
                <w:rFonts w:asciiTheme="minorHAnsi" w:eastAsia="Calibri" w:hAnsiTheme="minorHAnsi" w:cstheme="minorHAnsi"/>
                <w:spacing w:val="-5"/>
                <w:sz w:val="16"/>
                <w:szCs w:val="16"/>
              </w:rPr>
            </w:pPr>
            <w:r w:rsidRPr="007E63A2">
              <w:rPr>
                <w:rFonts w:asciiTheme="minorHAnsi" w:eastAsia="Calibri" w:hAnsiTheme="minorHAnsi" w:cstheme="minorHAnsi"/>
                <w:spacing w:val="-5"/>
                <w:sz w:val="16"/>
                <w:szCs w:val="16"/>
              </w:rPr>
              <w:t>Otorga derechos exclusivos a una empresa para prestar servicios o para ofrecer bienes.</w:t>
            </w:r>
          </w:p>
        </w:tc>
        <w:tc>
          <w:tcPr>
            <w:tcW w:w="426" w:type="dxa"/>
            <w:tcBorders>
              <w:top w:val="single" w:sz="4" w:space="0" w:color="000000"/>
              <w:left w:val="single" w:sz="4" w:space="0" w:color="000000"/>
              <w:bottom w:val="single" w:sz="4" w:space="0" w:color="000000"/>
              <w:right w:val="single" w:sz="4" w:space="0" w:color="000000"/>
            </w:tcBorders>
            <w:vAlign w:val="center"/>
          </w:tcPr>
          <w:p w14:paraId="6E3E7B02"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E01DD81"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589B9FB6" w14:textId="3EA8017F"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No se observa que el proyecto regulatorio otorgue derechos exclusivos a prestadores del servicio o usuarios autogeneradores.</w:t>
            </w:r>
          </w:p>
        </w:tc>
        <w:tc>
          <w:tcPr>
            <w:tcW w:w="1843" w:type="dxa"/>
            <w:tcBorders>
              <w:top w:val="single" w:sz="4" w:space="0" w:color="000000"/>
              <w:left w:val="single" w:sz="4" w:space="0" w:color="000000"/>
              <w:bottom w:val="single" w:sz="4" w:space="0" w:color="000000"/>
              <w:right w:val="single" w:sz="4" w:space="0" w:color="000000"/>
            </w:tcBorders>
          </w:tcPr>
          <w:p w14:paraId="0BB803E7" w14:textId="1823F4B0"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1387FCEE"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4A7CCDF4"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1.2</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30F5D40C"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Establece licencias, permisos, autorizaciones para operar o cuotas de producción o de venta.</w:t>
            </w:r>
          </w:p>
        </w:tc>
        <w:tc>
          <w:tcPr>
            <w:tcW w:w="426" w:type="dxa"/>
            <w:tcBorders>
              <w:top w:val="single" w:sz="4" w:space="0" w:color="000000"/>
              <w:left w:val="single" w:sz="4" w:space="0" w:color="000000"/>
              <w:bottom w:val="single" w:sz="4" w:space="0" w:color="000000"/>
              <w:right w:val="single" w:sz="4" w:space="0" w:color="000000"/>
            </w:tcBorders>
            <w:vAlign w:val="center"/>
          </w:tcPr>
          <w:p w14:paraId="61D491FF"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32F1C1F9"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5A5E0B39" w14:textId="79A4AF4E"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highlight w:val="yellow"/>
              </w:rPr>
            </w:pPr>
            <w:r w:rsidRPr="007E63A2">
              <w:rPr>
                <w:rFonts w:asciiTheme="minorHAnsi" w:eastAsia="Calibri" w:hAnsiTheme="minorHAnsi" w:cstheme="minorHAnsi"/>
                <w:bCs/>
                <w:spacing w:val="-5"/>
                <w:sz w:val="16"/>
                <w:szCs w:val="16"/>
              </w:rPr>
              <w:t>Con la adopción de la presente resolución no se están otorgando ningún tipo de licencias, permisos o autorizaciones, para operar o se dan cuotas de producción o de venta, ya que es una medida general que aplica a todos los autogeneradores colectivos, generadores distribuidos colectivos, AGPE y GD.</w:t>
            </w:r>
          </w:p>
        </w:tc>
        <w:tc>
          <w:tcPr>
            <w:tcW w:w="1843" w:type="dxa"/>
            <w:tcBorders>
              <w:top w:val="single" w:sz="4" w:space="0" w:color="000000"/>
              <w:left w:val="single" w:sz="4" w:space="0" w:color="000000"/>
              <w:bottom w:val="single" w:sz="4" w:space="0" w:color="000000"/>
              <w:right w:val="single" w:sz="4" w:space="0" w:color="000000"/>
            </w:tcBorders>
          </w:tcPr>
          <w:p w14:paraId="068ABD2C" w14:textId="366ECE44"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3A2CDB01"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62FEF5EC"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1.3</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A2D592A" w14:textId="77777777" w:rsidR="00E863AE" w:rsidRPr="007E63A2" w:rsidRDefault="00E863AE" w:rsidP="00E863AE">
            <w:pPr>
              <w:autoSpaceDE w:val="0"/>
              <w:autoSpaceDN w:val="0"/>
              <w:adjustRightInd w:val="0"/>
              <w:ind w:right="19"/>
              <w:rPr>
                <w:rFonts w:asciiTheme="minorHAnsi" w:eastAsia="Calibri" w:hAnsiTheme="minorHAnsi" w:cstheme="minorHAnsi"/>
                <w:spacing w:val="-5"/>
                <w:sz w:val="16"/>
                <w:szCs w:val="16"/>
              </w:rPr>
            </w:pPr>
            <w:r w:rsidRPr="007E63A2">
              <w:rPr>
                <w:rFonts w:asciiTheme="minorHAnsi" w:eastAsia="Calibri" w:hAnsiTheme="minorHAnsi" w:cstheme="minorHAnsi"/>
                <w:spacing w:val="-5"/>
                <w:sz w:val="16"/>
                <w:szCs w:val="16"/>
              </w:rPr>
              <w:t>Limita la capacidad de cierto tipo de empresas para ofrecer un bien o prestar un servicio.</w:t>
            </w:r>
          </w:p>
        </w:tc>
        <w:tc>
          <w:tcPr>
            <w:tcW w:w="426" w:type="dxa"/>
            <w:tcBorders>
              <w:top w:val="single" w:sz="4" w:space="0" w:color="000000"/>
              <w:left w:val="single" w:sz="4" w:space="0" w:color="000000"/>
              <w:bottom w:val="single" w:sz="4" w:space="0" w:color="000000"/>
              <w:right w:val="single" w:sz="4" w:space="0" w:color="000000"/>
            </w:tcBorders>
            <w:vAlign w:val="center"/>
          </w:tcPr>
          <w:p w14:paraId="68C298D1"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C6D6DBC"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74D681C9" w14:textId="0F3DA666"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Las medidas contenidas en la resolución no limitan. la capacidad de las empresas. El límite de capacidad  de las comunidades energéticas es establecido por la UPME mediante la resolución 501 de 2024.</w:t>
            </w:r>
          </w:p>
        </w:tc>
        <w:tc>
          <w:tcPr>
            <w:tcW w:w="1843" w:type="dxa"/>
            <w:tcBorders>
              <w:top w:val="single" w:sz="4" w:space="0" w:color="000000"/>
              <w:left w:val="single" w:sz="4" w:space="0" w:color="000000"/>
              <w:bottom w:val="single" w:sz="4" w:space="0" w:color="000000"/>
              <w:right w:val="single" w:sz="4" w:space="0" w:color="000000"/>
            </w:tcBorders>
          </w:tcPr>
          <w:p w14:paraId="643E0403" w14:textId="53EBE7BC"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4AFB39E7"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65DA8F20"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1.4</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0CB1AFB2"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Eleva de manera significativa los costos de entrada o salida del mercado para las empresas.</w:t>
            </w:r>
          </w:p>
        </w:tc>
        <w:tc>
          <w:tcPr>
            <w:tcW w:w="426" w:type="dxa"/>
            <w:tcBorders>
              <w:top w:val="single" w:sz="4" w:space="0" w:color="000000"/>
              <w:left w:val="single" w:sz="4" w:space="0" w:color="000000"/>
              <w:bottom w:val="single" w:sz="4" w:space="0" w:color="000000"/>
              <w:right w:val="single" w:sz="4" w:space="0" w:color="000000"/>
            </w:tcBorders>
            <w:vAlign w:val="center"/>
          </w:tcPr>
          <w:p w14:paraId="17ADF6D0"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7E2576B"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24E30A29" w14:textId="0EE22333"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El proyecto de resolución no tiene ninguna disposición destinada a elevar la entrada o salida de empresas del mercado.</w:t>
            </w:r>
          </w:p>
        </w:tc>
        <w:tc>
          <w:tcPr>
            <w:tcW w:w="1843" w:type="dxa"/>
            <w:tcBorders>
              <w:top w:val="single" w:sz="4" w:space="0" w:color="000000"/>
              <w:left w:val="single" w:sz="4" w:space="0" w:color="000000"/>
              <w:bottom w:val="single" w:sz="4" w:space="0" w:color="000000"/>
              <w:right w:val="single" w:sz="4" w:space="0" w:color="000000"/>
            </w:tcBorders>
          </w:tcPr>
          <w:p w14:paraId="3509908D" w14:textId="1C25F9C1"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492753AD"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22E9341A"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1.5</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7809379"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Crea una barrera geográfica a la libre circulación de bienes o servicios o a la inversión.</w:t>
            </w:r>
          </w:p>
        </w:tc>
        <w:tc>
          <w:tcPr>
            <w:tcW w:w="426" w:type="dxa"/>
            <w:tcBorders>
              <w:top w:val="single" w:sz="4" w:space="0" w:color="000000"/>
              <w:left w:val="single" w:sz="4" w:space="0" w:color="000000"/>
              <w:bottom w:val="single" w:sz="4" w:space="0" w:color="000000"/>
              <w:right w:val="single" w:sz="4" w:space="0" w:color="000000"/>
            </w:tcBorders>
            <w:vAlign w:val="center"/>
          </w:tcPr>
          <w:p w14:paraId="4AA6747B"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ECF5F42"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2486593F" w14:textId="645CFFEC"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Las medidas contenidas en la resolución no crean barreras geográficas para la libre circulación de bienes o servicios o inversión. El límite de dispersión de las comunidades energéticas es establecido por la UPME mediante la resolución 501 de 2024.</w:t>
            </w:r>
          </w:p>
        </w:tc>
        <w:tc>
          <w:tcPr>
            <w:tcW w:w="1843" w:type="dxa"/>
            <w:tcBorders>
              <w:top w:val="single" w:sz="4" w:space="0" w:color="000000"/>
              <w:left w:val="single" w:sz="4" w:space="0" w:color="000000"/>
              <w:bottom w:val="single" w:sz="4" w:space="0" w:color="000000"/>
              <w:right w:val="single" w:sz="4" w:space="0" w:color="000000"/>
            </w:tcBorders>
          </w:tcPr>
          <w:p w14:paraId="7FB47632" w14:textId="77EB2E83"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4A7C7D39"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04C1E2E7"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1.6</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1D2A5D3C"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Incrementa de manera significativa los costos:</w:t>
            </w:r>
          </w:p>
        </w:tc>
        <w:tc>
          <w:tcPr>
            <w:tcW w:w="426" w:type="dxa"/>
            <w:tcBorders>
              <w:top w:val="single" w:sz="4" w:space="0" w:color="000000"/>
              <w:left w:val="single" w:sz="4" w:space="0" w:color="000000"/>
              <w:bottom w:val="single" w:sz="4" w:space="0" w:color="000000"/>
              <w:right w:val="single" w:sz="4" w:space="0" w:color="000000"/>
            </w:tcBorders>
            <w:vAlign w:val="center"/>
          </w:tcPr>
          <w:p w14:paraId="7D478BCD"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3CCB42D7"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34A62831" w14:textId="6AEB8139"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Como ya se manifestó con anterioridad el proyecto de resolución no contiene medidas relacionadas con la entrada de nuevas empresas al mercado. Adicionalmente, no incrementa los costos respecto a las actividades existentes de AGPE y GD. Al contrario, la resolución nivela los costos para todos los prestadores.</w:t>
            </w:r>
          </w:p>
        </w:tc>
        <w:tc>
          <w:tcPr>
            <w:tcW w:w="1843" w:type="dxa"/>
            <w:tcBorders>
              <w:top w:val="single" w:sz="4" w:space="0" w:color="000000"/>
              <w:left w:val="single" w:sz="4" w:space="0" w:color="000000"/>
              <w:bottom w:val="single" w:sz="4" w:space="0" w:color="000000"/>
              <w:right w:val="single" w:sz="4" w:space="0" w:color="000000"/>
            </w:tcBorders>
          </w:tcPr>
          <w:p w14:paraId="6560B7EA" w14:textId="146449C9"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563DDC9B"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24DCDF28"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1.6.1</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869C724"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Para nuevas empresas en relación con las empresas que ya operan en un mercado o mercados relevantes relacionados, o</w:t>
            </w:r>
          </w:p>
        </w:tc>
        <w:tc>
          <w:tcPr>
            <w:tcW w:w="426" w:type="dxa"/>
            <w:tcBorders>
              <w:top w:val="single" w:sz="4" w:space="0" w:color="000000"/>
              <w:left w:val="single" w:sz="4" w:space="0" w:color="000000"/>
              <w:bottom w:val="single" w:sz="4" w:space="0" w:color="000000"/>
              <w:right w:val="single" w:sz="4" w:space="0" w:color="000000"/>
            </w:tcBorders>
            <w:vAlign w:val="center"/>
          </w:tcPr>
          <w:p w14:paraId="1D09801B"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0843EFD"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6543CAE8" w14:textId="00194481"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No se observa que de acuerdo con el objeto de la resolución y lo que se busca haya incrementos de costos de unas empresas frente a otras</w:t>
            </w:r>
          </w:p>
        </w:tc>
        <w:tc>
          <w:tcPr>
            <w:tcW w:w="1843" w:type="dxa"/>
            <w:tcBorders>
              <w:top w:val="single" w:sz="4" w:space="0" w:color="000000"/>
              <w:left w:val="single" w:sz="4" w:space="0" w:color="000000"/>
              <w:bottom w:val="single" w:sz="4" w:space="0" w:color="000000"/>
              <w:right w:val="single" w:sz="4" w:space="0" w:color="000000"/>
            </w:tcBorders>
          </w:tcPr>
          <w:p w14:paraId="74CC21E9" w14:textId="666F509A"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0FABF68D"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1E4514FB"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1.6.2</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B429F86"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Para unas empresas en relación con otras cuando el conjunto ya opera en uno o varios mercados relevantes relacionados.</w:t>
            </w:r>
          </w:p>
        </w:tc>
        <w:tc>
          <w:tcPr>
            <w:tcW w:w="426" w:type="dxa"/>
            <w:tcBorders>
              <w:top w:val="single" w:sz="4" w:space="0" w:color="000000"/>
              <w:left w:val="single" w:sz="4" w:space="0" w:color="000000"/>
              <w:bottom w:val="single" w:sz="4" w:space="0" w:color="000000"/>
              <w:right w:val="single" w:sz="4" w:space="0" w:color="000000"/>
            </w:tcBorders>
            <w:vAlign w:val="center"/>
          </w:tcPr>
          <w:p w14:paraId="25EEB651"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51D504B6"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66021F08" w14:textId="1A705040"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No se observa que de acuerdo con el objeto de la resolución y lo que se busca haya incrementos de costos de unas empresas frente a otras</w:t>
            </w:r>
          </w:p>
        </w:tc>
        <w:tc>
          <w:tcPr>
            <w:tcW w:w="1843" w:type="dxa"/>
            <w:tcBorders>
              <w:top w:val="single" w:sz="4" w:space="0" w:color="000000"/>
              <w:left w:val="single" w:sz="4" w:space="0" w:color="000000"/>
              <w:bottom w:val="single" w:sz="4" w:space="0" w:color="000000"/>
              <w:right w:val="single" w:sz="4" w:space="0" w:color="000000"/>
            </w:tcBorders>
          </w:tcPr>
          <w:p w14:paraId="351F5FD3" w14:textId="577400B5"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1CF0A3B7"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531E2AFB"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lastRenderedPageBreak/>
              <w:t>2ª.</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763BC05"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¿La regulación limita la capacidad de las empresas para competir en uno o varios mercados relevantes relacionados?</w:t>
            </w:r>
          </w:p>
          <w:p w14:paraId="5830E7AD"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Es posible que esto suceda, entre otros eventos, cuando el proyecto de acto:</w:t>
            </w:r>
          </w:p>
        </w:tc>
        <w:tc>
          <w:tcPr>
            <w:tcW w:w="426" w:type="dxa"/>
            <w:tcBorders>
              <w:top w:val="single" w:sz="4" w:space="0" w:color="000000"/>
              <w:left w:val="single" w:sz="4" w:space="0" w:color="000000"/>
              <w:bottom w:val="single" w:sz="4" w:space="0" w:color="000000"/>
              <w:right w:val="single" w:sz="4" w:space="0" w:color="000000"/>
            </w:tcBorders>
            <w:vAlign w:val="center"/>
          </w:tcPr>
          <w:p w14:paraId="6734CC36"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6F8B10D3" w14:textId="4CD2DD7A"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489D1BE4" w14:textId="77777777"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p>
        </w:tc>
        <w:tc>
          <w:tcPr>
            <w:tcW w:w="1843" w:type="dxa"/>
            <w:tcBorders>
              <w:top w:val="single" w:sz="4" w:space="0" w:color="000000"/>
              <w:left w:val="single" w:sz="4" w:space="0" w:color="000000"/>
              <w:bottom w:val="single" w:sz="4" w:space="0" w:color="000000"/>
              <w:right w:val="single" w:sz="4" w:space="0" w:color="000000"/>
            </w:tcBorders>
          </w:tcPr>
          <w:p w14:paraId="4E43DFE1" w14:textId="184BF4A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41B17B83"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56C56950"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2.1</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E6606FD"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Controla o influye sustancialmente sobre los precios de los bienes o servicios o el nivel de producción.</w:t>
            </w:r>
          </w:p>
        </w:tc>
        <w:tc>
          <w:tcPr>
            <w:tcW w:w="426" w:type="dxa"/>
            <w:tcBorders>
              <w:top w:val="single" w:sz="4" w:space="0" w:color="000000"/>
              <w:left w:val="single" w:sz="4" w:space="0" w:color="000000"/>
              <w:bottom w:val="single" w:sz="4" w:space="0" w:color="000000"/>
              <w:right w:val="single" w:sz="4" w:space="0" w:color="000000"/>
            </w:tcBorders>
            <w:vAlign w:val="center"/>
          </w:tcPr>
          <w:p w14:paraId="5B270B73" w14:textId="74804893"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3EF1838" w14:textId="50876025"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00E6733E" w14:textId="691768B1"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highlight w:val="yellow"/>
              </w:rPr>
            </w:pPr>
            <w:r w:rsidRPr="007E63A2">
              <w:rPr>
                <w:rFonts w:asciiTheme="minorHAnsi" w:eastAsia="Calibri" w:hAnsiTheme="minorHAnsi" w:cstheme="minorHAnsi"/>
                <w:bCs/>
                <w:spacing w:val="-5"/>
                <w:sz w:val="16"/>
                <w:szCs w:val="16"/>
              </w:rPr>
              <w:t>La medida no controla los precios ya que estos provienen de lo establecido tanto en la Resolución CREG 101 072 de 2025 y CREG 174 de 2021. Las modificaciones contempladas en el proyecto se limitan a clarificar la aplicación de las medidas de estas dos resoluciones.</w:t>
            </w:r>
          </w:p>
        </w:tc>
        <w:tc>
          <w:tcPr>
            <w:tcW w:w="1843" w:type="dxa"/>
            <w:tcBorders>
              <w:top w:val="single" w:sz="4" w:space="0" w:color="000000"/>
              <w:left w:val="single" w:sz="4" w:space="0" w:color="000000"/>
              <w:bottom w:val="single" w:sz="4" w:space="0" w:color="000000"/>
              <w:right w:val="single" w:sz="4" w:space="0" w:color="000000"/>
            </w:tcBorders>
          </w:tcPr>
          <w:p w14:paraId="02B054CA" w14:textId="34F5566D" w:rsidR="00E863AE" w:rsidRPr="007E63A2" w:rsidRDefault="00E863AE" w:rsidP="00E863AE">
            <w:pPr>
              <w:autoSpaceDE w:val="0"/>
              <w:autoSpaceDN w:val="0"/>
              <w:adjustRightInd w:val="0"/>
              <w:ind w:right="33"/>
              <w:jc w:val="center"/>
              <w:rPr>
                <w:rFonts w:asciiTheme="minorHAnsi" w:eastAsia="Calibri" w:hAnsiTheme="minorHAnsi" w:cstheme="minorHAnsi"/>
                <w:bCs/>
                <w:spacing w:val="-5"/>
                <w:sz w:val="16"/>
                <w:szCs w:val="16"/>
                <w:highlight w:val="yellow"/>
              </w:rPr>
            </w:pPr>
            <w:r w:rsidRPr="007E63A2">
              <w:rPr>
                <w:rFonts w:asciiTheme="minorHAnsi" w:hAnsiTheme="minorHAnsi" w:cstheme="minorHAnsi"/>
                <w:sz w:val="16"/>
                <w:szCs w:val="16"/>
              </w:rPr>
              <w:t>No se tienen observaciones adicionales por parte de la Comisión.</w:t>
            </w:r>
          </w:p>
        </w:tc>
      </w:tr>
      <w:tr w:rsidR="00E863AE" w:rsidRPr="007E63A2" w14:paraId="388F631D"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50DC17EC"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2.2</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68EA695"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Limita a las empresas la posibilidad de distribuir o comercializar sus productos</w:t>
            </w:r>
          </w:p>
        </w:tc>
        <w:tc>
          <w:tcPr>
            <w:tcW w:w="426" w:type="dxa"/>
            <w:tcBorders>
              <w:top w:val="single" w:sz="4" w:space="0" w:color="000000"/>
              <w:left w:val="single" w:sz="4" w:space="0" w:color="000000"/>
              <w:bottom w:val="single" w:sz="4" w:space="0" w:color="000000"/>
              <w:right w:val="single" w:sz="4" w:space="0" w:color="000000"/>
            </w:tcBorders>
            <w:vAlign w:val="center"/>
          </w:tcPr>
          <w:p w14:paraId="4999608B"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C199A1A"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1D39969D" w14:textId="05F9A462" w:rsidR="00E863AE" w:rsidRPr="007E63A2" w:rsidRDefault="00E863AE" w:rsidP="00E863AE">
            <w:pP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De ninguna manera y teniendo en cuenta el alcance de la medida, con las medias que se toman se limita la libertad de las empresas para distribuir o comercializar sus productos.</w:t>
            </w:r>
          </w:p>
        </w:tc>
        <w:tc>
          <w:tcPr>
            <w:tcW w:w="1843" w:type="dxa"/>
            <w:tcBorders>
              <w:top w:val="single" w:sz="4" w:space="0" w:color="000000"/>
              <w:left w:val="single" w:sz="4" w:space="0" w:color="000000"/>
              <w:bottom w:val="single" w:sz="4" w:space="0" w:color="000000"/>
              <w:right w:val="single" w:sz="4" w:space="0" w:color="000000"/>
            </w:tcBorders>
          </w:tcPr>
          <w:p w14:paraId="4553BD3B" w14:textId="4301706F"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179DF91C"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6FDA31D7"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2.3</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0B6EAEF"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Limita la libertad de las empresas para promocionar sus productos.</w:t>
            </w:r>
          </w:p>
        </w:tc>
        <w:tc>
          <w:tcPr>
            <w:tcW w:w="426" w:type="dxa"/>
            <w:tcBorders>
              <w:top w:val="single" w:sz="4" w:space="0" w:color="000000"/>
              <w:left w:val="single" w:sz="4" w:space="0" w:color="000000"/>
              <w:bottom w:val="single" w:sz="4" w:space="0" w:color="000000"/>
              <w:right w:val="single" w:sz="4" w:space="0" w:color="000000"/>
            </w:tcBorders>
            <w:vAlign w:val="center"/>
          </w:tcPr>
          <w:p w14:paraId="245FA6F9"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4955143"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3368BB72" w14:textId="788ED4D5" w:rsidR="00E863AE" w:rsidRPr="007E63A2" w:rsidRDefault="00E863AE" w:rsidP="00E863AE">
            <w:pP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De ninguna manera y teniendo en cuenta el alcance de la medida, con las medias que se toman se limita la libertad de las empresas para promocionar sus productos.</w:t>
            </w:r>
          </w:p>
        </w:tc>
        <w:tc>
          <w:tcPr>
            <w:tcW w:w="1843" w:type="dxa"/>
            <w:tcBorders>
              <w:top w:val="single" w:sz="4" w:space="0" w:color="000000"/>
              <w:left w:val="single" w:sz="4" w:space="0" w:color="000000"/>
              <w:bottom w:val="single" w:sz="4" w:space="0" w:color="000000"/>
              <w:right w:val="single" w:sz="4" w:space="0" w:color="000000"/>
            </w:tcBorders>
          </w:tcPr>
          <w:p w14:paraId="53EBC97F" w14:textId="29432E30"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7FFCC8CD"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226A7733"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2.4</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96B92B3"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Otorga a los operadores actuales en el mercado un trato diferenciado con respecto a las empresas entrantes.</w:t>
            </w:r>
          </w:p>
        </w:tc>
        <w:tc>
          <w:tcPr>
            <w:tcW w:w="426" w:type="dxa"/>
            <w:tcBorders>
              <w:top w:val="single" w:sz="4" w:space="0" w:color="000000"/>
              <w:left w:val="single" w:sz="4" w:space="0" w:color="000000"/>
              <w:bottom w:val="single" w:sz="4" w:space="0" w:color="000000"/>
              <w:right w:val="single" w:sz="4" w:space="0" w:color="000000"/>
            </w:tcBorders>
            <w:vAlign w:val="center"/>
          </w:tcPr>
          <w:p w14:paraId="5EE7DF8D"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0780E1A"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18C1A1D0" w14:textId="3F2842CF"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No se otorga trato diferenciado entre empresas, aunado al hecho que es una medida temporal y que conjura una externalidad que se viene presentado y es por todos conocida.</w:t>
            </w:r>
          </w:p>
        </w:tc>
        <w:tc>
          <w:tcPr>
            <w:tcW w:w="1843" w:type="dxa"/>
            <w:tcBorders>
              <w:top w:val="single" w:sz="4" w:space="0" w:color="000000"/>
              <w:left w:val="single" w:sz="4" w:space="0" w:color="000000"/>
              <w:bottom w:val="single" w:sz="4" w:space="0" w:color="000000"/>
              <w:right w:val="single" w:sz="4" w:space="0" w:color="000000"/>
            </w:tcBorders>
          </w:tcPr>
          <w:p w14:paraId="57695C0A" w14:textId="114FB571"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06CBE669"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1FB06ED7"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2.5</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E98E614"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Otorga trato diferenciado a unas empresas con respecto a otras.</w:t>
            </w:r>
          </w:p>
        </w:tc>
        <w:tc>
          <w:tcPr>
            <w:tcW w:w="426" w:type="dxa"/>
            <w:tcBorders>
              <w:top w:val="single" w:sz="4" w:space="0" w:color="000000"/>
              <w:left w:val="single" w:sz="4" w:space="0" w:color="000000"/>
              <w:bottom w:val="single" w:sz="4" w:space="0" w:color="000000"/>
              <w:right w:val="single" w:sz="4" w:space="0" w:color="000000"/>
            </w:tcBorders>
            <w:vAlign w:val="center"/>
          </w:tcPr>
          <w:p w14:paraId="5ABF5B0A"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7A147D4C"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highlight w:val="yellow"/>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7F17D7AC" w14:textId="673F9CCF"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highlight w:val="yellow"/>
              </w:rPr>
            </w:pPr>
            <w:r w:rsidRPr="007E63A2">
              <w:rPr>
                <w:rFonts w:asciiTheme="minorHAnsi" w:eastAsia="Calibri" w:hAnsiTheme="minorHAnsi" w:cstheme="minorHAnsi"/>
                <w:bCs/>
                <w:spacing w:val="-5"/>
                <w:sz w:val="16"/>
                <w:szCs w:val="16"/>
              </w:rPr>
              <w:t>No se otorga trato diferenciado entre empresas, aunado al hecho que es una medida temporal y que conjura una externalidad que se viene presentado y es por todos conocida.</w:t>
            </w:r>
          </w:p>
        </w:tc>
        <w:tc>
          <w:tcPr>
            <w:tcW w:w="1843" w:type="dxa"/>
            <w:tcBorders>
              <w:top w:val="single" w:sz="4" w:space="0" w:color="000000"/>
              <w:left w:val="single" w:sz="4" w:space="0" w:color="000000"/>
              <w:bottom w:val="single" w:sz="4" w:space="0" w:color="000000"/>
              <w:right w:val="single" w:sz="4" w:space="0" w:color="000000"/>
            </w:tcBorders>
          </w:tcPr>
          <w:p w14:paraId="50B9E67B" w14:textId="39F066E6"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highlight w:val="yellow"/>
              </w:rPr>
            </w:pPr>
            <w:r w:rsidRPr="007E63A2">
              <w:rPr>
                <w:rFonts w:asciiTheme="minorHAnsi" w:hAnsiTheme="minorHAnsi" w:cstheme="minorHAnsi"/>
                <w:sz w:val="16"/>
                <w:szCs w:val="16"/>
              </w:rPr>
              <w:t>No se tienen observaciones adicionales por parte de la Comisión.</w:t>
            </w:r>
          </w:p>
        </w:tc>
      </w:tr>
      <w:tr w:rsidR="00E863AE" w:rsidRPr="007E63A2" w14:paraId="2CC20BD7"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575308EF"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2.6</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78A9AE8"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Limita la libertad de las empresas para elegir sus procesos de producción o su forma de organización industrial.</w:t>
            </w:r>
          </w:p>
        </w:tc>
        <w:tc>
          <w:tcPr>
            <w:tcW w:w="426" w:type="dxa"/>
            <w:tcBorders>
              <w:top w:val="single" w:sz="4" w:space="0" w:color="000000"/>
              <w:left w:val="single" w:sz="4" w:space="0" w:color="000000"/>
              <w:bottom w:val="single" w:sz="4" w:space="0" w:color="000000"/>
              <w:right w:val="single" w:sz="4" w:space="0" w:color="000000"/>
            </w:tcBorders>
            <w:vAlign w:val="center"/>
          </w:tcPr>
          <w:p w14:paraId="0B658735"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5100B653"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1CD4FC14" w14:textId="0E62B871"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No hay ningún tipo de limitación en la elección de procesos de producción o su organización industrial con las medidas que se adoptan.</w:t>
            </w:r>
          </w:p>
        </w:tc>
        <w:tc>
          <w:tcPr>
            <w:tcW w:w="1843" w:type="dxa"/>
            <w:tcBorders>
              <w:top w:val="single" w:sz="4" w:space="0" w:color="000000"/>
              <w:left w:val="single" w:sz="4" w:space="0" w:color="000000"/>
              <w:bottom w:val="single" w:sz="4" w:space="0" w:color="000000"/>
              <w:right w:val="single" w:sz="4" w:space="0" w:color="000000"/>
            </w:tcBorders>
          </w:tcPr>
          <w:p w14:paraId="31D75419" w14:textId="56A85DE5"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54D35E5F"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2B4CF8E5"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2.7</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2F52F1A" w14:textId="309B8243"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Limita la innovación para ofrecer nuevos productos o productos existentes, pero bajo nuevas formas-</w:t>
            </w:r>
          </w:p>
        </w:tc>
        <w:tc>
          <w:tcPr>
            <w:tcW w:w="426" w:type="dxa"/>
            <w:tcBorders>
              <w:top w:val="single" w:sz="4" w:space="0" w:color="000000"/>
              <w:left w:val="single" w:sz="4" w:space="0" w:color="000000"/>
              <w:bottom w:val="single" w:sz="4" w:space="0" w:color="000000"/>
              <w:right w:val="single" w:sz="4" w:space="0" w:color="000000"/>
            </w:tcBorders>
            <w:vAlign w:val="center"/>
          </w:tcPr>
          <w:p w14:paraId="531CBDFA"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0B10F3E"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73A274D1" w14:textId="26C43BA5"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No hay limitación alguna en términos de innovación o producción bajo nuevas formas respecto de lo que ya existe.</w:t>
            </w:r>
          </w:p>
        </w:tc>
        <w:tc>
          <w:tcPr>
            <w:tcW w:w="1843" w:type="dxa"/>
            <w:tcBorders>
              <w:top w:val="single" w:sz="4" w:space="0" w:color="000000"/>
              <w:left w:val="single" w:sz="4" w:space="0" w:color="000000"/>
              <w:bottom w:val="single" w:sz="4" w:space="0" w:color="000000"/>
              <w:right w:val="single" w:sz="4" w:space="0" w:color="000000"/>
            </w:tcBorders>
          </w:tcPr>
          <w:p w14:paraId="3A687814" w14:textId="1426F9F4"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5102A75B"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4BD84AD0"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3ª.</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3BAE168"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¿La regulación implica reducir los incentivos de las empresas para competir en uno o varios mercados relevantes relacionados?</w:t>
            </w:r>
          </w:p>
          <w:p w14:paraId="7366366F"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Es posible que esto suceda, entre otros eventos, cuando el proyecto de acto:</w:t>
            </w:r>
          </w:p>
        </w:tc>
        <w:tc>
          <w:tcPr>
            <w:tcW w:w="426" w:type="dxa"/>
            <w:tcBorders>
              <w:top w:val="single" w:sz="4" w:space="0" w:color="000000"/>
              <w:left w:val="single" w:sz="4" w:space="0" w:color="000000"/>
              <w:bottom w:val="single" w:sz="4" w:space="0" w:color="000000"/>
              <w:right w:val="single" w:sz="4" w:space="0" w:color="000000"/>
            </w:tcBorders>
            <w:vAlign w:val="center"/>
          </w:tcPr>
          <w:p w14:paraId="3343307E"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tcPr>
          <w:p w14:paraId="33A82877" w14:textId="786D2722"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7E6A9526" w14:textId="2D59B5C6"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p>
        </w:tc>
        <w:tc>
          <w:tcPr>
            <w:tcW w:w="1843" w:type="dxa"/>
            <w:tcBorders>
              <w:top w:val="single" w:sz="4" w:space="0" w:color="000000"/>
              <w:left w:val="single" w:sz="4" w:space="0" w:color="000000"/>
              <w:bottom w:val="single" w:sz="4" w:space="0" w:color="000000"/>
              <w:right w:val="single" w:sz="4" w:space="0" w:color="000000"/>
            </w:tcBorders>
          </w:tcPr>
          <w:p w14:paraId="59E8BF60" w14:textId="364FBE5D"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69FB44FB"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6DDB33F5"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3.1</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0D653F69"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Genera un régimen de autorregulación o corregulación.</w:t>
            </w:r>
          </w:p>
        </w:tc>
        <w:tc>
          <w:tcPr>
            <w:tcW w:w="426" w:type="dxa"/>
            <w:tcBorders>
              <w:top w:val="single" w:sz="4" w:space="0" w:color="000000"/>
              <w:left w:val="single" w:sz="4" w:space="0" w:color="000000"/>
              <w:bottom w:val="single" w:sz="4" w:space="0" w:color="000000"/>
              <w:right w:val="single" w:sz="4" w:space="0" w:color="000000"/>
            </w:tcBorders>
            <w:vAlign w:val="center"/>
          </w:tcPr>
          <w:p w14:paraId="003E46F0"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7034039B"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167B47C6" w14:textId="1805B0BB"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No hay régimen de autorregulación o corregulación inmerso en el acto administrativo.</w:t>
            </w:r>
          </w:p>
        </w:tc>
        <w:tc>
          <w:tcPr>
            <w:tcW w:w="1843" w:type="dxa"/>
            <w:tcBorders>
              <w:top w:val="single" w:sz="4" w:space="0" w:color="000000"/>
              <w:left w:val="single" w:sz="4" w:space="0" w:color="000000"/>
              <w:bottom w:val="single" w:sz="4" w:space="0" w:color="000000"/>
              <w:right w:val="single" w:sz="4" w:space="0" w:color="000000"/>
            </w:tcBorders>
          </w:tcPr>
          <w:p w14:paraId="127D3F8A" w14:textId="2C46BC85"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55A1DF0A"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679245B2"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3.2.</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7188A8CF" w14:textId="77777777"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Impone la obligación de dar publicidad sobre información sensible para una empresa que podría ser conocida por sus competidores (por ejemplo precios, nivel de ventas, costos, etc.)</w:t>
            </w:r>
          </w:p>
        </w:tc>
        <w:tc>
          <w:tcPr>
            <w:tcW w:w="426" w:type="dxa"/>
            <w:tcBorders>
              <w:top w:val="single" w:sz="4" w:space="0" w:color="000000"/>
              <w:left w:val="single" w:sz="4" w:space="0" w:color="000000"/>
              <w:bottom w:val="single" w:sz="4" w:space="0" w:color="000000"/>
              <w:right w:val="single" w:sz="4" w:space="0" w:color="000000"/>
            </w:tcBorders>
            <w:vAlign w:val="center"/>
          </w:tcPr>
          <w:p w14:paraId="22C103AA"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1B64AFA" w14:textId="77777777" w:rsidR="00E863AE" w:rsidRPr="007E63A2" w:rsidRDefault="00E863AE" w:rsidP="00E863AE">
            <w:pPr>
              <w:autoSpaceDE w:val="0"/>
              <w:autoSpaceDN w:val="0"/>
              <w:adjustRightInd w:val="0"/>
              <w:ind w:right="-108"/>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77D5A624" w14:textId="473C608B"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No hay ningún tipo de obligación de este estilo en la regulación que adopta</w:t>
            </w:r>
          </w:p>
        </w:tc>
        <w:tc>
          <w:tcPr>
            <w:tcW w:w="1843" w:type="dxa"/>
            <w:tcBorders>
              <w:top w:val="single" w:sz="4" w:space="0" w:color="000000"/>
              <w:left w:val="single" w:sz="4" w:space="0" w:color="000000"/>
              <w:bottom w:val="single" w:sz="4" w:space="0" w:color="000000"/>
              <w:right w:val="single" w:sz="4" w:space="0" w:color="000000"/>
            </w:tcBorders>
          </w:tcPr>
          <w:p w14:paraId="5A53A305" w14:textId="30BAFFC7"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r w:rsidR="00E863AE" w:rsidRPr="007E63A2" w14:paraId="78F11743" w14:textId="77777777" w:rsidTr="002226F4">
        <w:trPr>
          <w:cantSplit/>
        </w:trPr>
        <w:tc>
          <w:tcPr>
            <w:tcW w:w="845" w:type="dxa"/>
            <w:tcBorders>
              <w:top w:val="single" w:sz="4" w:space="0" w:color="000000"/>
              <w:left w:val="single" w:sz="4" w:space="0" w:color="000000"/>
              <w:bottom w:val="single" w:sz="4" w:space="0" w:color="000000"/>
              <w:right w:val="single" w:sz="4" w:space="0" w:color="000000"/>
            </w:tcBorders>
            <w:hideMark/>
          </w:tcPr>
          <w:p w14:paraId="3DF675DF" w14:textId="77777777" w:rsidR="00E863AE" w:rsidRPr="007E63A2" w:rsidRDefault="00E863AE" w:rsidP="00E863AE">
            <w:pPr>
              <w:autoSpaceDE w:val="0"/>
              <w:autoSpaceDN w:val="0"/>
              <w:adjustRightInd w:val="0"/>
              <w:ind w:right="-108"/>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lastRenderedPageBreak/>
              <w:t>4.0</w:t>
            </w:r>
          </w:p>
        </w:tc>
        <w:tc>
          <w:tcPr>
            <w:tcW w:w="1985" w:type="dxa"/>
            <w:tcBorders>
              <w:top w:val="single" w:sz="4" w:space="0" w:color="000000"/>
              <w:left w:val="single" w:sz="4" w:space="0" w:color="000000"/>
              <w:bottom w:val="single" w:sz="4" w:space="0" w:color="000000"/>
              <w:right w:val="single" w:sz="4" w:space="0" w:color="000000"/>
            </w:tcBorders>
            <w:vAlign w:val="center"/>
          </w:tcPr>
          <w:p w14:paraId="410DB5D0" w14:textId="56C06BE4" w:rsidR="00E863AE" w:rsidRPr="007E63A2" w:rsidRDefault="00E863AE" w:rsidP="00E863AE">
            <w:pPr>
              <w:autoSpaceDE w:val="0"/>
              <w:autoSpaceDN w:val="0"/>
              <w:adjustRightInd w:val="0"/>
              <w:ind w:right="19"/>
              <w:rPr>
                <w:rFonts w:asciiTheme="minorHAnsi" w:eastAsia="Calibri" w:hAnsiTheme="minorHAnsi" w:cstheme="minorHAnsi"/>
                <w:bCs/>
                <w:spacing w:val="-5"/>
                <w:sz w:val="16"/>
                <w:szCs w:val="16"/>
              </w:rPr>
            </w:pPr>
            <w:r w:rsidRPr="007E63A2">
              <w:rPr>
                <w:rFonts w:asciiTheme="minorHAnsi" w:eastAsia="Calibri" w:hAnsiTheme="minorHAnsi" w:cstheme="minorHAnsi"/>
                <w:b/>
                <w:spacing w:val="-5"/>
                <w:sz w:val="16"/>
                <w:szCs w:val="16"/>
              </w:rPr>
              <w:t>CONCLUSIÓN FINAL</w:t>
            </w:r>
          </w:p>
        </w:tc>
        <w:tc>
          <w:tcPr>
            <w:tcW w:w="426" w:type="dxa"/>
            <w:tcBorders>
              <w:top w:val="single" w:sz="4" w:space="0" w:color="000000"/>
              <w:left w:val="single" w:sz="4" w:space="0" w:color="000000"/>
              <w:bottom w:val="single" w:sz="4" w:space="0" w:color="000000"/>
              <w:right w:val="single" w:sz="4" w:space="0" w:color="000000"/>
            </w:tcBorders>
            <w:vAlign w:val="center"/>
          </w:tcPr>
          <w:p w14:paraId="4604C6B4" w14:textId="5E4A5EBE" w:rsidR="00E863AE" w:rsidRPr="007E63A2" w:rsidRDefault="00E863AE" w:rsidP="00E863AE">
            <w:pPr>
              <w:autoSpaceDE w:val="0"/>
              <w:autoSpaceDN w:val="0"/>
              <w:adjustRightInd w:val="0"/>
              <w:ind w:right="-108"/>
              <w:rPr>
                <w:rFonts w:asciiTheme="minorHAnsi" w:eastAsia="Calibri" w:hAnsiTheme="minorHAnsi" w:cstheme="minorHAnsi"/>
                <w:b/>
                <w:spacing w:val="-5"/>
                <w:sz w:val="16"/>
                <w:szCs w:val="16"/>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4047AE93" w14:textId="0E834DBF" w:rsidR="00E863AE" w:rsidRPr="007E63A2" w:rsidRDefault="00E863AE" w:rsidP="00E863AE">
            <w:pPr>
              <w:autoSpaceDE w:val="0"/>
              <w:autoSpaceDN w:val="0"/>
              <w:adjustRightInd w:val="0"/>
              <w:ind w:right="-108"/>
              <w:rPr>
                <w:rFonts w:asciiTheme="minorHAnsi" w:eastAsia="Calibri" w:hAnsiTheme="minorHAnsi" w:cstheme="minorHAnsi"/>
                <w:b/>
                <w:spacing w:val="-5"/>
                <w:sz w:val="16"/>
                <w:szCs w:val="16"/>
              </w:rPr>
            </w:pPr>
            <w:r w:rsidRPr="007E63A2">
              <w:rPr>
                <w:rFonts w:asciiTheme="minorHAnsi" w:eastAsia="Calibri" w:hAnsiTheme="minorHAnsi" w:cstheme="minorHAnsi"/>
                <w:b/>
                <w:spacing w:val="-5"/>
                <w:sz w:val="16"/>
                <w:szCs w:val="16"/>
              </w:rPr>
              <w:t>X</w:t>
            </w:r>
          </w:p>
        </w:tc>
        <w:tc>
          <w:tcPr>
            <w:tcW w:w="3401" w:type="dxa"/>
            <w:tcBorders>
              <w:top w:val="single" w:sz="4" w:space="0" w:color="000000"/>
              <w:left w:val="single" w:sz="4" w:space="0" w:color="000000"/>
              <w:bottom w:val="single" w:sz="4" w:space="0" w:color="000000"/>
              <w:right w:val="single" w:sz="4" w:space="0" w:color="000000"/>
            </w:tcBorders>
            <w:vAlign w:val="center"/>
          </w:tcPr>
          <w:p w14:paraId="1901064F" w14:textId="159FB764"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eastAsia="Calibri" w:hAnsiTheme="minorHAnsi" w:cstheme="minorHAnsi"/>
                <w:bCs/>
                <w:spacing w:val="-5"/>
                <w:sz w:val="16"/>
                <w:szCs w:val="16"/>
              </w:rPr>
              <w:t>Se considera que no es necesario informar a la SIC sobre el proceso regulatorio ya que el resultado del diligenciamiento del cuestionario así lo establece.</w:t>
            </w:r>
          </w:p>
        </w:tc>
        <w:tc>
          <w:tcPr>
            <w:tcW w:w="1843" w:type="dxa"/>
            <w:tcBorders>
              <w:top w:val="single" w:sz="4" w:space="0" w:color="000000"/>
              <w:left w:val="single" w:sz="4" w:space="0" w:color="000000"/>
              <w:bottom w:val="single" w:sz="4" w:space="0" w:color="000000"/>
              <w:right w:val="single" w:sz="4" w:space="0" w:color="000000"/>
            </w:tcBorders>
          </w:tcPr>
          <w:p w14:paraId="575BD46C" w14:textId="10F33762" w:rsidR="00E863AE" w:rsidRPr="007E63A2" w:rsidRDefault="00E863AE" w:rsidP="00E863AE">
            <w:pPr>
              <w:autoSpaceDE w:val="0"/>
              <w:autoSpaceDN w:val="0"/>
              <w:adjustRightInd w:val="0"/>
              <w:jc w:val="center"/>
              <w:rPr>
                <w:rFonts w:asciiTheme="minorHAnsi" w:eastAsia="Calibri" w:hAnsiTheme="minorHAnsi" w:cstheme="minorHAnsi"/>
                <w:bCs/>
                <w:spacing w:val="-5"/>
                <w:sz w:val="16"/>
                <w:szCs w:val="16"/>
              </w:rPr>
            </w:pPr>
            <w:r w:rsidRPr="007E63A2">
              <w:rPr>
                <w:rFonts w:asciiTheme="minorHAnsi" w:hAnsiTheme="minorHAnsi" w:cstheme="minorHAnsi"/>
                <w:sz w:val="16"/>
                <w:szCs w:val="16"/>
              </w:rPr>
              <w:t>No se tienen observaciones adicionales por parte de la Comisión.</w:t>
            </w:r>
          </w:p>
        </w:tc>
      </w:tr>
    </w:tbl>
    <w:p w14:paraId="5B737939" w14:textId="77777777" w:rsidR="00E43762" w:rsidRPr="007E63A2" w:rsidRDefault="00E43762" w:rsidP="007E70D7">
      <w:pPr>
        <w:spacing w:line="276" w:lineRule="auto"/>
        <w:rPr>
          <w:rFonts w:cs="Arial"/>
          <w:color w:val="000000"/>
          <w:lang w:eastAsia="es-CO"/>
        </w:rPr>
      </w:pPr>
    </w:p>
    <w:p w14:paraId="0C26D67E" w14:textId="77777777" w:rsidR="003B7CF7" w:rsidRPr="007E63A2" w:rsidRDefault="003B7CF7" w:rsidP="007E70D7">
      <w:pPr>
        <w:spacing w:line="276" w:lineRule="auto"/>
        <w:rPr>
          <w:rFonts w:cs="Arial"/>
          <w:color w:val="000000"/>
          <w:lang w:eastAsia="es-CO"/>
        </w:rPr>
        <w:sectPr w:rsidR="003B7CF7" w:rsidRPr="007E63A2" w:rsidSect="0077100C">
          <w:headerReference w:type="even" r:id="rId15"/>
          <w:headerReference w:type="default" r:id="rId16"/>
          <w:footerReference w:type="even" r:id="rId17"/>
          <w:footerReference w:type="default" r:id="rId18"/>
          <w:headerReference w:type="first" r:id="rId19"/>
          <w:footerReference w:type="first" r:id="rId20"/>
          <w:pgSz w:w="12242" w:h="15842" w:code="1"/>
          <w:pgMar w:top="1701" w:right="1701" w:bottom="1701" w:left="1701" w:header="851" w:footer="851" w:gutter="0"/>
          <w:cols w:space="720"/>
          <w:titlePg/>
          <w:docGrid w:linePitch="326"/>
        </w:sectPr>
      </w:pPr>
    </w:p>
    <w:p w14:paraId="3710D82D" w14:textId="1B240301" w:rsidR="0020136D" w:rsidRPr="007E63A2" w:rsidRDefault="0020136D" w:rsidP="0020136D">
      <w:pPr>
        <w:pStyle w:val="Ttulo1"/>
        <w:numPr>
          <w:ilvl w:val="0"/>
          <w:numId w:val="0"/>
        </w:numPr>
        <w:spacing w:after="0" w:line="276" w:lineRule="auto"/>
        <w:ind w:left="431"/>
        <w:jc w:val="center"/>
        <w:rPr>
          <w:sz w:val="22"/>
        </w:rPr>
      </w:pPr>
      <w:bookmarkStart w:id="28" w:name="_Toc212219343"/>
      <w:r w:rsidRPr="007E63A2">
        <w:rPr>
          <w:sz w:val="22"/>
        </w:rPr>
        <w:lastRenderedPageBreak/>
        <w:t>ANEXO</w:t>
      </w:r>
      <w:r w:rsidR="003B7CF7" w:rsidRPr="007E63A2">
        <w:rPr>
          <w:sz w:val="22"/>
        </w:rPr>
        <w:t xml:space="preserve"> 2</w:t>
      </w:r>
      <w:r w:rsidR="00D9123D" w:rsidRPr="007E63A2">
        <w:rPr>
          <w:sz w:val="22"/>
        </w:rPr>
        <w:t>. RESPUESTA A LOS COMENTARIOS DE LA RESOLUCIÓN CREG 701 097 DE 2025</w:t>
      </w:r>
      <w:bookmarkEnd w:id="28"/>
    </w:p>
    <w:p w14:paraId="62FC05C8" w14:textId="7639822F" w:rsidR="0020136D" w:rsidRPr="007E63A2" w:rsidRDefault="0020136D" w:rsidP="002F590C">
      <w:pPr>
        <w:ind w:right="51"/>
      </w:pPr>
    </w:p>
    <w:tbl>
      <w:tblPr>
        <w:tblW w:w="5000" w:type="pct"/>
        <w:tblCellMar>
          <w:left w:w="70" w:type="dxa"/>
          <w:right w:w="70" w:type="dxa"/>
        </w:tblCellMar>
        <w:tblLook w:val="04A0" w:firstRow="1" w:lastRow="0" w:firstColumn="1" w:lastColumn="0" w:noHBand="0" w:noVBand="1"/>
      </w:tblPr>
      <w:tblGrid>
        <w:gridCol w:w="375"/>
        <w:gridCol w:w="1030"/>
        <w:gridCol w:w="909"/>
        <w:gridCol w:w="4485"/>
        <w:gridCol w:w="1852"/>
        <w:gridCol w:w="3779"/>
      </w:tblGrid>
      <w:tr w:rsidR="00651E5A" w:rsidRPr="007E63A2" w14:paraId="4250288D" w14:textId="77777777" w:rsidTr="00651E5A">
        <w:trPr>
          <w:trHeight w:val="290"/>
          <w:tblHeader/>
        </w:trPr>
        <w:tc>
          <w:tcPr>
            <w:tcW w:w="151" w:type="pct"/>
            <w:tcBorders>
              <w:top w:val="single" w:sz="4" w:space="0" w:color="auto"/>
              <w:left w:val="single" w:sz="4" w:space="0" w:color="auto"/>
              <w:bottom w:val="single" w:sz="4" w:space="0" w:color="auto"/>
              <w:right w:val="single" w:sz="4" w:space="0" w:color="auto"/>
            </w:tcBorders>
            <w:shd w:val="clear" w:color="000000" w:fill="44546A"/>
            <w:vAlign w:val="center"/>
            <w:hideMark/>
          </w:tcPr>
          <w:p w14:paraId="618D95F0" w14:textId="77777777" w:rsidR="006B34EA" w:rsidRPr="007E63A2" w:rsidRDefault="006B34EA" w:rsidP="006B34EA">
            <w:pPr>
              <w:jc w:val="center"/>
              <w:rPr>
                <w:rFonts w:ascii="Calibri" w:hAnsi="Calibri" w:cs="Calibri"/>
                <w:b/>
                <w:bCs/>
                <w:color w:val="FFFFFF"/>
                <w:sz w:val="16"/>
                <w:szCs w:val="16"/>
                <w:lang w:eastAsia="zh-CN"/>
              </w:rPr>
            </w:pPr>
            <w:r w:rsidRPr="007E63A2">
              <w:rPr>
                <w:rFonts w:ascii="Calibri" w:hAnsi="Calibri" w:cs="Calibri"/>
                <w:b/>
                <w:bCs/>
                <w:color w:val="FFFFFF"/>
                <w:sz w:val="16"/>
                <w:szCs w:val="16"/>
                <w:lang w:eastAsia="zh-CN"/>
              </w:rPr>
              <w:t>No.</w:t>
            </w:r>
          </w:p>
        </w:tc>
        <w:tc>
          <w:tcPr>
            <w:tcW w:w="414" w:type="pct"/>
            <w:tcBorders>
              <w:top w:val="single" w:sz="4" w:space="0" w:color="auto"/>
              <w:left w:val="nil"/>
              <w:bottom w:val="single" w:sz="4" w:space="0" w:color="auto"/>
              <w:right w:val="single" w:sz="4" w:space="0" w:color="auto"/>
            </w:tcBorders>
            <w:shd w:val="clear" w:color="000000" w:fill="44546A"/>
            <w:vAlign w:val="center"/>
            <w:hideMark/>
          </w:tcPr>
          <w:p w14:paraId="0FBE0C68" w14:textId="77777777" w:rsidR="006B34EA" w:rsidRPr="007E63A2" w:rsidRDefault="006B34EA" w:rsidP="006B34EA">
            <w:pPr>
              <w:jc w:val="center"/>
              <w:rPr>
                <w:rFonts w:ascii="Calibri" w:hAnsi="Calibri" w:cs="Calibri"/>
                <w:b/>
                <w:bCs/>
                <w:color w:val="FFFFFF"/>
                <w:sz w:val="16"/>
                <w:szCs w:val="16"/>
                <w:lang w:eastAsia="zh-CN"/>
              </w:rPr>
            </w:pPr>
            <w:r w:rsidRPr="007E63A2">
              <w:rPr>
                <w:rFonts w:ascii="Calibri" w:hAnsi="Calibri" w:cs="Calibri"/>
                <w:b/>
                <w:bCs/>
                <w:color w:val="FFFFFF"/>
                <w:sz w:val="16"/>
                <w:szCs w:val="16"/>
                <w:lang w:eastAsia="zh-CN"/>
              </w:rPr>
              <w:t>RADICADO</w:t>
            </w:r>
          </w:p>
        </w:tc>
        <w:tc>
          <w:tcPr>
            <w:tcW w:w="366" w:type="pct"/>
            <w:tcBorders>
              <w:top w:val="single" w:sz="4" w:space="0" w:color="auto"/>
              <w:left w:val="nil"/>
              <w:bottom w:val="single" w:sz="4" w:space="0" w:color="auto"/>
              <w:right w:val="single" w:sz="4" w:space="0" w:color="auto"/>
            </w:tcBorders>
            <w:shd w:val="clear" w:color="000000" w:fill="44546A"/>
            <w:vAlign w:val="center"/>
            <w:hideMark/>
          </w:tcPr>
          <w:p w14:paraId="08EE9AB2" w14:textId="77777777" w:rsidR="006B34EA" w:rsidRPr="007E63A2" w:rsidRDefault="006B34EA" w:rsidP="006B34EA">
            <w:pPr>
              <w:jc w:val="center"/>
              <w:rPr>
                <w:rFonts w:ascii="Calibri" w:hAnsi="Calibri" w:cs="Calibri"/>
                <w:b/>
                <w:bCs/>
                <w:color w:val="FFFFFF"/>
                <w:sz w:val="16"/>
                <w:szCs w:val="16"/>
                <w:lang w:eastAsia="zh-CN"/>
              </w:rPr>
            </w:pPr>
            <w:r w:rsidRPr="007E63A2">
              <w:rPr>
                <w:rFonts w:ascii="Calibri" w:hAnsi="Calibri" w:cs="Calibri"/>
                <w:b/>
                <w:bCs/>
                <w:color w:val="FFFFFF"/>
                <w:sz w:val="16"/>
                <w:szCs w:val="16"/>
                <w:lang w:eastAsia="zh-CN"/>
              </w:rPr>
              <w:t>EMPRESA</w:t>
            </w:r>
          </w:p>
        </w:tc>
        <w:tc>
          <w:tcPr>
            <w:tcW w:w="1804" w:type="pct"/>
            <w:tcBorders>
              <w:top w:val="single" w:sz="4" w:space="0" w:color="auto"/>
              <w:left w:val="nil"/>
              <w:bottom w:val="single" w:sz="4" w:space="0" w:color="auto"/>
              <w:right w:val="single" w:sz="4" w:space="0" w:color="auto"/>
            </w:tcBorders>
            <w:shd w:val="clear" w:color="000000" w:fill="44546A"/>
            <w:vAlign w:val="center"/>
            <w:hideMark/>
          </w:tcPr>
          <w:p w14:paraId="44B158E2" w14:textId="77777777" w:rsidR="006B34EA" w:rsidRPr="007E63A2" w:rsidRDefault="006B34EA" w:rsidP="006B34EA">
            <w:pPr>
              <w:jc w:val="center"/>
              <w:rPr>
                <w:rFonts w:ascii="Calibri" w:hAnsi="Calibri" w:cs="Calibri"/>
                <w:b/>
                <w:bCs/>
                <w:color w:val="FFFFFF"/>
                <w:sz w:val="16"/>
                <w:szCs w:val="16"/>
                <w:lang w:eastAsia="zh-CN"/>
              </w:rPr>
            </w:pPr>
            <w:r w:rsidRPr="007E63A2">
              <w:rPr>
                <w:rFonts w:ascii="Calibri" w:hAnsi="Calibri" w:cs="Calibri"/>
                <w:b/>
                <w:bCs/>
                <w:color w:val="FFFFFF"/>
                <w:sz w:val="16"/>
                <w:szCs w:val="16"/>
                <w:lang w:eastAsia="zh-CN"/>
              </w:rPr>
              <w:t>COMENTARIO</w:t>
            </w:r>
          </w:p>
        </w:tc>
        <w:tc>
          <w:tcPr>
            <w:tcW w:w="745" w:type="pct"/>
            <w:tcBorders>
              <w:top w:val="single" w:sz="4" w:space="0" w:color="auto"/>
              <w:left w:val="nil"/>
              <w:bottom w:val="single" w:sz="4" w:space="0" w:color="auto"/>
              <w:right w:val="single" w:sz="4" w:space="0" w:color="auto"/>
            </w:tcBorders>
            <w:shd w:val="clear" w:color="000000" w:fill="44546A"/>
            <w:vAlign w:val="center"/>
            <w:hideMark/>
          </w:tcPr>
          <w:p w14:paraId="62ABB51C" w14:textId="77777777" w:rsidR="006B34EA" w:rsidRPr="007E63A2" w:rsidRDefault="006B34EA" w:rsidP="006B34EA">
            <w:pPr>
              <w:jc w:val="center"/>
              <w:rPr>
                <w:rFonts w:ascii="Calibri" w:hAnsi="Calibri" w:cs="Calibri"/>
                <w:b/>
                <w:bCs/>
                <w:color w:val="FFFFFF"/>
                <w:sz w:val="16"/>
                <w:szCs w:val="16"/>
                <w:lang w:eastAsia="zh-CN"/>
              </w:rPr>
            </w:pPr>
            <w:r w:rsidRPr="007E63A2">
              <w:rPr>
                <w:rFonts w:ascii="Calibri" w:hAnsi="Calibri" w:cs="Calibri"/>
                <w:b/>
                <w:bCs/>
                <w:color w:val="FFFFFF"/>
                <w:sz w:val="16"/>
                <w:szCs w:val="16"/>
                <w:lang w:eastAsia="zh-CN"/>
              </w:rPr>
              <w:t>PROPUESTA AJUSTE</w:t>
            </w:r>
          </w:p>
        </w:tc>
        <w:tc>
          <w:tcPr>
            <w:tcW w:w="1521" w:type="pct"/>
            <w:tcBorders>
              <w:top w:val="single" w:sz="4" w:space="0" w:color="auto"/>
              <w:left w:val="nil"/>
              <w:bottom w:val="single" w:sz="4" w:space="0" w:color="auto"/>
              <w:right w:val="single" w:sz="4" w:space="0" w:color="auto"/>
            </w:tcBorders>
            <w:shd w:val="clear" w:color="000000" w:fill="44546A"/>
            <w:vAlign w:val="center"/>
            <w:hideMark/>
          </w:tcPr>
          <w:p w14:paraId="704FD94C" w14:textId="77777777" w:rsidR="006B34EA" w:rsidRPr="007E63A2" w:rsidRDefault="006B34EA" w:rsidP="006B34EA">
            <w:pPr>
              <w:jc w:val="center"/>
              <w:rPr>
                <w:rFonts w:ascii="Calibri" w:hAnsi="Calibri" w:cs="Calibri"/>
                <w:b/>
                <w:bCs/>
                <w:color w:val="FFFFFF"/>
                <w:sz w:val="16"/>
                <w:szCs w:val="16"/>
                <w:lang w:eastAsia="zh-CN"/>
              </w:rPr>
            </w:pPr>
            <w:r w:rsidRPr="007E63A2">
              <w:rPr>
                <w:rFonts w:ascii="Calibri" w:hAnsi="Calibri" w:cs="Calibri"/>
                <w:b/>
                <w:bCs/>
                <w:color w:val="FFFFFF"/>
                <w:sz w:val="16"/>
                <w:szCs w:val="16"/>
                <w:lang w:eastAsia="zh-CN"/>
              </w:rPr>
              <w:t>RESPUESTA CREG</w:t>
            </w:r>
          </w:p>
        </w:tc>
      </w:tr>
      <w:tr w:rsidR="00651E5A" w:rsidRPr="007E63A2" w14:paraId="19EFD256" w14:textId="77777777" w:rsidTr="00651E5A">
        <w:trPr>
          <w:trHeight w:val="4350"/>
        </w:trPr>
        <w:tc>
          <w:tcPr>
            <w:tcW w:w="151" w:type="pct"/>
            <w:tcBorders>
              <w:top w:val="nil"/>
              <w:left w:val="single" w:sz="4" w:space="0" w:color="auto"/>
              <w:bottom w:val="single" w:sz="4" w:space="0" w:color="auto"/>
              <w:right w:val="single" w:sz="4" w:space="0" w:color="auto"/>
            </w:tcBorders>
            <w:vAlign w:val="center"/>
            <w:hideMark/>
          </w:tcPr>
          <w:p w14:paraId="1830917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1</w:t>
            </w:r>
          </w:p>
        </w:tc>
        <w:tc>
          <w:tcPr>
            <w:tcW w:w="414" w:type="pct"/>
            <w:tcBorders>
              <w:top w:val="nil"/>
              <w:left w:val="nil"/>
              <w:bottom w:val="single" w:sz="4" w:space="0" w:color="auto"/>
              <w:right w:val="single" w:sz="4" w:space="0" w:color="auto"/>
            </w:tcBorders>
            <w:vAlign w:val="center"/>
            <w:hideMark/>
          </w:tcPr>
          <w:p w14:paraId="1A48B5A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726DAF7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74F071D7" w14:textId="5A53B807" w:rsidR="00960FA1" w:rsidRPr="007E63A2" w:rsidRDefault="006B34EA" w:rsidP="00960FA1">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El artículo establece un régimen transitorio para la aplicación del precio promedio ponderado de contratos (Mcm) condicionado a la expedición futura de una metodología por parte de la CREG.</w:t>
            </w:r>
            <w:r w:rsidRPr="007E63A2">
              <w:rPr>
                <w:rFonts w:ascii="Calibri" w:hAnsi="Calibri" w:cs="Calibri"/>
                <w:color w:val="000000"/>
                <w:sz w:val="16"/>
                <w:szCs w:val="16"/>
                <w:lang w:eastAsia="zh-CN"/>
              </w:rPr>
              <w:br/>
              <w:t>La propuesta introduce una incertidumbre temporal indefinida al no establecer plazos máximos para la expedición de la metodología de traslado de compras de energía. Esta ausencia impide la planeación financiera adecuada de comercializadores y generadores, afectando la estabilidad contractual del mercado.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remisión al precio de bolsa horario durante el período transitorio traslada riesgos de volatilidad a los agentes sin mecanismos de cobertura, comprometiendo la sostenibilidad económica de contratos de largo plazo. Esta situación resulta particularmente gravosa para autogeneradores con proyectos de energías renovables que requieren estabilidad tarifaria para la viabilidad financiera.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t xml:space="preserve">Recomendación: </w:t>
            </w:r>
            <w:r w:rsidRPr="007E63A2">
              <w:rPr>
                <w:rFonts w:ascii="Calibri" w:hAnsi="Calibri" w:cs="Calibri"/>
                <w:color w:val="000000"/>
                <w:sz w:val="16"/>
                <w:szCs w:val="16"/>
                <w:lang w:eastAsia="zh-CN"/>
              </w:rPr>
              <w:t>Se sugiere establecer un plazo máximo improrrogable de seis (6) meses para la expedición de la metodología complementaria, unificar los criterios de aplicación para todas las modalidades de autogeneración y establecer mecanismos transitorios de estabilización de precios que protejan la sostenibilidad contractual.</w:t>
            </w:r>
          </w:p>
        </w:tc>
        <w:tc>
          <w:tcPr>
            <w:tcW w:w="745" w:type="pct"/>
            <w:tcBorders>
              <w:top w:val="nil"/>
              <w:left w:val="nil"/>
              <w:bottom w:val="single" w:sz="4" w:space="0" w:color="auto"/>
              <w:right w:val="single" w:sz="4" w:space="0" w:color="auto"/>
            </w:tcBorders>
            <w:vAlign w:val="center"/>
            <w:hideMark/>
          </w:tcPr>
          <w:p w14:paraId="474C459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2F1010C0" w14:textId="0EB55C47" w:rsidR="004C23F9" w:rsidRPr="007E63A2" w:rsidRDefault="00E11DCB" w:rsidP="006B34EA">
            <w:pPr>
              <w:jc w:val="left"/>
              <w:rPr>
                <w:rFonts w:ascii="Calibri (Cuerpo)" w:hAnsi="Calibri (Cuerpo)" w:cs="Calibri"/>
                <w:sz w:val="16"/>
                <w:szCs w:val="16"/>
                <w:lang w:eastAsia="zh-CN"/>
              </w:rPr>
            </w:pPr>
            <w:r w:rsidRPr="007E63A2">
              <w:rPr>
                <w:rFonts w:ascii="Calibri (Cuerpo)" w:hAnsi="Calibri (Cuerpo)" w:cs="Calibri"/>
                <w:sz w:val="16"/>
                <w:szCs w:val="16"/>
                <w:lang w:eastAsia="zh-CN"/>
              </w:rPr>
              <w:t>Inicialmente, d</w:t>
            </w:r>
            <w:r w:rsidR="00596AB2" w:rsidRPr="007E63A2">
              <w:rPr>
                <w:rFonts w:ascii="Calibri (Cuerpo)" w:hAnsi="Calibri (Cuerpo)" w:cs="Calibri"/>
                <w:sz w:val="16"/>
                <w:szCs w:val="16"/>
                <w:lang w:eastAsia="zh-CN"/>
              </w:rPr>
              <w:t>ebe tenerse</w:t>
            </w:r>
            <w:r w:rsidR="002F30C9" w:rsidRPr="007E63A2">
              <w:rPr>
                <w:rFonts w:ascii="Calibri (Cuerpo)" w:hAnsi="Calibri (Cuerpo)" w:cs="Calibri"/>
                <w:sz w:val="16"/>
                <w:szCs w:val="16"/>
                <w:lang w:eastAsia="zh-CN"/>
              </w:rPr>
              <w:t xml:space="preserve"> </w:t>
            </w:r>
            <w:r w:rsidR="00596AB2" w:rsidRPr="007E63A2">
              <w:rPr>
                <w:rFonts w:ascii="Calibri (Cuerpo)" w:hAnsi="Calibri (Cuerpo)" w:cs="Calibri"/>
                <w:sz w:val="16"/>
                <w:szCs w:val="16"/>
                <w:lang w:eastAsia="zh-CN"/>
              </w:rPr>
              <w:t xml:space="preserve">presente que </w:t>
            </w:r>
            <w:r w:rsidR="002F30C9" w:rsidRPr="007E63A2">
              <w:rPr>
                <w:rFonts w:ascii="Calibri (Cuerpo)" w:hAnsi="Calibri (Cuerpo)" w:cs="Calibri"/>
                <w:sz w:val="16"/>
                <w:szCs w:val="16"/>
                <w:lang w:eastAsia="zh-CN"/>
              </w:rPr>
              <w:t>el artículo 73.11 de la Ley 142 de 1994 atribuyó a la CREG la facultad de establecer las fórmulas para la fijación de las tarifas del servicio público domiciliario de energía eléctrica</w:t>
            </w:r>
            <w:r w:rsidRPr="007E63A2">
              <w:rPr>
                <w:rFonts w:ascii="Calibri (Cuerpo)" w:hAnsi="Calibri (Cuerpo)" w:cs="Calibri"/>
                <w:sz w:val="16"/>
                <w:szCs w:val="16"/>
                <w:lang w:eastAsia="zh-CN"/>
              </w:rPr>
              <w:t>. Adicionalmente, el artículo 23 de</w:t>
            </w:r>
            <w:r w:rsidR="004C23F9" w:rsidRPr="007E63A2">
              <w:rPr>
                <w:rFonts w:ascii="Calibri (Cuerpo)" w:hAnsi="Calibri (Cuerpo)" w:cs="Calibri"/>
                <w:sz w:val="16"/>
                <w:szCs w:val="16"/>
                <w:lang w:eastAsia="zh-CN"/>
              </w:rPr>
              <w:t xml:space="preserve"> la Ley 143 de 1994, asignó a la Comisión la función de aprobar las fórmulas tarifarias y las metodologías para el cálculo de las tarifas aplicables a los usuarios regulados.</w:t>
            </w:r>
          </w:p>
          <w:p w14:paraId="61BF79C6" w14:textId="77777777" w:rsidR="004C23F9" w:rsidRPr="007E63A2" w:rsidRDefault="004C23F9" w:rsidP="006B34EA">
            <w:pPr>
              <w:jc w:val="left"/>
              <w:rPr>
                <w:rFonts w:ascii="Calibri" w:hAnsi="Calibri" w:cs="Calibri"/>
                <w:sz w:val="16"/>
                <w:szCs w:val="16"/>
                <w:lang w:eastAsia="zh-CN"/>
              </w:rPr>
            </w:pPr>
          </w:p>
          <w:p w14:paraId="5577C0BC" w14:textId="1778EF22" w:rsidR="00B474B7" w:rsidRPr="007E63A2" w:rsidRDefault="00B474B7" w:rsidP="006B34EA">
            <w:pPr>
              <w:jc w:val="left"/>
              <w:rPr>
                <w:rFonts w:ascii="Calibri" w:hAnsi="Calibri" w:cs="Calibri"/>
                <w:sz w:val="16"/>
                <w:szCs w:val="16"/>
                <w:lang w:eastAsia="zh-CN"/>
              </w:rPr>
            </w:pPr>
            <w:r w:rsidRPr="007E63A2">
              <w:rPr>
                <w:rFonts w:ascii="Calibri" w:hAnsi="Calibri" w:cs="Calibri"/>
                <w:sz w:val="16"/>
                <w:szCs w:val="16"/>
                <w:lang w:eastAsia="zh-CN"/>
              </w:rPr>
              <w:t>Por otro lado, d</w:t>
            </w:r>
            <w:r w:rsidR="006B34EA" w:rsidRPr="007E63A2">
              <w:rPr>
                <w:rFonts w:ascii="Calibri" w:hAnsi="Calibri" w:cs="Calibri"/>
                <w:sz w:val="16"/>
                <w:szCs w:val="16"/>
                <w:lang w:eastAsia="zh-CN"/>
              </w:rPr>
              <w:t xml:space="preserve">e acuerdo con los </w:t>
            </w:r>
            <w:r w:rsidR="00651E5A" w:rsidRPr="007E63A2">
              <w:rPr>
                <w:rFonts w:ascii="Calibri" w:hAnsi="Calibri" w:cs="Calibri"/>
                <w:sz w:val="16"/>
                <w:szCs w:val="16"/>
                <w:lang w:eastAsia="zh-CN"/>
              </w:rPr>
              <w:t>análisis</w:t>
            </w:r>
            <w:r w:rsidR="006B34EA" w:rsidRPr="007E63A2">
              <w:rPr>
                <w:rFonts w:ascii="Calibri" w:hAnsi="Calibri" w:cs="Calibri"/>
                <w:sz w:val="16"/>
                <w:szCs w:val="16"/>
                <w:lang w:eastAsia="zh-CN"/>
              </w:rPr>
              <w:t xml:space="preserve"> realizados por la Comisión es posible concluir </w:t>
            </w:r>
            <w:r w:rsidR="00651E5A" w:rsidRPr="007E63A2">
              <w:rPr>
                <w:rFonts w:ascii="Calibri" w:hAnsi="Calibri" w:cs="Calibri"/>
                <w:sz w:val="16"/>
                <w:szCs w:val="16"/>
                <w:lang w:eastAsia="zh-CN"/>
              </w:rPr>
              <w:t>que,</w:t>
            </w:r>
            <w:r w:rsidR="006B34EA" w:rsidRPr="007E63A2">
              <w:rPr>
                <w:rFonts w:ascii="Calibri" w:hAnsi="Calibri" w:cs="Calibri"/>
                <w:sz w:val="16"/>
                <w:szCs w:val="16"/>
                <w:lang w:eastAsia="zh-CN"/>
              </w:rPr>
              <w:t xml:space="preserve"> si se toma un periodo de tiempo prudente en las evaluaciones financieras, </w:t>
            </w:r>
            <w:r w:rsidR="00651E5A" w:rsidRPr="007E63A2">
              <w:rPr>
                <w:rFonts w:ascii="Calibri" w:hAnsi="Calibri" w:cs="Calibri"/>
                <w:sz w:val="16"/>
                <w:szCs w:val="16"/>
                <w:lang w:eastAsia="zh-CN"/>
              </w:rPr>
              <w:t>típicas</w:t>
            </w:r>
            <w:r w:rsidR="006B34EA" w:rsidRPr="007E63A2">
              <w:rPr>
                <w:rFonts w:ascii="Calibri" w:hAnsi="Calibri" w:cs="Calibri"/>
                <w:sz w:val="16"/>
                <w:szCs w:val="16"/>
                <w:lang w:eastAsia="zh-CN"/>
              </w:rPr>
              <w:t xml:space="preserve"> para este tipo de proyectos no se encuentran variaciones considerables entre el precio de bolsa y el Mc.</w:t>
            </w:r>
            <w:r w:rsidRPr="007E63A2">
              <w:rPr>
                <w:rFonts w:ascii="Calibri" w:hAnsi="Calibri" w:cs="Calibri"/>
                <w:sz w:val="16"/>
                <w:szCs w:val="16"/>
                <w:lang w:eastAsia="zh-CN"/>
              </w:rPr>
              <w:t xml:space="preserve"> Por lo anterior, no se acoge el comentario.</w:t>
            </w:r>
          </w:p>
          <w:p w14:paraId="52A04A06" w14:textId="77777777" w:rsidR="00B474B7" w:rsidRPr="007E63A2" w:rsidRDefault="00B474B7" w:rsidP="006B34EA">
            <w:pPr>
              <w:jc w:val="left"/>
              <w:rPr>
                <w:rFonts w:ascii="Calibri" w:hAnsi="Calibri" w:cs="Calibri"/>
                <w:sz w:val="16"/>
                <w:szCs w:val="16"/>
                <w:lang w:eastAsia="zh-CN"/>
              </w:rPr>
            </w:pPr>
          </w:p>
          <w:p w14:paraId="541738EE" w14:textId="6E29BF64" w:rsidR="006B34EA" w:rsidRPr="007E63A2" w:rsidRDefault="006B34EA" w:rsidP="006B34EA">
            <w:pPr>
              <w:jc w:val="left"/>
              <w:rPr>
                <w:rFonts w:ascii="Calibri" w:hAnsi="Calibri" w:cs="Calibri"/>
                <w:color w:val="000000"/>
                <w:sz w:val="16"/>
                <w:szCs w:val="16"/>
                <w:lang w:eastAsia="zh-CN"/>
              </w:rPr>
            </w:pPr>
            <w:r w:rsidRPr="007E63A2">
              <w:rPr>
                <w:rFonts w:ascii="Calibri" w:hAnsi="Calibri" w:cs="Calibri"/>
                <w:sz w:val="16"/>
                <w:szCs w:val="16"/>
                <w:lang w:eastAsia="zh-CN"/>
              </w:rPr>
              <w:t xml:space="preserve">Finalmente es necesario mencionar que la </w:t>
            </w:r>
            <w:r w:rsidR="00651E5A" w:rsidRPr="007E63A2">
              <w:rPr>
                <w:rFonts w:ascii="Calibri" w:hAnsi="Calibri" w:cs="Calibri"/>
                <w:sz w:val="16"/>
                <w:szCs w:val="16"/>
                <w:lang w:eastAsia="zh-CN"/>
              </w:rPr>
              <w:t>construcción</w:t>
            </w:r>
            <w:r w:rsidRPr="007E63A2">
              <w:rPr>
                <w:rFonts w:ascii="Calibri" w:hAnsi="Calibri" w:cs="Calibri"/>
                <w:sz w:val="16"/>
                <w:szCs w:val="16"/>
                <w:lang w:eastAsia="zh-CN"/>
              </w:rPr>
              <w:t xml:space="preserve"> y </w:t>
            </w:r>
            <w:r w:rsidR="00651E5A" w:rsidRPr="007E63A2">
              <w:rPr>
                <w:rFonts w:ascii="Calibri" w:hAnsi="Calibri" w:cs="Calibri"/>
                <w:sz w:val="16"/>
                <w:szCs w:val="16"/>
                <w:lang w:eastAsia="zh-CN"/>
              </w:rPr>
              <w:t>publicación</w:t>
            </w:r>
            <w:r w:rsidRPr="007E63A2">
              <w:rPr>
                <w:rFonts w:ascii="Calibri" w:hAnsi="Calibri" w:cs="Calibri"/>
                <w:sz w:val="16"/>
                <w:szCs w:val="16"/>
                <w:lang w:eastAsia="zh-CN"/>
              </w:rPr>
              <w:t xml:space="preserve"> de la </w:t>
            </w:r>
            <w:r w:rsidR="00651E5A" w:rsidRPr="007E63A2">
              <w:rPr>
                <w:rFonts w:ascii="Calibri" w:hAnsi="Calibri" w:cs="Calibri"/>
                <w:sz w:val="16"/>
                <w:szCs w:val="16"/>
                <w:lang w:eastAsia="zh-CN"/>
              </w:rPr>
              <w:t>metodología</w:t>
            </w:r>
            <w:r w:rsidRPr="007E63A2">
              <w:rPr>
                <w:rFonts w:ascii="Calibri" w:hAnsi="Calibri" w:cs="Calibri"/>
                <w:sz w:val="16"/>
                <w:szCs w:val="16"/>
                <w:lang w:eastAsia="zh-CN"/>
              </w:rPr>
              <w:t xml:space="preserve"> para el traslado de compras se encuentra en la agenda regulatoria indicativa de la Comisión, la cual se espera que sea publicada prontamente. </w:t>
            </w:r>
          </w:p>
        </w:tc>
      </w:tr>
      <w:tr w:rsidR="00651E5A" w:rsidRPr="007E63A2" w14:paraId="7BF42BF2" w14:textId="77777777" w:rsidTr="00651E5A">
        <w:trPr>
          <w:trHeight w:val="6090"/>
        </w:trPr>
        <w:tc>
          <w:tcPr>
            <w:tcW w:w="151" w:type="pct"/>
            <w:tcBorders>
              <w:top w:val="nil"/>
              <w:left w:val="single" w:sz="4" w:space="0" w:color="auto"/>
              <w:bottom w:val="single" w:sz="4" w:space="0" w:color="auto"/>
              <w:right w:val="single" w:sz="4" w:space="0" w:color="auto"/>
            </w:tcBorders>
            <w:vAlign w:val="center"/>
            <w:hideMark/>
          </w:tcPr>
          <w:p w14:paraId="2064F8D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2</w:t>
            </w:r>
          </w:p>
        </w:tc>
        <w:tc>
          <w:tcPr>
            <w:tcW w:w="414" w:type="pct"/>
            <w:tcBorders>
              <w:top w:val="nil"/>
              <w:left w:val="nil"/>
              <w:bottom w:val="single" w:sz="4" w:space="0" w:color="auto"/>
              <w:right w:val="single" w:sz="4" w:space="0" w:color="auto"/>
            </w:tcBorders>
            <w:vAlign w:val="center"/>
            <w:hideMark/>
          </w:tcPr>
          <w:p w14:paraId="5CAB5AD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34CA062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455A407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parágrafo del artículo 26 de la Resolución CREG 101  072 de 2025 presenta vacíos que afectan la seguridad jurídica de los contratos de Generación Distribuida (GD), al prever la modificación unilateral de precios sin establecer mecanismos de protección para las partes.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propuesta no define plazos de notificación, formas de aceptación, efectos del rechazo ni procedimientos claros de resolución de controversias, lo cual genera incertidumbre contractual. Adicionalmente, la aplicación transitoria del precio de bolsa mediante el Anexo 1 fragmenta la regulación y aumenta la complejidad interpretativa, mientras que la excepción prevista para los contratos amparados en el literal a) del artículo 22 de la Resolución CREG 174 de 2021 carece de criterios objetivos de identificación, generando riesgos de conflictos interpretativos.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De igual forma, condicionar la modificación contractual a una resolución futura de la CREG introduce incertidumbre sobre la continuidad del servicio y la estabilidad de los proyectos de GD, lo que puede afectar negativamente la transición energética. En consecuencia, se recomienda que la propuesta incluya un procedimiento detallado de modificación contractual con plazos definidos, una notificación previa mínima de treinta (30) días, criterios objetivos para la aplicación de excepciones y un mecanismo expedito de resolución de controversias que brinde certeza y continuidad a los proyectos.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t>Recomendación:</w:t>
            </w:r>
            <w:r w:rsidRPr="007E63A2">
              <w:rPr>
                <w:rFonts w:ascii="Calibri" w:hAnsi="Calibri" w:cs="Calibri"/>
                <w:color w:val="000000"/>
                <w:sz w:val="16"/>
                <w:szCs w:val="16"/>
                <w:lang w:eastAsia="zh-CN"/>
              </w:rPr>
              <w:t xml:space="preserve"> (i) establecer un procedimiento detallado de modificación contractual con plazos específicos; (ii) implementar mecanismos de notificación previa de al menos treinta (30) días; (iii) definir criterios objetivos para la aplicación de excepciones; y (iv) establecer un mecanismo expedito de resolución de controversias.</w:t>
            </w:r>
          </w:p>
        </w:tc>
        <w:tc>
          <w:tcPr>
            <w:tcW w:w="745" w:type="pct"/>
            <w:tcBorders>
              <w:top w:val="nil"/>
              <w:left w:val="nil"/>
              <w:bottom w:val="single" w:sz="4" w:space="0" w:color="auto"/>
              <w:right w:val="single" w:sz="4" w:space="0" w:color="auto"/>
            </w:tcBorders>
            <w:vAlign w:val="center"/>
            <w:hideMark/>
          </w:tcPr>
          <w:p w14:paraId="3268B1B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7577473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No se acoge el comentario. La modificación contractual ya estaba considerada en la Resolución CREG 101 072 de 2025, en la propuesta, adicional a ajustar el tiempo en que se debe hacer la modificación (al mes siguiente de expedida la regla que defina el traslado del Mc), se incluyó la aclaración de enviar el contrato el representante del GD.</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Así mismo, los contratos donde se pactó el precio libremente (que no tienen traslado a tarifa) no se ven afectados por esta regla.</w:t>
            </w:r>
          </w:p>
        </w:tc>
      </w:tr>
      <w:tr w:rsidR="00651E5A" w:rsidRPr="007E63A2" w14:paraId="48C77F0C" w14:textId="77777777" w:rsidTr="00651E5A">
        <w:trPr>
          <w:trHeight w:val="3190"/>
        </w:trPr>
        <w:tc>
          <w:tcPr>
            <w:tcW w:w="151" w:type="pct"/>
            <w:tcBorders>
              <w:top w:val="nil"/>
              <w:left w:val="single" w:sz="4" w:space="0" w:color="auto"/>
              <w:bottom w:val="single" w:sz="4" w:space="0" w:color="auto"/>
              <w:right w:val="single" w:sz="4" w:space="0" w:color="auto"/>
            </w:tcBorders>
            <w:vAlign w:val="center"/>
            <w:hideMark/>
          </w:tcPr>
          <w:p w14:paraId="6146E5D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3</w:t>
            </w:r>
          </w:p>
        </w:tc>
        <w:tc>
          <w:tcPr>
            <w:tcW w:w="414" w:type="pct"/>
            <w:tcBorders>
              <w:top w:val="nil"/>
              <w:left w:val="nil"/>
              <w:bottom w:val="single" w:sz="4" w:space="0" w:color="auto"/>
              <w:right w:val="single" w:sz="4" w:space="0" w:color="auto"/>
            </w:tcBorders>
            <w:vAlign w:val="center"/>
            <w:hideMark/>
          </w:tcPr>
          <w:p w14:paraId="77EB42F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1775C95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1CBACC8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parágrafo del artículo 27 de la Resolución CREG 101 072 de 2025 reproduce las deficiencias procedimentales identificadas en el artículo anterior, aplicándolas específicamente a usuarios AGPE existentes y operando.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ausencia de mecanismos de compensación por la imposición unilateral de modificaciones contractuales puede constituir una vulneración al principio de intangibilidad de los contratos, generando potenciales acciones de reparación directa contra la administración.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t>Recomendación:</w:t>
            </w:r>
            <w:r w:rsidRPr="007E63A2">
              <w:rPr>
                <w:rFonts w:ascii="Calibri" w:hAnsi="Calibri" w:cs="Calibri"/>
                <w:color w:val="000000"/>
                <w:sz w:val="16"/>
                <w:szCs w:val="16"/>
                <w:lang w:eastAsia="zh-CN"/>
              </w:rPr>
              <w:t xml:space="preserve"> Se sugiere: (i) clarificar el tratamiento para todas las situaciones contractuales posibles; (ii) establecer criterios de compensación por modificaciones unilaterales; (iii) unificar el régimen aplicable a todas las modalidades de AGPE; y (iv) implementar mecanismos de protección de derechos adquiridos.</w:t>
            </w:r>
          </w:p>
        </w:tc>
        <w:tc>
          <w:tcPr>
            <w:tcW w:w="745" w:type="pct"/>
            <w:tcBorders>
              <w:top w:val="nil"/>
              <w:left w:val="nil"/>
              <w:bottom w:val="single" w:sz="4" w:space="0" w:color="auto"/>
              <w:right w:val="single" w:sz="4" w:space="0" w:color="auto"/>
            </w:tcBorders>
            <w:vAlign w:val="center"/>
            <w:hideMark/>
          </w:tcPr>
          <w:p w14:paraId="4545256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08B9539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No se acoge el comentario. La modificación contractual ya estaba considerada en la Resolución CREG 101 072 de 2025, en la propuesta, adicional a ajustar el tiempo en que se debe hacer la modificación (al mes siguiente de expedida la regla que defina el traslado del Mc), se incluyó la aclaración de enviar el contrato al usuario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Así mismo, los contratos donde se pactó el precio libremente (que no tienen traslado a tarifa) no se ven afectados por esta regla.</w:t>
            </w:r>
          </w:p>
        </w:tc>
      </w:tr>
      <w:tr w:rsidR="00651E5A" w:rsidRPr="007E63A2" w14:paraId="3CC62E4A" w14:textId="77777777" w:rsidTr="00651E5A">
        <w:trPr>
          <w:trHeight w:val="5510"/>
        </w:trPr>
        <w:tc>
          <w:tcPr>
            <w:tcW w:w="151" w:type="pct"/>
            <w:tcBorders>
              <w:top w:val="nil"/>
              <w:left w:val="single" w:sz="4" w:space="0" w:color="auto"/>
              <w:bottom w:val="single" w:sz="4" w:space="0" w:color="auto"/>
              <w:right w:val="single" w:sz="4" w:space="0" w:color="auto"/>
            </w:tcBorders>
            <w:vAlign w:val="center"/>
            <w:hideMark/>
          </w:tcPr>
          <w:p w14:paraId="2861D0F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4</w:t>
            </w:r>
          </w:p>
        </w:tc>
        <w:tc>
          <w:tcPr>
            <w:tcW w:w="414" w:type="pct"/>
            <w:tcBorders>
              <w:top w:val="nil"/>
              <w:left w:val="nil"/>
              <w:bottom w:val="single" w:sz="4" w:space="0" w:color="auto"/>
              <w:right w:val="single" w:sz="4" w:space="0" w:color="auto"/>
            </w:tcBorders>
            <w:vAlign w:val="center"/>
            <w:hideMark/>
          </w:tcPr>
          <w:p w14:paraId="4B9B6DC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24CE318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154F96B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parágrafo del artículo 28 de la Resolución CREG 101 072 de 2025 establece</w:t>
            </w:r>
            <w:r w:rsidRPr="007E63A2">
              <w:rPr>
                <w:rFonts w:ascii="Calibri" w:hAnsi="Calibri" w:cs="Calibri"/>
                <w:color w:val="000000"/>
                <w:sz w:val="16"/>
                <w:szCs w:val="16"/>
                <w:lang w:eastAsia="zh-CN"/>
              </w:rPr>
              <w:br/>
              <w:t>disposiciones específicas para usuarios AGPE que utilizan crédito de energía con valoración de excedentes superiores al crédito. La propuesta presenta complejidades adicionales que afectan la operatividad del sistema de créditos energéticos.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disposición mantiene las deficiencias procedimentales identificadas en artículos anteriores, pero introduce la variable adicional del "crédito de energía" sin definir con precisión: (i) los mecanismos de cálculo del crédito disponible; (ii) los períodos de vigencia y renovación; (iii) los procedimientos de transferencia entre períodos; y (iv) el tratamiento de créditos no utilizados.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aplicación del crédito de energía durante el período transitorio con valoración a precio de bolsa puede generar volatilidad excesiva en los beneficios de autogeneradores, afectando la viabilidad económica de proyectos de energías renovables de pequeña escala que constituyen un pilar fundamental de la transición energética.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t>Se recomienda:</w:t>
            </w:r>
            <w:r w:rsidRPr="007E63A2">
              <w:rPr>
                <w:rFonts w:ascii="Calibri" w:hAnsi="Calibri" w:cs="Calibri"/>
                <w:color w:val="000000"/>
                <w:sz w:val="16"/>
                <w:szCs w:val="16"/>
                <w:lang w:eastAsia="zh-CN"/>
              </w:rPr>
              <w:t xml:space="preserve"> (i) consolidar los regímenes transitorios en un solo anexo propuestativo; (ii) establecer mecanismos de estabilización para el sistema de créditos energéticos; (iii) definir con precisión técnica todos los componentes del sistema de créditos; y (iv) implementar salvaguardas que protejan la viabilidad de proyectos renovables.</w:t>
            </w:r>
          </w:p>
        </w:tc>
        <w:tc>
          <w:tcPr>
            <w:tcW w:w="745" w:type="pct"/>
            <w:tcBorders>
              <w:top w:val="nil"/>
              <w:left w:val="nil"/>
              <w:bottom w:val="single" w:sz="4" w:space="0" w:color="auto"/>
              <w:right w:val="single" w:sz="4" w:space="0" w:color="auto"/>
            </w:tcBorders>
            <w:vAlign w:val="center"/>
            <w:hideMark/>
          </w:tcPr>
          <w:p w14:paraId="295494B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2CD9DB7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No se acoge el comentario. La modificación contractual ya estaba considerada en la Resolución CREG 101 072 de 2025, en la propuesta, adicional a ajustar el tiempo en que se debe hacer la modificación (al mes siguiente de expedida la regla que defina el traslado del Mc), se incluyó la aclaración de enviar el contrato al usuario.</w:t>
            </w:r>
          </w:p>
        </w:tc>
      </w:tr>
      <w:tr w:rsidR="00651E5A" w:rsidRPr="007E63A2" w14:paraId="13DBD43F" w14:textId="77777777" w:rsidTr="00651E5A">
        <w:trPr>
          <w:trHeight w:val="7540"/>
        </w:trPr>
        <w:tc>
          <w:tcPr>
            <w:tcW w:w="151" w:type="pct"/>
            <w:tcBorders>
              <w:top w:val="nil"/>
              <w:left w:val="single" w:sz="4" w:space="0" w:color="auto"/>
              <w:bottom w:val="single" w:sz="4" w:space="0" w:color="auto"/>
              <w:right w:val="single" w:sz="4" w:space="0" w:color="auto"/>
            </w:tcBorders>
            <w:vAlign w:val="center"/>
            <w:hideMark/>
          </w:tcPr>
          <w:p w14:paraId="19EAAB9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5</w:t>
            </w:r>
          </w:p>
        </w:tc>
        <w:tc>
          <w:tcPr>
            <w:tcW w:w="414" w:type="pct"/>
            <w:tcBorders>
              <w:top w:val="nil"/>
              <w:left w:val="nil"/>
              <w:bottom w:val="single" w:sz="4" w:space="0" w:color="auto"/>
              <w:right w:val="single" w:sz="4" w:space="0" w:color="auto"/>
            </w:tcBorders>
            <w:vAlign w:val="center"/>
            <w:hideMark/>
          </w:tcPr>
          <w:p w14:paraId="5AC5B07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6D0FEC0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16DE626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Anexo 2 de la Resolución CREG 101 072 de 2025 establece alternativas de comercialización para AGPE durante el período transitorio, creando un marco dual que diferencia entre usuarios que utilizan FNCER y los que no. Esta distinción puede introducir distorsiones competitivas que pueden afectar el desarrollo equilibrado del mercado de autogeneración.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El numeral 1) literal b) establece la obligatoriedad para comercializadores de recibir excedentes de AGPE no-FNCER a precio de bolsa horario, trasladando riesgos de mercado sin compensación adecuada ni mecanismos de cobertura. Esta disposición puede desincentivar la participación de comercializadores, reduciendo las opciones disponibles para autogeneradores y limitando la competencia en el segmento.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El numeral 2) para AGPE-FNCER establece un régimen diferenciado con crédito de energía y valoración horaria de excedentes, pero remite al Anexo 3 para definiciones específicas, fragmentando nuevamente la regulación. La coexistencia de regímenes diferenciados basados únicamente en el tipo de fuente energética carece de justificación técnica suficiente desde la perspectiva de operación de red. El Parágrafo 1 introduce limitaciones en "condición crítica" con referencias al precio de escasez ponderado, pero no define con precisión técnica: (i) los criterios específicos para declarar condición crítica; (ii) los mecanismos de activación y desactivación; (iii) los procedimientos de notificación a agentes; y (iv) la duración máxima de aplicación. El Parágrafo 2 establece obligaciones para comercializadores de adecuar contratos conforme a la Resolución CREG 135 de 2021, pero no especifica plazos, procedimientos ni sanciones por incumplimiento. La referencia al traslado de costos conforme al artículo 27 de la Resolución CREG 174 de 2021 puede generar inconsistencias con las modificaciones propuestas en la presente resolución.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t>Recomendación:</w:t>
            </w:r>
            <w:r w:rsidRPr="007E63A2">
              <w:rPr>
                <w:rFonts w:ascii="Calibri" w:hAnsi="Calibri" w:cs="Calibri"/>
                <w:color w:val="000000"/>
                <w:sz w:val="16"/>
                <w:szCs w:val="16"/>
                <w:lang w:eastAsia="zh-CN"/>
              </w:rPr>
              <w:t xml:space="preserve"> Se sugiere: (i) unificar el régimen de comercialización eliminando distinciones no justificadas técnicamente; (ii) establecer mecanismos de compensación por riesgos asumidos por comercializadores; (iii) definir con precisión técnica las condiciones críticas y sus mecanismos operativos; y (iv) consolidar las obligaciones contractuales en un marco coherente con plazos específicos.</w:t>
            </w:r>
          </w:p>
        </w:tc>
        <w:tc>
          <w:tcPr>
            <w:tcW w:w="745" w:type="pct"/>
            <w:tcBorders>
              <w:top w:val="nil"/>
              <w:left w:val="nil"/>
              <w:bottom w:val="single" w:sz="4" w:space="0" w:color="auto"/>
              <w:right w:val="single" w:sz="4" w:space="0" w:color="auto"/>
            </w:tcBorders>
            <w:vAlign w:val="center"/>
            <w:hideMark/>
          </w:tcPr>
          <w:p w14:paraId="6C7189C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5AC0071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Anexo 2, conforme a lo indicado en el documento soporte de la consulta, corresponde a la eliminación del parágrafo 3 que, si bien no era la intención de la CREG, estaba generando confusiones conforme a la consulta ralizada por el CAC y que posterior al análisis de la CREG, no resultaba aplicable por lo que se tomó la decisión de eliminarlo.</w:t>
            </w:r>
          </w:p>
        </w:tc>
      </w:tr>
      <w:tr w:rsidR="00651E5A" w:rsidRPr="007E63A2" w14:paraId="6F78A3C7" w14:textId="77777777" w:rsidTr="00651E5A">
        <w:trPr>
          <w:trHeight w:val="8190"/>
        </w:trPr>
        <w:tc>
          <w:tcPr>
            <w:tcW w:w="151" w:type="pct"/>
            <w:tcBorders>
              <w:top w:val="nil"/>
              <w:left w:val="single" w:sz="4" w:space="0" w:color="auto"/>
              <w:bottom w:val="single" w:sz="4" w:space="0" w:color="auto"/>
              <w:right w:val="single" w:sz="4" w:space="0" w:color="auto"/>
            </w:tcBorders>
            <w:vAlign w:val="center"/>
            <w:hideMark/>
          </w:tcPr>
          <w:p w14:paraId="736A29C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6</w:t>
            </w:r>
          </w:p>
        </w:tc>
        <w:tc>
          <w:tcPr>
            <w:tcW w:w="414" w:type="pct"/>
            <w:tcBorders>
              <w:top w:val="nil"/>
              <w:left w:val="nil"/>
              <w:bottom w:val="single" w:sz="4" w:space="0" w:color="auto"/>
              <w:right w:val="single" w:sz="4" w:space="0" w:color="auto"/>
            </w:tcBorders>
            <w:vAlign w:val="center"/>
            <w:hideMark/>
          </w:tcPr>
          <w:p w14:paraId="4AD1E70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7197C2E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661C812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artículo 24 de la Resolución CREG 174 de 2021 establece un marco complejo para el tratamiento de excedentes de AGPE en ASIC y LAC, introduciendo múltiples escenarios operativos que comprometen la eficiencia administrativa del sistema. La disposición presenta deficiencias metodológicas significativas que pueden generar distorsiones en la operación del mercado mayorista.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El numeral 1 diferencia el tratamiento según el comercializador esté o no integrado con el Operador de Red (OR), creando asimetrías regulatorias que pueden influir indebidamente en las decisiones comerciales de los agentes. El literal a) establece que para comercializadores integrados no se tendrá en cuenta la energía excedentaria en el cálculo de demanda real, mientras que el literal c) sí la considera para cargos de transmisión y distribución, generando inconsistencias contables.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El numeral 2 para comercializadores no integrados introduce un mecanismo excesivamente complejo con múltiples sub-numerales (2.1, 2.2, 2.3) que pueden generar dificultades operativas para ASIC. El numeral 2.3 establece el tratamiento para "valores negativos" creando una "generación real horaria" artificial para comercializadores (literal b) que distorsiona la naturaleza del mercado mayorista.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aplicación del Anexo 7 de la Resolución CREG 071 de 2006 con las modificaciones específicas del literal d) introduce variables complejas (OPER, OPERO, GR) cuya determinación práctica no está suficientemente desarrollada. La exclusión del cálculo del Valor Adicional (ΔI) para generación artificial puede crear asimetrías competitivas con generadores reales.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El literal d) numeral i) establece que variables como OPER_{i,j,d,m} serán iguales a la sumatoria diaria de Exc_Neg, pero no define procedimientos de verificación ni mecanismos de auditoría. El factor FA siempre igual a uno (1) establecido en el numeral ii) carece de justificación técnica y puede no reflejar las características reales de la operación.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 xml:space="preserve">Los Parágrafos 1, 2 y 3 establecen obligaciones de reporte e información sin especificar formatos, plazos ni sanciones por incumplimiento. La responsabilidad "exclusiva" del comercializador para mantener información actualizada en ASIC </w:t>
            </w:r>
            <w:r w:rsidRPr="007E63A2">
              <w:rPr>
                <w:rFonts w:ascii="Calibri" w:hAnsi="Calibri" w:cs="Calibri"/>
                <w:color w:val="000000"/>
                <w:sz w:val="16"/>
                <w:szCs w:val="16"/>
                <w:lang w:eastAsia="zh-CN"/>
              </w:rPr>
              <w:lastRenderedPageBreak/>
              <w:t>(Parágrafo 2) traslada cargas administrativas sin establecer mecanismos de verificación cruzada.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Recomendación: (i) simplificar significativamente el mecanismo de tratamiento eliminando escenarios innecesarios; (ii) unificar criterios contables entre demanda real y cargos de red; (iii) desarrollar una guía técnica detallada para todas las variables de cálculo; (iv) establecer mecanismos de verificación cruzada de información; (v) definir formatos estándar de reporte con plazos específicos; y (vi) eliminar la creación artificial de generación para comercializadores.</w:t>
            </w:r>
          </w:p>
        </w:tc>
        <w:tc>
          <w:tcPr>
            <w:tcW w:w="745" w:type="pct"/>
            <w:tcBorders>
              <w:top w:val="nil"/>
              <w:left w:val="nil"/>
              <w:bottom w:val="single" w:sz="4" w:space="0" w:color="auto"/>
              <w:right w:val="single" w:sz="4" w:space="0" w:color="auto"/>
            </w:tcBorders>
            <w:vAlign w:val="center"/>
            <w:hideMark/>
          </w:tcPr>
          <w:p w14:paraId="6E93138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w:t>
            </w:r>
          </w:p>
        </w:tc>
        <w:tc>
          <w:tcPr>
            <w:tcW w:w="1521" w:type="pct"/>
            <w:tcBorders>
              <w:top w:val="nil"/>
              <w:left w:val="nil"/>
              <w:bottom w:val="single" w:sz="4" w:space="0" w:color="auto"/>
              <w:right w:val="single" w:sz="4" w:space="0" w:color="auto"/>
            </w:tcBorders>
            <w:vAlign w:val="center"/>
            <w:hideMark/>
          </w:tcPr>
          <w:p w14:paraId="1B60E68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El ajuste del artículo 24 de la Resolución CREG 174 de 2021 se enfocó unicamente en permitir al ASIC y al LAC dar el tratamiento correspondiente a los excedentes negativos resultado del caso de borde planteado en el documento soporte (numeral 2.3 propuesto). Así mismo, en los articulos posteriores del documento en consulta (7, 8, 9, 10 y 11)  se hacen los ajustes necesarios para que el ASIC y el LAC  pueda realizar adecuadamente las liquidaciones sin afectar al mercado.</w:t>
            </w:r>
          </w:p>
        </w:tc>
      </w:tr>
      <w:tr w:rsidR="00651E5A" w:rsidRPr="007E63A2" w14:paraId="6C622559" w14:textId="77777777" w:rsidTr="00651E5A">
        <w:trPr>
          <w:trHeight w:val="6960"/>
        </w:trPr>
        <w:tc>
          <w:tcPr>
            <w:tcW w:w="151" w:type="pct"/>
            <w:tcBorders>
              <w:top w:val="nil"/>
              <w:left w:val="single" w:sz="4" w:space="0" w:color="auto"/>
              <w:bottom w:val="single" w:sz="4" w:space="0" w:color="auto"/>
              <w:right w:val="single" w:sz="4" w:space="0" w:color="auto"/>
            </w:tcBorders>
            <w:vAlign w:val="center"/>
            <w:hideMark/>
          </w:tcPr>
          <w:p w14:paraId="0230083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7</w:t>
            </w:r>
          </w:p>
        </w:tc>
        <w:tc>
          <w:tcPr>
            <w:tcW w:w="414" w:type="pct"/>
            <w:tcBorders>
              <w:top w:val="nil"/>
              <w:left w:val="nil"/>
              <w:bottom w:val="single" w:sz="4" w:space="0" w:color="auto"/>
              <w:right w:val="single" w:sz="4" w:space="0" w:color="auto"/>
            </w:tcBorders>
            <w:vAlign w:val="center"/>
            <w:hideMark/>
          </w:tcPr>
          <w:p w14:paraId="07B8412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42A87C3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54B13A6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 la variable "GRm" del numeral 8.1.2 del Anexo 8 de la Resolución CREG 071 de 2006, introduce el descuento de la expresión Exc_Neg a la generación real, alterando un concepto fundamental del mercado mayorista sin análisis de impacto suficiente. Esta modificación puede generar efectos cascada no previstos en múltiples cálculos del sistema.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definición modificada establece que para plantas no despachadas centralmente se considera "exclusivamente sus ventas de energía en bolsa", pero el descuento de Exc_Neg puede afectar esta consideración de manera inconsistente. La resta de una variable artificial (Exc_Neg) creada para comercializadores a la generación real de plantas puede distorsionar la medición de la actividad real de generación del sistema.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remisión al "literal b) del numeral 2.3. del artículo 24 de la Resolución CREG 174 de 2021 y aquellas que la adicionen, modifiquen o sustituyan" introduce una dependencia propuestativa compleja que compromete la estabilidad de la definición. Los cambios futuros en la Resolución CREG 174 de 2021 pueden alterar automáticamente el cálculo de generación real sin revisión específica.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modificación no considera el impacto en indicadores de confiabilidad y disponibilidad del sistema que dependen de la medición precisa de generación real. La alteración artificial de esta variable fundamental puede afectar la planeación de expansión y las señales de inversión en nueva generación.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t>Recomendación:</w:t>
            </w:r>
            <w:r w:rsidRPr="007E63A2">
              <w:rPr>
                <w:rFonts w:ascii="Calibri" w:hAnsi="Calibri" w:cs="Calibri"/>
                <w:color w:val="000000"/>
                <w:sz w:val="16"/>
                <w:szCs w:val="16"/>
                <w:lang w:eastAsia="zh-CN"/>
              </w:rPr>
              <w:t xml:space="preserve"> (i) mantener la definición original de generación real para preservar la integridad conceptual del sistema; (ii) crear una variable específica para ajustes relacionados con excedentes de comercializadores; (iii) realizar un estudio de impacto en todos los cálculos que dependen de GRm; y (iv) establecer mecanismos de monitoreo para evaluar efectos no previstos.</w:t>
            </w:r>
          </w:p>
        </w:tc>
        <w:tc>
          <w:tcPr>
            <w:tcW w:w="745" w:type="pct"/>
            <w:tcBorders>
              <w:top w:val="nil"/>
              <w:left w:val="nil"/>
              <w:bottom w:val="single" w:sz="4" w:space="0" w:color="auto"/>
              <w:right w:val="single" w:sz="4" w:space="0" w:color="auto"/>
            </w:tcBorders>
            <w:vAlign w:val="center"/>
            <w:hideMark/>
          </w:tcPr>
          <w:p w14:paraId="2E1A97C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4D3E5C2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referirse a la respuesta dada en el comentario número 6.</w:t>
            </w:r>
          </w:p>
        </w:tc>
      </w:tr>
      <w:tr w:rsidR="00651E5A" w:rsidRPr="007E63A2" w14:paraId="143F7409" w14:textId="77777777" w:rsidTr="00651E5A">
        <w:trPr>
          <w:trHeight w:val="6380"/>
        </w:trPr>
        <w:tc>
          <w:tcPr>
            <w:tcW w:w="151" w:type="pct"/>
            <w:tcBorders>
              <w:top w:val="nil"/>
              <w:left w:val="single" w:sz="4" w:space="0" w:color="auto"/>
              <w:bottom w:val="single" w:sz="4" w:space="0" w:color="auto"/>
              <w:right w:val="single" w:sz="4" w:space="0" w:color="auto"/>
            </w:tcBorders>
            <w:vAlign w:val="center"/>
            <w:hideMark/>
          </w:tcPr>
          <w:p w14:paraId="0C3FB7B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8</w:t>
            </w:r>
          </w:p>
        </w:tc>
        <w:tc>
          <w:tcPr>
            <w:tcW w:w="414" w:type="pct"/>
            <w:tcBorders>
              <w:top w:val="nil"/>
              <w:left w:val="nil"/>
              <w:bottom w:val="single" w:sz="4" w:space="0" w:color="auto"/>
              <w:right w:val="single" w:sz="4" w:space="0" w:color="auto"/>
            </w:tcBorders>
            <w:vAlign w:val="center"/>
            <w:hideMark/>
          </w:tcPr>
          <w:p w14:paraId="03781FB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3266158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11540E7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numeral 8.2.1 del Anexo 8 de la Resolución CREG 071 de 2006 altera el cálculo del Valor a Recaudar (VR_{i,m}) estableciendo que será igual a cero para comercializadores con Exc_Neg. Esta disposición introduce una asimetría regulatoria significativa que puede distorsionar los incentivos de participación en el mercado mayorista.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fórmula VR_{i,m} = CORE_m * (G_{i,m} - EX_{TIE,i,m}) se mantiene para generadores pero se anula para comercializadores con generación artificial, creando un tratamiento diferencial que carece de justificación económica. Esta distinción puede incentivar estructuras corporativas artificiales para evadir la aplicación del Valor a recaudar.</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excepción establecida para comercializadores con Exc_Neg no considera que estos agentes pueden tener generación real adicional que debería estar sujeta al mecanismo propuestal de recaudo. La aplicación absoluta de VR_{i,m} = 0 puede generar subsidios cruzados no deseados entre agentes del sistema.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modificación no establece mecanismos alternativos de recaudo para comercializadores exceptuados, lo que puede afectar la sostenibilidad financiera de mecanismos como el Cargo por Confiabilidad y otros fondos del sistema. La reducción de la base de recaudo sin ajustes compensatorios traslada cargas a otros agentes del mercado.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t>Recomendación:</w:t>
            </w:r>
            <w:r w:rsidRPr="007E63A2">
              <w:rPr>
                <w:rFonts w:ascii="Calibri" w:hAnsi="Calibri" w:cs="Calibri"/>
                <w:color w:val="000000"/>
                <w:sz w:val="16"/>
                <w:szCs w:val="16"/>
                <w:lang w:eastAsia="zh-CN"/>
              </w:rPr>
              <w:t xml:space="preserve"> (i) revisar la justificación económica de la excepción propuesta; (ii) establecer mecanismos alternativos de contribución para comercializadores exceptuados; (iii) limitar la excepción únicamente a la porción de generación artificial (Exc_Neg); y (iv) evaluar el impacto en la sostenibilidad de fondos del sistema.</w:t>
            </w:r>
          </w:p>
        </w:tc>
        <w:tc>
          <w:tcPr>
            <w:tcW w:w="745" w:type="pct"/>
            <w:tcBorders>
              <w:top w:val="nil"/>
              <w:left w:val="nil"/>
              <w:bottom w:val="single" w:sz="4" w:space="0" w:color="auto"/>
              <w:right w:val="single" w:sz="4" w:space="0" w:color="auto"/>
            </w:tcBorders>
            <w:vAlign w:val="center"/>
            <w:hideMark/>
          </w:tcPr>
          <w:p w14:paraId="60BCD1B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46C5259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referirse a la respuesta dada en el comentario número 6.</w:t>
            </w:r>
          </w:p>
        </w:tc>
      </w:tr>
      <w:tr w:rsidR="00651E5A" w:rsidRPr="007E63A2" w14:paraId="5720B2CF" w14:textId="77777777" w:rsidTr="00651E5A">
        <w:trPr>
          <w:trHeight w:val="6090"/>
        </w:trPr>
        <w:tc>
          <w:tcPr>
            <w:tcW w:w="151" w:type="pct"/>
            <w:tcBorders>
              <w:top w:val="nil"/>
              <w:left w:val="single" w:sz="4" w:space="0" w:color="auto"/>
              <w:bottom w:val="single" w:sz="4" w:space="0" w:color="auto"/>
              <w:right w:val="single" w:sz="4" w:space="0" w:color="auto"/>
            </w:tcBorders>
            <w:vAlign w:val="center"/>
            <w:hideMark/>
          </w:tcPr>
          <w:p w14:paraId="61534BD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9</w:t>
            </w:r>
          </w:p>
        </w:tc>
        <w:tc>
          <w:tcPr>
            <w:tcW w:w="414" w:type="pct"/>
            <w:tcBorders>
              <w:top w:val="nil"/>
              <w:left w:val="nil"/>
              <w:bottom w:val="single" w:sz="4" w:space="0" w:color="auto"/>
              <w:right w:val="single" w:sz="4" w:space="0" w:color="auto"/>
            </w:tcBorders>
            <w:vAlign w:val="center"/>
            <w:hideMark/>
          </w:tcPr>
          <w:p w14:paraId="5392723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3435924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0638D0B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 la variable "Dem" del artículo 55 de la Resolución CREG 071 de 2006 introduce la sustracción de Exc_Neg a la demanda total doméstica del SIN, alterando un concepto fundamental para el despacho económico y la planeación del sistema. Esta modificación presenta inconsistencias conceptuales que pueden afectar la eficiencia de la operación. La definición modificada establece que la demanda total incluye "la reducción de demanda RDV y el programa de racionamiento" pero resta "la cantidad de energía Exc_Neg", creando una mezcla conceptual entre demanda física real y ajustes contables artificiales. Esta combinación puede distorsionar las señales de precio y afectar la eficiencia del despacho económico.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sustracción de Exc_Neg junto con la Generación Ideal (GI) de plantas no despachadas</w:t>
            </w:r>
            <w:r w:rsidRPr="007E63A2">
              <w:rPr>
                <w:rFonts w:ascii="Calibri" w:hAnsi="Calibri" w:cs="Calibri"/>
                <w:color w:val="000000"/>
                <w:sz w:val="16"/>
                <w:szCs w:val="16"/>
                <w:lang w:eastAsia="zh-CN"/>
              </w:rPr>
              <w:br/>
              <w:t>centralmente puede generar subestimación de la demanda real del sistema, afectando las decisiones de despacho y los criterios de confiabilidad. La demanda es un parámetro crítico para múltiples cálculos del sistema eléctrico que pueden verse comprometidos.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modificación no considera el impacto en estudios de planeación de la expansión que dependen de series históricas consistentes de demanda. La alteración retroactiva de la definición puede comprometer la comparabilidad de datos históricos y afectar proyecciones futuras.</w:t>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br/>
              <w:t>Recomendación:</w:t>
            </w:r>
            <w:r w:rsidRPr="007E63A2">
              <w:rPr>
                <w:rFonts w:ascii="Calibri" w:hAnsi="Calibri" w:cs="Calibri"/>
                <w:color w:val="000000"/>
                <w:sz w:val="16"/>
                <w:szCs w:val="16"/>
                <w:lang w:eastAsia="zh-CN"/>
              </w:rPr>
              <w:t xml:space="preserve"> (i) mantener la definición original de demanda para preservar la integridad del concepto; (ii) crear variables específicas para ajustes relacionados con comercializadores; (iii) realizar estudios de impacto en el despacho económico y la confiabilidad; y (iv) evaluar alternativas que no comprometan la medición de demanda real</w:t>
            </w:r>
          </w:p>
        </w:tc>
        <w:tc>
          <w:tcPr>
            <w:tcW w:w="745" w:type="pct"/>
            <w:tcBorders>
              <w:top w:val="nil"/>
              <w:left w:val="nil"/>
              <w:bottom w:val="single" w:sz="4" w:space="0" w:color="auto"/>
              <w:right w:val="single" w:sz="4" w:space="0" w:color="auto"/>
            </w:tcBorders>
            <w:vAlign w:val="center"/>
            <w:hideMark/>
          </w:tcPr>
          <w:p w14:paraId="4CAC7F3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1098F5F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referirse a la respuesta dada en el comentario número 6.</w:t>
            </w:r>
          </w:p>
        </w:tc>
      </w:tr>
      <w:tr w:rsidR="00651E5A" w:rsidRPr="007E63A2" w14:paraId="01D56C2F" w14:textId="77777777" w:rsidTr="00651E5A">
        <w:trPr>
          <w:trHeight w:val="4930"/>
        </w:trPr>
        <w:tc>
          <w:tcPr>
            <w:tcW w:w="151" w:type="pct"/>
            <w:tcBorders>
              <w:top w:val="nil"/>
              <w:left w:val="single" w:sz="4" w:space="0" w:color="auto"/>
              <w:bottom w:val="single" w:sz="4" w:space="0" w:color="auto"/>
              <w:right w:val="single" w:sz="4" w:space="0" w:color="auto"/>
            </w:tcBorders>
            <w:vAlign w:val="center"/>
            <w:hideMark/>
          </w:tcPr>
          <w:p w14:paraId="1C78A43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10</w:t>
            </w:r>
          </w:p>
        </w:tc>
        <w:tc>
          <w:tcPr>
            <w:tcW w:w="414" w:type="pct"/>
            <w:tcBorders>
              <w:top w:val="nil"/>
              <w:left w:val="nil"/>
              <w:bottom w:val="single" w:sz="4" w:space="0" w:color="auto"/>
              <w:right w:val="single" w:sz="4" w:space="0" w:color="auto"/>
            </w:tcBorders>
            <w:vAlign w:val="center"/>
            <w:hideMark/>
          </w:tcPr>
          <w:p w14:paraId="5B41875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7BF2AE0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280B726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artículo 2 de la Resolución CREG 232 de 2015 establece que ASIC liquidará, facturará y recaudará recursos conforme al artículo 190 de la Ley 1753 de 2015, manteniendo las referencias propuestativas existentes. Sin embargo, la modificación no considera expresamente el impacto de las variables Exc_Neg introducidas en otros artículos de la presente resolución.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disposición mantiene la aplicación de la Resolución CREG-024 de 1995 y CREG-006 de 2003 sin evaluar la coherencia con las modificaciones propuestas en los artículos anteriores. Las alteraciones en variables fundamentales como GR_m y Dem pueden afectar los cálculos de liquidación, facturación y recaudo sin que este artículo establezca los ajustes correspondientes. La fórmula de indexación prevista en el artículo 3 de la Resolución CREG 232 de 2015 puede verse afectada por las modificaciones en la base de cálculo sin que existan mecanismos de ajuste específicos. Esta situación puede generar inconsistencias en la aplicación de la indexación a agentes generadores.</w:t>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br/>
              <w:t xml:space="preserve">Recomendación: </w:t>
            </w:r>
            <w:r w:rsidRPr="007E63A2">
              <w:rPr>
                <w:rFonts w:ascii="Calibri" w:hAnsi="Calibri" w:cs="Calibri"/>
                <w:color w:val="000000"/>
                <w:sz w:val="16"/>
                <w:szCs w:val="16"/>
                <w:lang w:eastAsia="zh-CN"/>
              </w:rPr>
              <w:t>(i) evaluar explícitamente el impacto de las modificaciones de Exc_Neg en los mecanismos de liquidación y recaudo; (ii) establecer ajustes específicos en las fórmulas de cálculo si son necesarios; (iii) mantener la coherencia con las propuestas referenciadas; y (iv) desarrollar una evaluación integral del impacto en todos los mecanismos financieros del sistema.</w:t>
            </w:r>
          </w:p>
        </w:tc>
        <w:tc>
          <w:tcPr>
            <w:tcW w:w="745" w:type="pct"/>
            <w:tcBorders>
              <w:top w:val="nil"/>
              <w:left w:val="nil"/>
              <w:bottom w:val="single" w:sz="4" w:space="0" w:color="auto"/>
              <w:right w:val="single" w:sz="4" w:space="0" w:color="auto"/>
            </w:tcBorders>
            <w:vAlign w:val="center"/>
            <w:hideMark/>
          </w:tcPr>
          <w:p w14:paraId="5A3098E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1565EA2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referirse a la respuesta dada en el comentario número 6.</w:t>
            </w:r>
          </w:p>
        </w:tc>
      </w:tr>
      <w:tr w:rsidR="00651E5A" w:rsidRPr="007E63A2" w14:paraId="21A07B0C" w14:textId="77777777" w:rsidTr="00651E5A">
        <w:trPr>
          <w:trHeight w:val="6090"/>
        </w:trPr>
        <w:tc>
          <w:tcPr>
            <w:tcW w:w="151" w:type="pct"/>
            <w:tcBorders>
              <w:top w:val="nil"/>
              <w:left w:val="single" w:sz="4" w:space="0" w:color="auto"/>
              <w:bottom w:val="single" w:sz="4" w:space="0" w:color="auto"/>
              <w:right w:val="single" w:sz="4" w:space="0" w:color="auto"/>
            </w:tcBorders>
            <w:vAlign w:val="center"/>
            <w:hideMark/>
          </w:tcPr>
          <w:p w14:paraId="73A4048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11</w:t>
            </w:r>
          </w:p>
        </w:tc>
        <w:tc>
          <w:tcPr>
            <w:tcW w:w="414" w:type="pct"/>
            <w:tcBorders>
              <w:top w:val="nil"/>
              <w:left w:val="nil"/>
              <w:bottom w:val="single" w:sz="4" w:space="0" w:color="auto"/>
              <w:right w:val="single" w:sz="4" w:space="0" w:color="auto"/>
            </w:tcBorders>
            <w:vAlign w:val="center"/>
            <w:hideMark/>
          </w:tcPr>
          <w:p w14:paraId="764E13B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2C56790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0C6E6BB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numeral 1.1.1.2.1 del Anexo A de la Resolución CREG 024 de 1995 altera el concepto de "Generación real del sistema" incorporando "el valor absoluto del resultado negativo Exc_Neg", introduciendo una distorsión conceptual significativa en la medición de generación real del SIN. La definición modificada establece que la generación real se calcula como "sumatoria de las generaciones netas medidas" pero incluye una variable artificial (Exc_Neg) que no corresponde a generación física real. Esta inconsistencia conceptual puede afectar la precisión de múltiples cálculos que dependen de la generación real del sistema.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incorporación del "valor absoluto" de Exc_Neg puede generar sobreestimación artificial de la generación real, afectando indicadores de eficiencia, factores de planta y otros parámetros técnicos utilizados para la toma de decisiones regulatorias y comerciales. Esta distorsión puede comprometer la calidad de la información utilizada para la planeación del sistema.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El segundo párrafo mantiene las consideraciones técnicas apropiadas sobre contadores, factores de pérdidas y generación neta, pero estas pueden verse comprometidas por la inclusión artificial de Exc_Neg. La mezcla de mediciones reales con ajustes contables artificiales compromete la integridad técnica del concepto.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t>Recomendación:</w:t>
            </w:r>
            <w:r w:rsidRPr="007E63A2">
              <w:rPr>
                <w:rFonts w:ascii="Calibri" w:hAnsi="Calibri" w:cs="Calibri"/>
                <w:color w:val="000000"/>
                <w:sz w:val="16"/>
                <w:szCs w:val="16"/>
                <w:lang w:eastAsia="zh-CN"/>
              </w:rPr>
              <w:t xml:space="preserve"> (i) mantener la definición original de generación real del sistema basada</w:t>
            </w:r>
            <w:r w:rsidRPr="007E63A2">
              <w:rPr>
                <w:rFonts w:ascii="Calibri" w:hAnsi="Calibri" w:cs="Calibri"/>
                <w:color w:val="000000"/>
                <w:sz w:val="16"/>
                <w:szCs w:val="16"/>
                <w:lang w:eastAsia="zh-CN"/>
              </w:rPr>
              <w:br/>
              <w:t>exclusivamente en mediciones físicas; (ii) crear variables específicas para ajustes contables</w:t>
            </w:r>
            <w:r w:rsidRPr="007E63A2">
              <w:rPr>
                <w:rFonts w:ascii="Calibri" w:hAnsi="Calibri" w:cs="Calibri"/>
                <w:color w:val="000000"/>
                <w:sz w:val="16"/>
                <w:szCs w:val="16"/>
                <w:lang w:eastAsia="zh-CN"/>
              </w:rPr>
              <w:br/>
              <w:t>relacionados con comercializadores; (iii) preservar la integridad técnica de los conceptos</w:t>
            </w:r>
            <w:r w:rsidRPr="007E63A2">
              <w:rPr>
                <w:rFonts w:ascii="Calibri" w:hAnsi="Calibri" w:cs="Calibri"/>
                <w:color w:val="000000"/>
                <w:sz w:val="16"/>
                <w:szCs w:val="16"/>
                <w:lang w:eastAsia="zh-CN"/>
              </w:rPr>
              <w:br/>
              <w:t>fundamentales del sistema; y (iv) evaluar alternativas que no comprometan la precisión de la medición de generación real.</w:t>
            </w:r>
          </w:p>
        </w:tc>
        <w:tc>
          <w:tcPr>
            <w:tcW w:w="745" w:type="pct"/>
            <w:tcBorders>
              <w:top w:val="nil"/>
              <w:left w:val="nil"/>
              <w:bottom w:val="single" w:sz="4" w:space="0" w:color="auto"/>
              <w:right w:val="single" w:sz="4" w:space="0" w:color="auto"/>
            </w:tcBorders>
            <w:vAlign w:val="center"/>
            <w:hideMark/>
          </w:tcPr>
          <w:p w14:paraId="0326573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70EBD03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referirse a la respuesta dada en el comentario número 6.</w:t>
            </w:r>
          </w:p>
        </w:tc>
      </w:tr>
      <w:tr w:rsidR="00651E5A" w:rsidRPr="007E63A2" w14:paraId="0E671D70" w14:textId="77777777" w:rsidTr="00651E5A">
        <w:trPr>
          <w:trHeight w:val="6380"/>
        </w:trPr>
        <w:tc>
          <w:tcPr>
            <w:tcW w:w="151" w:type="pct"/>
            <w:tcBorders>
              <w:top w:val="nil"/>
              <w:left w:val="single" w:sz="4" w:space="0" w:color="auto"/>
              <w:bottom w:val="single" w:sz="4" w:space="0" w:color="auto"/>
              <w:right w:val="single" w:sz="4" w:space="0" w:color="auto"/>
            </w:tcBorders>
            <w:vAlign w:val="center"/>
            <w:hideMark/>
          </w:tcPr>
          <w:p w14:paraId="249D3F7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12</w:t>
            </w:r>
          </w:p>
        </w:tc>
        <w:tc>
          <w:tcPr>
            <w:tcW w:w="414" w:type="pct"/>
            <w:tcBorders>
              <w:top w:val="nil"/>
              <w:left w:val="nil"/>
              <w:bottom w:val="single" w:sz="4" w:space="0" w:color="auto"/>
              <w:right w:val="single" w:sz="4" w:space="0" w:color="auto"/>
            </w:tcBorders>
            <w:vAlign w:val="center"/>
            <w:hideMark/>
          </w:tcPr>
          <w:p w14:paraId="3F98BCB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618C249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5865E2C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literal e) del artículo 8 de la Resolución CREG 101 072 de 2025 establece que generadores vinculados a GDC con capacidad superior al límite para GD pero dentro del límite UPME aplicarán procedimientos de AGGE. Esta disposición introduce confusión regulatoria al mezclar categorías técnicas diferentes sin criterios claros de diferenciación.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condición i) establece que "la capacidad instalada o nominal de dicho generador es superior al límite para ser GD", pero no especifica cuál es exactamente este límite ni la propuestativa específica que lo define. Esta ambigüedad puede generar interpretaciones divergentes que afecten la clasificación correcta de generadores.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condición ii) hace referencia al "límite establecido por la UPME en la Resolución UPME 501 de 2024", pero no clarifica si se trata del límite de potencia o de dispersión establecido en dicha resolución. Esta falta de precisión puede generar aplicaciones incorrectas del régimen regulatorio.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consecuencia establecida de aplicar "los procedimientos de la Resolución CREG 174 de 2021 igual que a un AGGE de potencia máxima declarada menor a 5MW" introduce un nuevo concepto ("potencia máxima declarada") que no está claramente diferenciado de "capacidad instalada o nominal" utilizado anteriormente. Esta inconsistencia terminológica puede generar confusiones operativas.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t xml:space="preserve">Recomendación: </w:t>
            </w:r>
            <w:r w:rsidRPr="007E63A2">
              <w:rPr>
                <w:rFonts w:ascii="Calibri" w:hAnsi="Calibri" w:cs="Calibri"/>
                <w:color w:val="000000"/>
                <w:sz w:val="16"/>
                <w:szCs w:val="16"/>
                <w:lang w:eastAsia="zh-CN"/>
              </w:rPr>
              <w:t>(i) unificar los términos y dejar definiciones claras para capacidad instalada, capacidad nominal y potencia máxima declarada; (ii) indicar con precisión los límites aplicables y las propuestas que los sustentan; (iii) definir un procedimiento simple de clasificación que evite confusiones entre categorías; y (iv) elaborar una tabla que muestre de manera práctica la equivalencia entre las diferentes categorías regulatorias</w:t>
            </w:r>
          </w:p>
        </w:tc>
        <w:tc>
          <w:tcPr>
            <w:tcW w:w="745" w:type="pct"/>
            <w:tcBorders>
              <w:top w:val="nil"/>
              <w:left w:val="nil"/>
              <w:bottom w:val="single" w:sz="4" w:space="0" w:color="auto"/>
              <w:right w:val="single" w:sz="4" w:space="0" w:color="auto"/>
            </w:tcBorders>
            <w:vAlign w:val="center"/>
            <w:hideMark/>
          </w:tcPr>
          <w:p w14:paraId="57BA695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25677E5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Desde la CREG se considera que el artículo es claro en las reglas por lo que se sugiere referirse a las definiciones establecidas en Resolución CREG 174 de 2021 y en los actos de la UPME.</w:t>
            </w:r>
          </w:p>
        </w:tc>
      </w:tr>
      <w:tr w:rsidR="00651E5A" w:rsidRPr="007E63A2" w14:paraId="146FE6CD" w14:textId="77777777" w:rsidTr="00651E5A">
        <w:trPr>
          <w:trHeight w:val="3480"/>
        </w:trPr>
        <w:tc>
          <w:tcPr>
            <w:tcW w:w="151" w:type="pct"/>
            <w:tcBorders>
              <w:top w:val="nil"/>
              <w:left w:val="single" w:sz="4" w:space="0" w:color="auto"/>
              <w:bottom w:val="single" w:sz="4" w:space="0" w:color="auto"/>
              <w:right w:val="single" w:sz="4" w:space="0" w:color="auto"/>
            </w:tcBorders>
            <w:vAlign w:val="center"/>
            <w:hideMark/>
          </w:tcPr>
          <w:p w14:paraId="24E103E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13</w:t>
            </w:r>
          </w:p>
        </w:tc>
        <w:tc>
          <w:tcPr>
            <w:tcW w:w="414" w:type="pct"/>
            <w:tcBorders>
              <w:top w:val="nil"/>
              <w:left w:val="nil"/>
              <w:bottom w:val="single" w:sz="4" w:space="0" w:color="auto"/>
              <w:right w:val="single" w:sz="4" w:space="0" w:color="auto"/>
            </w:tcBorders>
            <w:vAlign w:val="center"/>
            <w:hideMark/>
          </w:tcPr>
          <w:p w14:paraId="675F102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44FA94B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5C27D1F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artículo 20 de la Resolución CREG 101 072 de 2025 introduce un sistema de</w:t>
            </w:r>
            <w:r w:rsidRPr="007E63A2">
              <w:rPr>
                <w:rFonts w:ascii="Calibri" w:hAnsi="Calibri" w:cs="Calibri"/>
                <w:color w:val="000000"/>
                <w:sz w:val="16"/>
                <w:szCs w:val="16"/>
                <w:lang w:eastAsia="zh-CN"/>
              </w:rPr>
              <w:br/>
              <w:t>cuatro casos para el reconocimiento de excedentes de Autogeneradores Colectivos (AC), pero su complejidad y fragmentación dificultan la aplicación práctica y elevan los costos de cumplimiento. El Caso 1 establece condiciones acumulativas demasiado restrictivas que pueden limitar comunidades energéticas; el Caso 2 cambia la lógica a condiciones alternativas, generando confusión y riesgo de errores; el Caso 3 remite a regímenes distintos (CREG 024 de 2015 y 096 de 2019) sin criterios claros, lo que abre espacio a arbitrajes; y el Caso 4 restringe proyectos con fuentes no FNCER, desincentivando opciones que aportarían a la seguridad energética. La coexistencia de distintos regímenes regulatorios puede reducir la coherencia.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b/>
                <w:bCs/>
                <w:color w:val="000000"/>
                <w:sz w:val="16"/>
                <w:szCs w:val="16"/>
                <w:lang w:eastAsia="zh-CN"/>
              </w:rPr>
              <w:t xml:space="preserve">Recomendación: </w:t>
            </w:r>
            <w:r w:rsidRPr="007E63A2">
              <w:rPr>
                <w:rFonts w:ascii="Calibri" w:hAnsi="Calibri" w:cs="Calibri"/>
                <w:color w:val="000000"/>
                <w:sz w:val="16"/>
                <w:szCs w:val="16"/>
                <w:lang w:eastAsia="zh-CN"/>
              </w:rPr>
              <w:t>simplificar la estructura de casos, unificar el régimen aplicable, definir criterios técnicos objetivos, eliminar restricciones que limiten el desarrollo de proyectos y diseñar una matriz que facilite la identificación del régimen aplicable.</w:t>
            </w:r>
          </w:p>
        </w:tc>
        <w:tc>
          <w:tcPr>
            <w:tcW w:w="745" w:type="pct"/>
            <w:tcBorders>
              <w:top w:val="nil"/>
              <w:left w:val="nil"/>
              <w:bottom w:val="single" w:sz="4" w:space="0" w:color="auto"/>
              <w:right w:val="single" w:sz="4" w:space="0" w:color="auto"/>
            </w:tcBorders>
            <w:vAlign w:val="center"/>
            <w:hideMark/>
          </w:tcPr>
          <w:p w14:paraId="7EAF1EB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1F3A237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Los Casos 1, 2 y 3 ya estaban incorporados a la Resolucion CREG 101 072 de 2025, solo que se enumeraron porque a criterio de la CREG hacía más fácil su aplicación al poderser referir de mejor manera a cada uno de ellos.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El caso 4 si fue incluido en la propuesta en consulta y está dirigido a permitir la aplicabilidad de la armonización de las comunidades energéticas a un AC basado en fuentes diferentes a FNCER.</w:t>
            </w:r>
          </w:p>
        </w:tc>
      </w:tr>
      <w:tr w:rsidR="00651E5A" w:rsidRPr="007E63A2" w14:paraId="0DC594C7" w14:textId="77777777" w:rsidTr="00651E5A">
        <w:trPr>
          <w:trHeight w:val="1740"/>
        </w:trPr>
        <w:tc>
          <w:tcPr>
            <w:tcW w:w="151" w:type="pct"/>
            <w:tcBorders>
              <w:top w:val="nil"/>
              <w:left w:val="single" w:sz="4" w:space="0" w:color="auto"/>
              <w:bottom w:val="single" w:sz="4" w:space="0" w:color="auto"/>
              <w:right w:val="single" w:sz="4" w:space="0" w:color="auto"/>
            </w:tcBorders>
            <w:vAlign w:val="center"/>
            <w:hideMark/>
          </w:tcPr>
          <w:p w14:paraId="23F5F40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14</w:t>
            </w:r>
          </w:p>
        </w:tc>
        <w:tc>
          <w:tcPr>
            <w:tcW w:w="414" w:type="pct"/>
            <w:tcBorders>
              <w:top w:val="nil"/>
              <w:left w:val="nil"/>
              <w:bottom w:val="single" w:sz="4" w:space="0" w:color="auto"/>
              <w:right w:val="single" w:sz="4" w:space="0" w:color="auto"/>
            </w:tcBorders>
            <w:vAlign w:val="center"/>
            <w:hideMark/>
          </w:tcPr>
          <w:p w14:paraId="2D9F9B2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E2025012522</w:t>
            </w:r>
          </w:p>
        </w:tc>
        <w:tc>
          <w:tcPr>
            <w:tcW w:w="366" w:type="pct"/>
            <w:tcBorders>
              <w:top w:val="nil"/>
              <w:left w:val="nil"/>
              <w:bottom w:val="single" w:sz="4" w:space="0" w:color="auto"/>
              <w:right w:val="single" w:sz="4" w:space="0" w:color="auto"/>
            </w:tcBorders>
            <w:vAlign w:val="center"/>
            <w:hideMark/>
          </w:tcPr>
          <w:p w14:paraId="5F10864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OGE ENERGY</w:t>
            </w:r>
          </w:p>
        </w:tc>
        <w:tc>
          <w:tcPr>
            <w:tcW w:w="1804" w:type="pct"/>
            <w:tcBorders>
              <w:top w:val="nil"/>
              <w:left w:val="nil"/>
              <w:bottom w:val="single" w:sz="4" w:space="0" w:color="auto"/>
              <w:right w:val="single" w:sz="4" w:space="0" w:color="auto"/>
            </w:tcBorders>
            <w:vAlign w:val="center"/>
            <w:hideMark/>
          </w:tcPr>
          <w:p w14:paraId="17FD355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modificación del artículo 21 de la Resolución CREG 101 072 de 2025 establece una metodología para distribuir la energía excedentaria en AC de hasta 1 MW mediante fórmulas complejas que exigen sistemas de información avanzados y personal especializado, lo que puede convertirse en una barrera para las comunidades energéticas. La fórmula propuesta (ExcAC_{i,j,m,u} = PDE_{i,j,u} * Σ Exc_{i,j,m,u}) requiere el cálculo de múltiples variables cuya determinación práctica no está desarrollada y se complica en comunidades con varios usuarios.</w:t>
            </w:r>
          </w:p>
        </w:tc>
        <w:tc>
          <w:tcPr>
            <w:tcW w:w="745" w:type="pct"/>
            <w:tcBorders>
              <w:top w:val="nil"/>
              <w:left w:val="nil"/>
              <w:bottom w:val="single" w:sz="4" w:space="0" w:color="auto"/>
              <w:right w:val="single" w:sz="4" w:space="0" w:color="auto"/>
            </w:tcBorders>
            <w:vAlign w:val="center"/>
            <w:hideMark/>
          </w:tcPr>
          <w:p w14:paraId="67F3ACE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0A3E295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fórmula del artículo 21 permite asignar a cada usuario del AC una cantidad de energía en función del porcentaje de distribución de excedentes acordado por lo que es necesaria para que el Comercializador pueda aplicar en debida forma la facturación y valoración de excedentes de cada unos de los usuarios.</w:t>
            </w:r>
          </w:p>
        </w:tc>
      </w:tr>
      <w:tr w:rsidR="00651E5A" w:rsidRPr="007E63A2" w14:paraId="43EAD60F" w14:textId="77777777" w:rsidTr="00651E5A">
        <w:trPr>
          <w:trHeight w:val="538"/>
        </w:trPr>
        <w:tc>
          <w:tcPr>
            <w:tcW w:w="151" w:type="pct"/>
            <w:tcBorders>
              <w:top w:val="nil"/>
              <w:left w:val="single" w:sz="4" w:space="0" w:color="auto"/>
              <w:bottom w:val="single" w:sz="4" w:space="0" w:color="auto"/>
              <w:right w:val="single" w:sz="4" w:space="0" w:color="auto"/>
            </w:tcBorders>
            <w:vAlign w:val="center"/>
            <w:hideMark/>
          </w:tcPr>
          <w:p w14:paraId="6FE94E6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15</w:t>
            </w:r>
          </w:p>
        </w:tc>
        <w:tc>
          <w:tcPr>
            <w:tcW w:w="414" w:type="pct"/>
            <w:tcBorders>
              <w:top w:val="nil"/>
              <w:left w:val="nil"/>
              <w:bottom w:val="single" w:sz="4" w:space="0" w:color="auto"/>
              <w:right w:val="single" w:sz="4" w:space="0" w:color="auto"/>
            </w:tcBorders>
            <w:vAlign w:val="center"/>
            <w:hideMark/>
          </w:tcPr>
          <w:p w14:paraId="6472143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E2025012601</w:t>
            </w:r>
          </w:p>
        </w:tc>
        <w:tc>
          <w:tcPr>
            <w:tcW w:w="366" w:type="pct"/>
            <w:tcBorders>
              <w:top w:val="nil"/>
              <w:left w:val="nil"/>
              <w:bottom w:val="single" w:sz="4" w:space="0" w:color="auto"/>
              <w:right w:val="single" w:sz="4" w:space="0" w:color="auto"/>
            </w:tcBorders>
            <w:vAlign w:val="center"/>
            <w:hideMark/>
          </w:tcPr>
          <w:p w14:paraId="077E8EC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ACOSOL</w:t>
            </w:r>
          </w:p>
        </w:tc>
        <w:tc>
          <w:tcPr>
            <w:tcW w:w="1804" w:type="pct"/>
            <w:tcBorders>
              <w:top w:val="nil"/>
              <w:left w:val="nil"/>
              <w:bottom w:val="single" w:sz="4" w:space="0" w:color="auto"/>
              <w:right w:val="single" w:sz="4" w:space="0" w:color="auto"/>
            </w:tcBorders>
            <w:vAlign w:val="center"/>
            <w:hideMark/>
          </w:tcPr>
          <w:p w14:paraId="1D38010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definición actual de Generación Distribuida en la Resolución CREG 174 de 2021 establece como límite una capacidad “menor a 1 MW”. Esta redacción ha generado obstáculos en la legalización de proyectos que cuentan exactamente con 1 MW de capacidad instalada, los cuales quedan en un vacío normativo al no poder clasificarse dentro de la Generación Distribuida. Para dar certeza jurídica, operativa y regulatoria, se requiere incluir explícitamente el término “menor o igual a 1 MW”, con el fin de abarcar todos los proyectos dentro del rango previsto por la regulación y evitar interpretaciones restrictivas que afectan la viabilidad de conexión y legalización.</w:t>
            </w:r>
          </w:p>
        </w:tc>
        <w:tc>
          <w:tcPr>
            <w:tcW w:w="745" w:type="pct"/>
            <w:tcBorders>
              <w:top w:val="nil"/>
              <w:left w:val="nil"/>
              <w:bottom w:val="single" w:sz="4" w:space="0" w:color="auto"/>
              <w:right w:val="single" w:sz="4" w:space="0" w:color="auto"/>
            </w:tcBorders>
            <w:vAlign w:val="center"/>
            <w:hideMark/>
          </w:tcPr>
          <w:p w14:paraId="088BF46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Modifíquese el artículo 3 de la Resolución CREG 174 de 2021, en la definición de Generación Distribuida, la cual quedará así:</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 xml:space="preserve">Generación distribuida: Es la actividad de generar energía eléctrica con una planta con capacidad instalada o nominal de generación menor o igual a 1 MW, y que se encuentra instalada cerca </w:t>
            </w:r>
            <w:r w:rsidRPr="007E63A2">
              <w:rPr>
                <w:rFonts w:ascii="Calibri" w:hAnsi="Calibri" w:cs="Calibri"/>
                <w:color w:val="000000"/>
                <w:sz w:val="16"/>
                <w:szCs w:val="16"/>
                <w:lang w:eastAsia="zh-CN"/>
              </w:rPr>
              <w:lastRenderedPageBreak/>
              <w:t>de los centros de consumo, conectada al Sistema de Distribución Local (SDL).</w:t>
            </w:r>
          </w:p>
        </w:tc>
        <w:tc>
          <w:tcPr>
            <w:tcW w:w="1521" w:type="pct"/>
            <w:tcBorders>
              <w:top w:val="nil"/>
              <w:left w:val="nil"/>
              <w:bottom w:val="single" w:sz="4" w:space="0" w:color="auto"/>
              <w:right w:val="single" w:sz="4" w:space="0" w:color="auto"/>
            </w:tcBorders>
            <w:vAlign w:val="center"/>
            <w:hideMark/>
          </w:tcPr>
          <w:p w14:paraId="7C2C2094" w14:textId="56D06E54"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xml:space="preserve">El comentario no es objeto de la propuesta en </w:t>
            </w:r>
            <w:r w:rsidR="00651E5A" w:rsidRPr="007E63A2">
              <w:rPr>
                <w:rFonts w:ascii="Calibri" w:hAnsi="Calibri" w:cs="Calibri"/>
                <w:color w:val="000000"/>
                <w:sz w:val="16"/>
                <w:szCs w:val="16"/>
                <w:lang w:eastAsia="zh-CN"/>
              </w:rPr>
              <w:t>consulta,</w:t>
            </w:r>
            <w:r w:rsidRPr="007E63A2">
              <w:rPr>
                <w:rFonts w:ascii="Calibri" w:hAnsi="Calibri" w:cs="Calibri"/>
                <w:color w:val="000000"/>
                <w:sz w:val="16"/>
                <w:szCs w:val="16"/>
                <w:lang w:eastAsia="zh-CN"/>
              </w:rPr>
              <w:t xml:space="preserve"> pero se informa que en el proceso de construcción de la agenda regulatoria indicativa (ARI) del año 2026, la Comisión incorporará un proyecto para realizar ajustes a la Resolución CREG 174 de 2021 donde el comentario será materia de análisis.</w:t>
            </w:r>
          </w:p>
        </w:tc>
      </w:tr>
      <w:tr w:rsidR="00651E5A" w:rsidRPr="007E63A2" w14:paraId="3B744E9A" w14:textId="77777777" w:rsidTr="00651E5A">
        <w:trPr>
          <w:trHeight w:val="2900"/>
        </w:trPr>
        <w:tc>
          <w:tcPr>
            <w:tcW w:w="151" w:type="pct"/>
            <w:tcBorders>
              <w:top w:val="nil"/>
              <w:left w:val="single" w:sz="4" w:space="0" w:color="auto"/>
              <w:bottom w:val="single" w:sz="4" w:space="0" w:color="auto"/>
              <w:right w:val="single" w:sz="4" w:space="0" w:color="auto"/>
            </w:tcBorders>
            <w:vAlign w:val="center"/>
            <w:hideMark/>
          </w:tcPr>
          <w:p w14:paraId="2322E6E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16</w:t>
            </w:r>
          </w:p>
        </w:tc>
        <w:tc>
          <w:tcPr>
            <w:tcW w:w="414" w:type="pct"/>
            <w:tcBorders>
              <w:top w:val="nil"/>
              <w:left w:val="nil"/>
              <w:bottom w:val="single" w:sz="4" w:space="0" w:color="auto"/>
              <w:right w:val="single" w:sz="4" w:space="0" w:color="auto"/>
            </w:tcBorders>
            <w:vAlign w:val="center"/>
            <w:hideMark/>
          </w:tcPr>
          <w:p w14:paraId="0CFFE8A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E2025012601</w:t>
            </w:r>
          </w:p>
        </w:tc>
        <w:tc>
          <w:tcPr>
            <w:tcW w:w="366" w:type="pct"/>
            <w:tcBorders>
              <w:top w:val="nil"/>
              <w:left w:val="nil"/>
              <w:bottom w:val="single" w:sz="4" w:space="0" w:color="auto"/>
              <w:right w:val="single" w:sz="4" w:space="0" w:color="auto"/>
            </w:tcBorders>
            <w:vAlign w:val="center"/>
            <w:hideMark/>
          </w:tcPr>
          <w:p w14:paraId="508D413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ACOSOL</w:t>
            </w:r>
          </w:p>
        </w:tc>
        <w:tc>
          <w:tcPr>
            <w:tcW w:w="1804" w:type="pct"/>
            <w:tcBorders>
              <w:top w:val="nil"/>
              <w:left w:val="nil"/>
              <w:bottom w:val="single" w:sz="4" w:space="0" w:color="auto"/>
              <w:right w:val="single" w:sz="4" w:space="0" w:color="auto"/>
            </w:tcBorders>
            <w:vAlign w:val="center"/>
            <w:hideMark/>
          </w:tcPr>
          <w:p w14:paraId="560C6A3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definición vigente de Generador Distribuido (GD) restringe esta figura únicamente a las Empresas de Servicios Públicos (ESP), lo que limita de manera injustificada la participación de personas naturales y jurídicas interesadas en desarrollar proyectos de generación distribuida como modelo de negocio. Esta exclusión constituye una barrera de entrada al mercado y va en contravía de los principios de democratización de la generación y de la transición energética justa, pues reduce las oportunidades de inversión y limita la competencia. Por tal motivo, se propone ajustar la definición para que el Generador Distribuido pueda ser cualquier persona natural o jurídica que realice esta actividad, manteniendo la sujeción a la regulación vigente, pero ampliando la participación y el acceso.</w:t>
            </w:r>
          </w:p>
        </w:tc>
        <w:tc>
          <w:tcPr>
            <w:tcW w:w="745" w:type="pct"/>
            <w:tcBorders>
              <w:top w:val="nil"/>
              <w:left w:val="nil"/>
              <w:bottom w:val="single" w:sz="4" w:space="0" w:color="auto"/>
              <w:right w:val="single" w:sz="4" w:space="0" w:color="auto"/>
            </w:tcBorders>
            <w:vAlign w:val="center"/>
            <w:hideMark/>
          </w:tcPr>
          <w:p w14:paraId="3553D4D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Modifíquese el artículo 3 de la Resolución CREG 174 de 2021, en la definición de Generador Distribuido (GD), la cual quedará así:</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Generador distribuido (GD): Persona natural o jurídica que realiza la actividad de generación distribuida. Para todos los efectos, es un agente generador sujeto a la regulación vigente para esta actividad, con excepción de los procedimientos de conexión y comercialización aquí definidos.</w:t>
            </w:r>
          </w:p>
        </w:tc>
        <w:tc>
          <w:tcPr>
            <w:tcW w:w="1521" w:type="pct"/>
            <w:tcBorders>
              <w:top w:val="nil"/>
              <w:left w:val="nil"/>
              <w:bottom w:val="single" w:sz="4" w:space="0" w:color="auto"/>
              <w:right w:val="single" w:sz="4" w:space="0" w:color="auto"/>
            </w:tcBorders>
            <w:vAlign w:val="center"/>
            <w:hideMark/>
          </w:tcPr>
          <w:p w14:paraId="6C19F90D" w14:textId="0BA9DE16"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comentario no es objeto de la propuesta en </w:t>
            </w:r>
            <w:r w:rsidR="00651E5A" w:rsidRPr="007E63A2">
              <w:rPr>
                <w:rFonts w:ascii="Calibri" w:hAnsi="Calibri" w:cs="Calibri"/>
                <w:color w:val="000000"/>
                <w:sz w:val="16"/>
                <w:szCs w:val="16"/>
                <w:lang w:eastAsia="zh-CN"/>
              </w:rPr>
              <w:t>consulta,</w:t>
            </w:r>
            <w:r w:rsidRPr="007E63A2">
              <w:rPr>
                <w:rFonts w:ascii="Calibri" w:hAnsi="Calibri" w:cs="Calibri"/>
                <w:color w:val="000000"/>
                <w:sz w:val="16"/>
                <w:szCs w:val="16"/>
                <w:lang w:eastAsia="zh-CN"/>
              </w:rPr>
              <w:t xml:space="preserve"> pero se informa que en el proceso de construcción de la agenda regulatoria indicativa (ARI) del año 2026, la Comisión incorporará un proyecto para realizar ajustes a la Resolución CREG 174 de 2021 donde el comentario será materia de análisis.</w:t>
            </w:r>
          </w:p>
        </w:tc>
      </w:tr>
      <w:tr w:rsidR="00651E5A" w:rsidRPr="007E63A2" w14:paraId="727426DC" w14:textId="77777777" w:rsidTr="00651E5A">
        <w:trPr>
          <w:trHeight w:val="3770"/>
        </w:trPr>
        <w:tc>
          <w:tcPr>
            <w:tcW w:w="151" w:type="pct"/>
            <w:tcBorders>
              <w:top w:val="nil"/>
              <w:left w:val="single" w:sz="4" w:space="0" w:color="auto"/>
              <w:bottom w:val="single" w:sz="4" w:space="0" w:color="auto"/>
              <w:right w:val="single" w:sz="4" w:space="0" w:color="auto"/>
            </w:tcBorders>
            <w:vAlign w:val="center"/>
            <w:hideMark/>
          </w:tcPr>
          <w:p w14:paraId="77F82C8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17</w:t>
            </w:r>
          </w:p>
        </w:tc>
        <w:tc>
          <w:tcPr>
            <w:tcW w:w="414" w:type="pct"/>
            <w:tcBorders>
              <w:top w:val="nil"/>
              <w:left w:val="nil"/>
              <w:bottom w:val="single" w:sz="4" w:space="0" w:color="auto"/>
              <w:right w:val="single" w:sz="4" w:space="0" w:color="auto"/>
            </w:tcBorders>
            <w:vAlign w:val="center"/>
            <w:hideMark/>
          </w:tcPr>
          <w:p w14:paraId="06D22FC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E2025012601</w:t>
            </w:r>
          </w:p>
        </w:tc>
        <w:tc>
          <w:tcPr>
            <w:tcW w:w="366" w:type="pct"/>
            <w:tcBorders>
              <w:top w:val="nil"/>
              <w:left w:val="nil"/>
              <w:bottom w:val="single" w:sz="4" w:space="0" w:color="auto"/>
              <w:right w:val="single" w:sz="4" w:space="0" w:color="auto"/>
            </w:tcBorders>
            <w:vAlign w:val="center"/>
            <w:hideMark/>
          </w:tcPr>
          <w:p w14:paraId="487FF09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ACOSOL</w:t>
            </w:r>
          </w:p>
        </w:tc>
        <w:tc>
          <w:tcPr>
            <w:tcW w:w="1804" w:type="pct"/>
            <w:tcBorders>
              <w:top w:val="nil"/>
              <w:left w:val="nil"/>
              <w:bottom w:val="single" w:sz="4" w:space="0" w:color="auto"/>
              <w:right w:val="single" w:sz="4" w:space="0" w:color="auto"/>
            </w:tcBorders>
            <w:vAlign w:val="center"/>
            <w:hideMark/>
          </w:tcPr>
          <w:p w14:paraId="6F3D77A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Actualmente, cuando el Operador de Red (OR) no dispone de información actualizada sobre el consumo de mínima demanda del año anterior o cuando se excede el límite del 50% de la capacidad del transformador, los proyectos de autogeneración a pequeña escala (AGPE) encuentran una barrera injustificada para entrar en operación, aun cuando hayan realizado el estudio de conexión simplificado establecido en la norma. Esto ha generado retrasos y negaciones de viabilidad que no corresponden a la responsabilidad del autogenerador, sino a la ausencia de datos actualizados por parte del OR. Por esta razón, se hace necesario ajustar el parágrafo 2 del artículo 6, con el fin de garantizar que, en ausencia de información, prevalezca el derecho del solicitante a conectar su proyecto mediante el mecanismo simplificado, sin que el OR pueda trasladar responsabilidades derivadas de la falta de datos.</w:t>
            </w:r>
          </w:p>
        </w:tc>
        <w:tc>
          <w:tcPr>
            <w:tcW w:w="745" w:type="pct"/>
            <w:tcBorders>
              <w:top w:val="nil"/>
              <w:left w:val="nil"/>
              <w:bottom w:val="single" w:sz="4" w:space="0" w:color="auto"/>
              <w:right w:val="single" w:sz="4" w:space="0" w:color="auto"/>
            </w:tcBorders>
            <w:vAlign w:val="center"/>
            <w:hideMark/>
          </w:tcPr>
          <w:p w14:paraId="2424B86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Modifíquese el artículo 6, parágrafo 2, de la Resolución CREG 174 de 2021, el cual quedará así:</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PARÁGRAFO 2. Para el cumplimiento de lo dispuesto en los literales b) y c) del presente artículo se debe utilizar la información real actualizada para el año anterior al de solicitud de conexión. En caso de no contar con información actualizada del punto de conexión, el OR deberá aceptar las conexiones que se le soliciten únicamente con la presentación del Formulario de conexión simplificado de que trata el artículo 12 de la presente Resolución, y no podrá trasladar ninguna responsabilidad ante contingencias presentadas por este hecho.</w:t>
            </w:r>
          </w:p>
        </w:tc>
        <w:tc>
          <w:tcPr>
            <w:tcW w:w="1521" w:type="pct"/>
            <w:tcBorders>
              <w:top w:val="nil"/>
              <w:left w:val="nil"/>
              <w:bottom w:val="single" w:sz="4" w:space="0" w:color="auto"/>
              <w:right w:val="single" w:sz="4" w:space="0" w:color="auto"/>
            </w:tcBorders>
            <w:vAlign w:val="center"/>
            <w:hideMark/>
          </w:tcPr>
          <w:p w14:paraId="2FC34D2B" w14:textId="58AAD374"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comentario no es objeto de la propuesta en </w:t>
            </w:r>
            <w:r w:rsidR="00651E5A" w:rsidRPr="007E63A2">
              <w:rPr>
                <w:rFonts w:ascii="Calibri" w:hAnsi="Calibri" w:cs="Calibri"/>
                <w:color w:val="000000"/>
                <w:sz w:val="16"/>
                <w:szCs w:val="16"/>
                <w:lang w:eastAsia="zh-CN"/>
              </w:rPr>
              <w:t>consulta,</w:t>
            </w:r>
            <w:r w:rsidRPr="007E63A2">
              <w:rPr>
                <w:rFonts w:ascii="Calibri" w:hAnsi="Calibri" w:cs="Calibri"/>
                <w:color w:val="000000"/>
                <w:sz w:val="16"/>
                <w:szCs w:val="16"/>
                <w:lang w:eastAsia="zh-CN"/>
              </w:rPr>
              <w:t xml:space="preserve"> pero se informa que en el proceso de construcción de la agenda regulatoria indicativa (ARI) del año 2026, la Comisión incorporará un proyecto para realizar ajustes a la Resolución CREG 174 de 2021 donde el comentario será materia de análisis.</w:t>
            </w:r>
          </w:p>
        </w:tc>
      </w:tr>
      <w:tr w:rsidR="00651E5A" w:rsidRPr="007E63A2" w14:paraId="3D717EBC" w14:textId="77777777" w:rsidTr="00651E5A">
        <w:trPr>
          <w:trHeight w:val="2900"/>
        </w:trPr>
        <w:tc>
          <w:tcPr>
            <w:tcW w:w="151" w:type="pct"/>
            <w:tcBorders>
              <w:top w:val="nil"/>
              <w:left w:val="single" w:sz="4" w:space="0" w:color="auto"/>
              <w:bottom w:val="single" w:sz="4" w:space="0" w:color="auto"/>
              <w:right w:val="single" w:sz="4" w:space="0" w:color="auto"/>
            </w:tcBorders>
            <w:vAlign w:val="center"/>
            <w:hideMark/>
          </w:tcPr>
          <w:p w14:paraId="6D03C79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18</w:t>
            </w:r>
          </w:p>
        </w:tc>
        <w:tc>
          <w:tcPr>
            <w:tcW w:w="414" w:type="pct"/>
            <w:tcBorders>
              <w:top w:val="nil"/>
              <w:left w:val="nil"/>
              <w:bottom w:val="single" w:sz="4" w:space="0" w:color="auto"/>
              <w:right w:val="single" w:sz="4" w:space="0" w:color="auto"/>
            </w:tcBorders>
            <w:vAlign w:val="center"/>
            <w:hideMark/>
          </w:tcPr>
          <w:p w14:paraId="450E08C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E2025012601</w:t>
            </w:r>
          </w:p>
        </w:tc>
        <w:tc>
          <w:tcPr>
            <w:tcW w:w="366" w:type="pct"/>
            <w:tcBorders>
              <w:top w:val="nil"/>
              <w:left w:val="nil"/>
              <w:bottom w:val="single" w:sz="4" w:space="0" w:color="auto"/>
              <w:right w:val="single" w:sz="4" w:space="0" w:color="auto"/>
            </w:tcBorders>
            <w:vAlign w:val="center"/>
            <w:hideMark/>
          </w:tcPr>
          <w:p w14:paraId="4673E1C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ACOSOL</w:t>
            </w:r>
          </w:p>
        </w:tc>
        <w:tc>
          <w:tcPr>
            <w:tcW w:w="1804" w:type="pct"/>
            <w:tcBorders>
              <w:top w:val="nil"/>
              <w:left w:val="nil"/>
              <w:bottom w:val="single" w:sz="4" w:space="0" w:color="auto"/>
              <w:right w:val="single" w:sz="4" w:space="0" w:color="auto"/>
            </w:tcBorders>
            <w:vAlign w:val="center"/>
            <w:hideMark/>
          </w:tcPr>
          <w:p w14:paraId="66A8A80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Una de las barreras más frecuentes en la implementación de proyectos de autogeneración a pequeña escala ocurre cuando los operadores de red exigen la migración de un usuario del nivel de tensión 1 al nivel de tensión 2 por contar con un transformador de capacidad mayor a 15 kVA. Aunque la normatividad establece que en estos casos debe existir medición en el punto de conexión (lado de alta), los operadores no han exigido este cumplimiento de manera sistemática, sino únicamente cuando se solicita la entrada de un autogenerador. Esta práctica genera costos adicionales que hacen inviables muchos proyectos solares fotovoltaicos y constituye una barrera que contradice el objetivo de la CREG 174 de 2021 de promover la autogeneración. Por ello, se propone la adición de un parágrafo que garantice que, cuando el usuario se encuentra conectado en nivel de tensión 1, el operador de red no pueda exigir la migración al nivel de tensión 2 como condición para la conexión del autogenerador.</w:t>
            </w:r>
          </w:p>
        </w:tc>
        <w:tc>
          <w:tcPr>
            <w:tcW w:w="745" w:type="pct"/>
            <w:tcBorders>
              <w:top w:val="nil"/>
              <w:left w:val="nil"/>
              <w:bottom w:val="single" w:sz="4" w:space="0" w:color="auto"/>
              <w:right w:val="single" w:sz="4" w:space="0" w:color="auto"/>
            </w:tcBorders>
            <w:vAlign w:val="center"/>
            <w:hideMark/>
          </w:tcPr>
          <w:p w14:paraId="6F437C4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Adiciónese el parágrafo 3 al artículo 6 de la Resolución CREG 174 de 2021, con el siguiente texto: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PARÁGRAFO 3. En los casos en que el usuario cuente con un transformador de capacidad mayor a 15 kVA y la medida se encuentre en nivel de tensión 1 (baja tensión) al momento de la solicitud de conexión de un autogenerador, el operador de red no podrá exigir la migración a nivel de tensión 2 como condición para la viabilidad del proyecto.</w:t>
            </w:r>
          </w:p>
        </w:tc>
        <w:tc>
          <w:tcPr>
            <w:tcW w:w="1521" w:type="pct"/>
            <w:tcBorders>
              <w:top w:val="nil"/>
              <w:left w:val="nil"/>
              <w:bottom w:val="single" w:sz="4" w:space="0" w:color="auto"/>
              <w:right w:val="single" w:sz="4" w:space="0" w:color="auto"/>
            </w:tcBorders>
            <w:vAlign w:val="center"/>
            <w:hideMark/>
          </w:tcPr>
          <w:p w14:paraId="0B044255" w14:textId="24E4D08A"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comentario no es objeto de la propuesta en </w:t>
            </w:r>
            <w:r w:rsidR="00651E5A" w:rsidRPr="007E63A2">
              <w:rPr>
                <w:rFonts w:ascii="Calibri" w:hAnsi="Calibri" w:cs="Calibri"/>
                <w:color w:val="000000"/>
                <w:sz w:val="16"/>
                <w:szCs w:val="16"/>
                <w:lang w:eastAsia="zh-CN"/>
              </w:rPr>
              <w:t>consulta,</w:t>
            </w:r>
            <w:r w:rsidRPr="007E63A2">
              <w:rPr>
                <w:rFonts w:ascii="Calibri" w:hAnsi="Calibri" w:cs="Calibri"/>
                <w:color w:val="000000"/>
                <w:sz w:val="16"/>
                <w:szCs w:val="16"/>
                <w:lang w:eastAsia="zh-CN"/>
              </w:rPr>
              <w:t xml:space="preserve"> pero se informa que en el proceso de construcción de la agenda regulatoria indicativa (ARI) del año 2026, la Comisión incorporará un proyecto para realizar ajustes a la Resolución CREG 174 de 2021 donde el comentario será materia de análisis.</w:t>
            </w:r>
          </w:p>
        </w:tc>
      </w:tr>
      <w:tr w:rsidR="00651E5A" w:rsidRPr="007E63A2" w14:paraId="653D76B2" w14:textId="77777777" w:rsidTr="00651E5A">
        <w:trPr>
          <w:trHeight w:val="6380"/>
        </w:trPr>
        <w:tc>
          <w:tcPr>
            <w:tcW w:w="151" w:type="pct"/>
            <w:tcBorders>
              <w:top w:val="nil"/>
              <w:left w:val="single" w:sz="4" w:space="0" w:color="auto"/>
              <w:bottom w:val="single" w:sz="4" w:space="0" w:color="auto"/>
              <w:right w:val="single" w:sz="4" w:space="0" w:color="auto"/>
            </w:tcBorders>
            <w:vAlign w:val="center"/>
            <w:hideMark/>
          </w:tcPr>
          <w:p w14:paraId="4617D38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19</w:t>
            </w:r>
          </w:p>
        </w:tc>
        <w:tc>
          <w:tcPr>
            <w:tcW w:w="414" w:type="pct"/>
            <w:tcBorders>
              <w:top w:val="nil"/>
              <w:left w:val="nil"/>
              <w:bottom w:val="single" w:sz="4" w:space="0" w:color="auto"/>
              <w:right w:val="single" w:sz="4" w:space="0" w:color="auto"/>
            </w:tcBorders>
            <w:vAlign w:val="center"/>
            <w:hideMark/>
          </w:tcPr>
          <w:p w14:paraId="1B1BBF9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E2025012601</w:t>
            </w:r>
          </w:p>
        </w:tc>
        <w:tc>
          <w:tcPr>
            <w:tcW w:w="366" w:type="pct"/>
            <w:tcBorders>
              <w:top w:val="nil"/>
              <w:left w:val="nil"/>
              <w:bottom w:val="single" w:sz="4" w:space="0" w:color="auto"/>
              <w:right w:val="single" w:sz="4" w:space="0" w:color="auto"/>
            </w:tcBorders>
            <w:vAlign w:val="center"/>
            <w:hideMark/>
          </w:tcPr>
          <w:p w14:paraId="12919E8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ACOSOL</w:t>
            </w:r>
          </w:p>
        </w:tc>
        <w:tc>
          <w:tcPr>
            <w:tcW w:w="1804" w:type="pct"/>
            <w:tcBorders>
              <w:top w:val="nil"/>
              <w:left w:val="nil"/>
              <w:bottom w:val="single" w:sz="4" w:space="0" w:color="auto"/>
              <w:right w:val="single" w:sz="4" w:space="0" w:color="auto"/>
            </w:tcBorders>
            <w:vAlign w:val="center"/>
            <w:hideMark/>
          </w:tcPr>
          <w:p w14:paraId="777B945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redacción vigente del artículo 15 establece una vigencia única de seis (6) meses prorrogables por tres (3) meses tanto para los AGPE como para los GD. Sin embargo, en la práctica, este plazo resulta insuficiente para los proyectos de Generación Distribuida (GD) debido a que requieren tiempos más largos para la consecución de equipos, trámites financieros, importación y puesta en marcha. En múltiples casos, los plazos de seis más tres meses se vencen antes de que los promotores logren culminar la instalación, generando barreras para la viabilidad de los proyectos y afectando el crecimiento de la generación distribuida. Para los AGPE, los plazos actuales son adecuados dada su menor escala y complejidad. Por tal razón, se propone un ajuste diferenciado que mantenga la regla actual para los AGPE, pero amplíe la vigencia de los GD a doce (12) meses prorrogables por tres (3) meses, lo que se ajusta mejor a la realidad operativa y financiera de estos proyectos.</w:t>
            </w:r>
          </w:p>
        </w:tc>
        <w:tc>
          <w:tcPr>
            <w:tcW w:w="745" w:type="pct"/>
            <w:tcBorders>
              <w:top w:val="nil"/>
              <w:left w:val="nil"/>
              <w:bottom w:val="single" w:sz="4" w:space="0" w:color="auto"/>
              <w:right w:val="single" w:sz="4" w:space="0" w:color="auto"/>
            </w:tcBorders>
            <w:vAlign w:val="center"/>
            <w:hideMark/>
          </w:tcPr>
          <w:p w14:paraId="5AF755C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Modifíquese el artículo 15, numeral 3, de la Resolución CREG 174 de 2021, el cual quedará así:</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3. Si se trata de un AGPE, la vigencia de la aprobación es de seis (6) meses. En todo caso, el AGPE podrá solicitar, sin costo, un plazo adicional de tres (3) meses de vigencia para realizar la conexión, contados a partir de la finalización de la vigencia de seis (6) meses inicialmente aprobada. Esto se deberá solicitar en el sistema de trámite en línea al menos un (1) mes antes de la finalización de la vigencia de seis (6) meses inicialmente aprobada, y se entenderá aprobada una vez cargada en el sistema.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 xml:space="preserve">Si se trata de un Generador Distribuido (GD), la vigencia de la aprobación es de doce (12) meses. En todo caso, el GD podrá solicitar, sin costo, un plazo adicional de tres (3) meses de vigencia para realizar la conexión, contados a partir de la finalización de la vigencia de doce (12) meses inicialmente aprobada. Esto se deberá solicitar en el sistema de </w:t>
            </w:r>
            <w:r w:rsidRPr="007E63A2">
              <w:rPr>
                <w:rFonts w:ascii="Calibri" w:hAnsi="Calibri" w:cs="Calibri"/>
                <w:color w:val="000000"/>
                <w:sz w:val="16"/>
                <w:szCs w:val="16"/>
                <w:lang w:eastAsia="zh-CN"/>
              </w:rPr>
              <w:lastRenderedPageBreak/>
              <w:t>trámite en línea al menos un (1) mes antes de la finalización de la vigencia de doce (12) meses inicialmente aprobada, y se entenderá aprobada una vez cargada en el sistema.</w:t>
            </w:r>
          </w:p>
        </w:tc>
        <w:tc>
          <w:tcPr>
            <w:tcW w:w="1521" w:type="pct"/>
            <w:tcBorders>
              <w:top w:val="nil"/>
              <w:left w:val="nil"/>
              <w:bottom w:val="single" w:sz="4" w:space="0" w:color="auto"/>
              <w:right w:val="single" w:sz="4" w:space="0" w:color="auto"/>
            </w:tcBorders>
            <w:vAlign w:val="center"/>
            <w:hideMark/>
          </w:tcPr>
          <w:p w14:paraId="5DA3854B" w14:textId="6C237338"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xml:space="preserve">El comentario no es objeto de la propuesta en </w:t>
            </w:r>
            <w:r w:rsidR="00651E5A" w:rsidRPr="007E63A2">
              <w:rPr>
                <w:rFonts w:ascii="Calibri" w:hAnsi="Calibri" w:cs="Calibri"/>
                <w:color w:val="000000"/>
                <w:sz w:val="16"/>
                <w:szCs w:val="16"/>
                <w:lang w:eastAsia="zh-CN"/>
              </w:rPr>
              <w:t>consulta,</w:t>
            </w:r>
            <w:r w:rsidRPr="007E63A2">
              <w:rPr>
                <w:rFonts w:ascii="Calibri" w:hAnsi="Calibri" w:cs="Calibri"/>
                <w:color w:val="000000"/>
                <w:sz w:val="16"/>
                <w:szCs w:val="16"/>
                <w:lang w:eastAsia="zh-CN"/>
              </w:rPr>
              <w:t xml:space="preserve"> pero se informa que en el proceso de construcción de la agenda regulatoria indicativa (ARI) del año 2026, la Comisión incorporará un proyecto para realizar ajustes a la Resolución CREG 174 de 2021 donde el comentario será materia de análisis.</w:t>
            </w:r>
          </w:p>
        </w:tc>
      </w:tr>
      <w:tr w:rsidR="00651E5A" w:rsidRPr="007E63A2" w14:paraId="4D8D6777" w14:textId="77777777" w:rsidTr="00651E5A">
        <w:trPr>
          <w:trHeight w:val="2900"/>
        </w:trPr>
        <w:tc>
          <w:tcPr>
            <w:tcW w:w="151" w:type="pct"/>
            <w:tcBorders>
              <w:top w:val="nil"/>
              <w:left w:val="single" w:sz="4" w:space="0" w:color="auto"/>
              <w:bottom w:val="single" w:sz="4" w:space="0" w:color="auto"/>
              <w:right w:val="single" w:sz="4" w:space="0" w:color="auto"/>
            </w:tcBorders>
            <w:vAlign w:val="center"/>
            <w:hideMark/>
          </w:tcPr>
          <w:p w14:paraId="01FF6C7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20</w:t>
            </w:r>
          </w:p>
        </w:tc>
        <w:tc>
          <w:tcPr>
            <w:tcW w:w="414" w:type="pct"/>
            <w:tcBorders>
              <w:top w:val="nil"/>
              <w:left w:val="nil"/>
              <w:bottom w:val="single" w:sz="4" w:space="0" w:color="auto"/>
              <w:right w:val="single" w:sz="4" w:space="0" w:color="auto"/>
            </w:tcBorders>
            <w:vAlign w:val="center"/>
            <w:hideMark/>
          </w:tcPr>
          <w:p w14:paraId="3EF02CD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E2025012601</w:t>
            </w:r>
          </w:p>
        </w:tc>
        <w:tc>
          <w:tcPr>
            <w:tcW w:w="366" w:type="pct"/>
            <w:tcBorders>
              <w:top w:val="nil"/>
              <w:left w:val="nil"/>
              <w:bottom w:val="single" w:sz="4" w:space="0" w:color="auto"/>
              <w:right w:val="single" w:sz="4" w:space="0" w:color="auto"/>
            </w:tcBorders>
            <w:vAlign w:val="center"/>
            <w:hideMark/>
          </w:tcPr>
          <w:p w14:paraId="1EF48B9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ACOSOL</w:t>
            </w:r>
          </w:p>
        </w:tc>
        <w:tc>
          <w:tcPr>
            <w:tcW w:w="1804" w:type="pct"/>
            <w:tcBorders>
              <w:top w:val="nil"/>
              <w:left w:val="nil"/>
              <w:bottom w:val="single" w:sz="4" w:space="0" w:color="auto"/>
              <w:right w:val="single" w:sz="4" w:space="0" w:color="auto"/>
            </w:tcBorders>
            <w:vAlign w:val="center"/>
            <w:hideMark/>
          </w:tcPr>
          <w:p w14:paraId="269B469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 la práctica se ha evidenciado que, aun cuando los operadores de red aprueban la conexión en la visita de puesta en marcha, no realizan de manera oportuna el cambio o instalación del equipo de medida bidireccional. Esta omisión impide que el autogenerador pueda registrar y liquidar sus excedentes desde el inicio de la operación, ocasionándole pérdidas económicas y retrasando la efectividad de la regulación. Dado que el artículo 19 regula las reglas de la conexión, es necesario establecer de manera expresa que el operador de red debe garantizar que los equipos de medida se encuentren instalados, a más tardar, en la fecha de la visita de puesta en marcha, evitando dilaciones que afecten la remuneración justa de los autogeneradores.</w:t>
            </w:r>
          </w:p>
        </w:tc>
        <w:tc>
          <w:tcPr>
            <w:tcW w:w="745" w:type="pct"/>
            <w:tcBorders>
              <w:top w:val="nil"/>
              <w:left w:val="nil"/>
              <w:bottom w:val="single" w:sz="4" w:space="0" w:color="auto"/>
              <w:right w:val="single" w:sz="4" w:space="0" w:color="auto"/>
            </w:tcBorders>
            <w:vAlign w:val="center"/>
            <w:hideMark/>
          </w:tcPr>
          <w:p w14:paraId="2DF0E86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Adiciónese un parágrafo al artículo 19 de la Resolución CREG 174 de 2021, del siguiente tenor:</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Parágrafo X. Los equipos de medida requeridos para la conexión deberán estar instalados por el operador de red, como máximo, en la fecha de realización de la visita de puesta en marcha o antes de la misma. En ningún caso la falta de instalación del medidor podrá impedir la correcta liquidación de los excedentes del autogenerador, ni generar perjuicios económicos derivados de este hecho.</w:t>
            </w:r>
          </w:p>
        </w:tc>
        <w:tc>
          <w:tcPr>
            <w:tcW w:w="1521" w:type="pct"/>
            <w:tcBorders>
              <w:top w:val="nil"/>
              <w:left w:val="nil"/>
              <w:bottom w:val="single" w:sz="4" w:space="0" w:color="auto"/>
              <w:right w:val="single" w:sz="4" w:space="0" w:color="auto"/>
            </w:tcBorders>
            <w:vAlign w:val="center"/>
            <w:hideMark/>
          </w:tcPr>
          <w:p w14:paraId="0E116CF3" w14:textId="787AF6B2"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comentario no es objeto de la propuesta en </w:t>
            </w:r>
            <w:r w:rsidR="00651E5A" w:rsidRPr="007E63A2">
              <w:rPr>
                <w:rFonts w:ascii="Calibri" w:hAnsi="Calibri" w:cs="Calibri"/>
                <w:color w:val="000000"/>
                <w:sz w:val="16"/>
                <w:szCs w:val="16"/>
                <w:lang w:eastAsia="zh-CN"/>
              </w:rPr>
              <w:t>consulta,</w:t>
            </w:r>
            <w:r w:rsidRPr="007E63A2">
              <w:rPr>
                <w:rFonts w:ascii="Calibri" w:hAnsi="Calibri" w:cs="Calibri"/>
                <w:color w:val="000000"/>
                <w:sz w:val="16"/>
                <w:szCs w:val="16"/>
                <w:lang w:eastAsia="zh-CN"/>
              </w:rPr>
              <w:t xml:space="preserve"> pero se informa que en el proceso de construcción de la agenda regulatoria indicativa (ARI) del año 2026, la Comisión incorporará un proyecto para realizar ajustes a la Resolución CREG 174 de 2021 donde el comentario será materia de análisis.</w:t>
            </w:r>
          </w:p>
        </w:tc>
      </w:tr>
      <w:tr w:rsidR="00651E5A" w:rsidRPr="007E63A2" w14:paraId="46EFB62A" w14:textId="77777777" w:rsidTr="00651E5A">
        <w:trPr>
          <w:trHeight w:val="4640"/>
        </w:trPr>
        <w:tc>
          <w:tcPr>
            <w:tcW w:w="151" w:type="pct"/>
            <w:tcBorders>
              <w:top w:val="nil"/>
              <w:left w:val="single" w:sz="4" w:space="0" w:color="auto"/>
              <w:bottom w:val="single" w:sz="4" w:space="0" w:color="auto"/>
              <w:right w:val="single" w:sz="4" w:space="0" w:color="auto"/>
            </w:tcBorders>
            <w:vAlign w:val="center"/>
            <w:hideMark/>
          </w:tcPr>
          <w:p w14:paraId="44C71B1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21</w:t>
            </w:r>
          </w:p>
        </w:tc>
        <w:tc>
          <w:tcPr>
            <w:tcW w:w="414" w:type="pct"/>
            <w:tcBorders>
              <w:top w:val="nil"/>
              <w:left w:val="nil"/>
              <w:bottom w:val="single" w:sz="4" w:space="0" w:color="auto"/>
              <w:right w:val="single" w:sz="4" w:space="0" w:color="auto"/>
            </w:tcBorders>
            <w:vAlign w:val="center"/>
            <w:hideMark/>
          </w:tcPr>
          <w:p w14:paraId="2568346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E2025012601</w:t>
            </w:r>
          </w:p>
        </w:tc>
        <w:tc>
          <w:tcPr>
            <w:tcW w:w="366" w:type="pct"/>
            <w:tcBorders>
              <w:top w:val="nil"/>
              <w:left w:val="nil"/>
              <w:bottom w:val="single" w:sz="4" w:space="0" w:color="auto"/>
              <w:right w:val="single" w:sz="4" w:space="0" w:color="auto"/>
            </w:tcBorders>
            <w:vAlign w:val="center"/>
            <w:hideMark/>
          </w:tcPr>
          <w:p w14:paraId="29AF197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ACOSOL</w:t>
            </w:r>
          </w:p>
        </w:tc>
        <w:tc>
          <w:tcPr>
            <w:tcW w:w="1804" w:type="pct"/>
            <w:tcBorders>
              <w:top w:val="nil"/>
              <w:left w:val="nil"/>
              <w:bottom w:val="single" w:sz="4" w:space="0" w:color="auto"/>
              <w:right w:val="single" w:sz="4" w:space="0" w:color="auto"/>
            </w:tcBorders>
            <w:vAlign w:val="center"/>
            <w:hideMark/>
          </w:tcPr>
          <w:p w14:paraId="3D7130C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Resolución CREG 174 de 2021 establece límites de potencia de 0 a 100 kW y de mayores a 100 kW hasta 1 MW para los AGPE. Sin embargo, este umbral de 100 kW no responde a criterios técnicos de operación de red, sino a un promedio de disponibilidad de transformadores de distribución. En contraste, el Acuerdo CNO 1749 establece que las protecciones a nivel de inversor son exigibles para plantas menores o iguales a 250 kW, lo que demuestra que la infraestructura eléctrica nacional soporta sin riesgo este nivel de capacidad.</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Además, la experiencia internacional muestra que países como Chile (límite 300 kW desde 2018), México (500 kW desde 2017) y Brasil (1 MW en 2012, luego 5 MW en 2015) ampliaron estos umbrales y lograron una acelerada penetración de generación distribuida en los sectores comercial, industrial y posteriormente residencial. En Colombia, mantener el límite en 100 kW ha restringido el despliegue de proyectos medianos y la maduración del mercado, lo que se refleja en que más del 96% de las instalaciones se concentran por debajo de este umbral.</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Por tanto, la ampliación del límite a 250 kW no solo armoniza la regulación con el criterio técnico del CNO, sino que elimina una barrera artificial para los proyectos de mayor escala dentro del rango de autogeneración, promoviendo la inversión, la competitividad y el cumplimiento de las metas de transición energética.</w:t>
            </w:r>
          </w:p>
        </w:tc>
        <w:tc>
          <w:tcPr>
            <w:tcW w:w="745" w:type="pct"/>
            <w:tcBorders>
              <w:top w:val="nil"/>
              <w:left w:val="nil"/>
              <w:bottom w:val="single" w:sz="4" w:space="0" w:color="auto"/>
              <w:right w:val="single" w:sz="4" w:space="0" w:color="auto"/>
            </w:tcBorders>
            <w:vAlign w:val="center"/>
            <w:hideMark/>
          </w:tcPr>
          <w:p w14:paraId="3A699C8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Modifíquese la Resolución CREG 174 de 2021 en todos los apartados donde se establezca el límite de 100 kW para los AGPE, ampliándolo a 250 kW, de acuerdo con lo siguiente:</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“Para efectos de los procedimientos de conexión, operación y liquidación de excedentes, los autogeneradores a pequeña escala se clasificarán en dos rangos de capacidad instalada o nominal:</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a) De 0 kW hasta 250 kW.</w:t>
            </w:r>
            <w:r w:rsidRPr="007E63A2">
              <w:rPr>
                <w:rFonts w:ascii="Calibri" w:hAnsi="Calibri" w:cs="Calibri"/>
                <w:color w:val="000000"/>
                <w:sz w:val="16"/>
                <w:szCs w:val="16"/>
                <w:lang w:eastAsia="zh-CN"/>
              </w:rPr>
              <w:br/>
              <w:t>b) De mayores a 250 kW hasta 1 MW.”</w:t>
            </w:r>
          </w:p>
        </w:tc>
        <w:tc>
          <w:tcPr>
            <w:tcW w:w="1521" w:type="pct"/>
            <w:tcBorders>
              <w:top w:val="nil"/>
              <w:left w:val="nil"/>
              <w:bottom w:val="single" w:sz="4" w:space="0" w:color="auto"/>
              <w:right w:val="single" w:sz="4" w:space="0" w:color="auto"/>
            </w:tcBorders>
            <w:vAlign w:val="center"/>
            <w:hideMark/>
          </w:tcPr>
          <w:p w14:paraId="00A7F85D" w14:textId="7507FBAA"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comentario no es objeto de la propuesta en </w:t>
            </w:r>
            <w:r w:rsidR="00651E5A" w:rsidRPr="007E63A2">
              <w:rPr>
                <w:rFonts w:ascii="Calibri" w:hAnsi="Calibri" w:cs="Calibri"/>
                <w:color w:val="000000"/>
                <w:sz w:val="16"/>
                <w:szCs w:val="16"/>
                <w:lang w:eastAsia="zh-CN"/>
              </w:rPr>
              <w:t>consulta,</w:t>
            </w:r>
            <w:r w:rsidRPr="007E63A2">
              <w:rPr>
                <w:rFonts w:ascii="Calibri" w:hAnsi="Calibri" w:cs="Calibri"/>
                <w:color w:val="000000"/>
                <w:sz w:val="16"/>
                <w:szCs w:val="16"/>
                <w:lang w:eastAsia="zh-CN"/>
              </w:rPr>
              <w:t xml:space="preserve"> pero se informa que en el proceso de construcción de la agenda regulatoria indicativa (ARI) del año 2026, la Comisión incorporará un proyecto para realizar ajustes a la Resolución CREG 174 de 2021 donde el comentario será materia de análisis.</w:t>
            </w:r>
          </w:p>
        </w:tc>
      </w:tr>
      <w:tr w:rsidR="00651E5A" w:rsidRPr="007E63A2" w14:paraId="651CD37F" w14:textId="77777777" w:rsidTr="00651E5A">
        <w:trPr>
          <w:trHeight w:val="5510"/>
        </w:trPr>
        <w:tc>
          <w:tcPr>
            <w:tcW w:w="151" w:type="pct"/>
            <w:tcBorders>
              <w:top w:val="nil"/>
              <w:left w:val="single" w:sz="4" w:space="0" w:color="auto"/>
              <w:bottom w:val="single" w:sz="4" w:space="0" w:color="auto"/>
              <w:right w:val="single" w:sz="4" w:space="0" w:color="auto"/>
            </w:tcBorders>
            <w:vAlign w:val="center"/>
            <w:hideMark/>
          </w:tcPr>
          <w:p w14:paraId="752C53C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22</w:t>
            </w:r>
          </w:p>
        </w:tc>
        <w:tc>
          <w:tcPr>
            <w:tcW w:w="414" w:type="pct"/>
            <w:tcBorders>
              <w:top w:val="nil"/>
              <w:left w:val="nil"/>
              <w:bottom w:val="single" w:sz="4" w:space="0" w:color="auto"/>
              <w:right w:val="single" w:sz="4" w:space="0" w:color="auto"/>
            </w:tcBorders>
            <w:vAlign w:val="center"/>
            <w:hideMark/>
          </w:tcPr>
          <w:p w14:paraId="4097F66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E2025012601</w:t>
            </w:r>
          </w:p>
        </w:tc>
        <w:tc>
          <w:tcPr>
            <w:tcW w:w="366" w:type="pct"/>
            <w:tcBorders>
              <w:top w:val="nil"/>
              <w:left w:val="nil"/>
              <w:bottom w:val="single" w:sz="4" w:space="0" w:color="auto"/>
              <w:right w:val="single" w:sz="4" w:space="0" w:color="auto"/>
            </w:tcBorders>
            <w:vAlign w:val="center"/>
            <w:hideMark/>
          </w:tcPr>
          <w:p w14:paraId="20D3BA7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ACOSOL</w:t>
            </w:r>
          </w:p>
        </w:tc>
        <w:tc>
          <w:tcPr>
            <w:tcW w:w="1804" w:type="pct"/>
            <w:tcBorders>
              <w:top w:val="nil"/>
              <w:left w:val="nil"/>
              <w:bottom w:val="single" w:sz="4" w:space="0" w:color="auto"/>
              <w:right w:val="single" w:sz="4" w:space="0" w:color="auto"/>
            </w:tcBorders>
            <w:vAlign w:val="center"/>
            <w:hideMark/>
          </w:tcPr>
          <w:p w14:paraId="75A5F95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El esquema de liquidación de excedentes definido por la Resolución CREG 174 de 2021 y la Circular CREG 134 de 2021 para proyectos de autogeneración a pequeña escala (AGPE) mayores a 100 kW desincentiva su implementación, pues sobre la energía permutada se cargan todos los componentes del Costo Unitario de Prestación del Servicio (CU), con excepción de la generación. En la práctica, este tratamiento desconoce que los autogeneradores: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No utilizan la red de transmisión, dado que inyectan directamente en el Sistema de Distribución Local (SDL).</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Reducen las pérdidas técnicas, ya que generan energía en el punto cercano al consumo.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Disminuyen la congestión del sistema, al aportar generación descentralizada.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carga de transmisión y de otros componentes plenos sobre estos proyectos constituye una barrera económica artificial, que limita la expansión de instalaciones entre 100 kW y 1 MW, afectando principalmente el sector comercial e industrial que tiene un alto potencial de autogeneración.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Por esta razón, se propone ajustar la fórmula de liquidación de excedentes para este rango de proyectos, de modo que se elimine el cobro de transmisión y se reconozca únicamente el 50% de las pérdidas técnicas y el 50% de las restricciones, lo que refleja de manera más justa los beneficios que los AGPE aportan a la red.</w:t>
            </w:r>
          </w:p>
        </w:tc>
        <w:tc>
          <w:tcPr>
            <w:tcW w:w="745" w:type="pct"/>
            <w:tcBorders>
              <w:top w:val="nil"/>
              <w:left w:val="nil"/>
              <w:bottom w:val="single" w:sz="4" w:space="0" w:color="auto"/>
              <w:right w:val="single" w:sz="4" w:space="0" w:color="auto"/>
            </w:tcBorders>
            <w:vAlign w:val="center"/>
            <w:hideMark/>
          </w:tcPr>
          <w:p w14:paraId="7B5A833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Modifíquese la Resolución CREG 174 de 2021, en lo relativo al esquema de liquidación de excedentes para autogeneradores a pequeña escala con capacidad instalada mayor a 100 kW y hasta 1 MW, en el sentido de establecer que:</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“Para los autogeneradores a pequeña escala con capacidad instalada mayor a 100 kW y hasta 1 MW, la liquidación de excedentes reconocerá que la energía inyectada no utiliza la red de transmisión, contribuye a la reducción de pérdidas técnicas y a la disminución de congestiones en el sistema. En consecuencia, para este rango de proyectos no se aplicará el cobro del componente de transmisión, y únicamente se reconocerá el 50% de las pérdidas técnicas y el 50% de las restricciones.</w:t>
            </w:r>
          </w:p>
        </w:tc>
        <w:tc>
          <w:tcPr>
            <w:tcW w:w="1521" w:type="pct"/>
            <w:tcBorders>
              <w:top w:val="nil"/>
              <w:left w:val="nil"/>
              <w:bottom w:val="single" w:sz="4" w:space="0" w:color="auto"/>
              <w:right w:val="single" w:sz="4" w:space="0" w:color="auto"/>
            </w:tcBorders>
            <w:vAlign w:val="center"/>
            <w:hideMark/>
          </w:tcPr>
          <w:p w14:paraId="5A680F39" w14:textId="04BC09FE"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comentario no es objeto de la propuesta en </w:t>
            </w:r>
            <w:r w:rsidR="00651E5A" w:rsidRPr="007E63A2">
              <w:rPr>
                <w:rFonts w:ascii="Calibri" w:hAnsi="Calibri" w:cs="Calibri"/>
                <w:color w:val="000000"/>
                <w:sz w:val="16"/>
                <w:szCs w:val="16"/>
                <w:lang w:eastAsia="zh-CN"/>
              </w:rPr>
              <w:t>consulta,</w:t>
            </w:r>
            <w:r w:rsidRPr="007E63A2">
              <w:rPr>
                <w:rFonts w:ascii="Calibri" w:hAnsi="Calibri" w:cs="Calibri"/>
                <w:color w:val="000000"/>
                <w:sz w:val="16"/>
                <w:szCs w:val="16"/>
                <w:lang w:eastAsia="zh-CN"/>
              </w:rPr>
              <w:t xml:space="preserve"> pero se informa que en el proceso de construcción de la agenda regulatoria indicativa (ARI) del año 2026, la Comisión incorporará un proyecto para realizar ajustes a la Resolución CREG 174 de 2021 donde el comentario será materia de análisis.</w:t>
            </w:r>
          </w:p>
        </w:tc>
      </w:tr>
      <w:tr w:rsidR="00651E5A" w:rsidRPr="007E63A2" w14:paraId="6883961E" w14:textId="77777777" w:rsidTr="00A747ED">
        <w:trPr>
          <w:trHeight w:val="2381"/>
        </w:trPr>
        <w:tc>
          <w:tcPr>
            <w:tcW w:w="151" w:type="pct"/>
            <w:tcBorders>
              <w:top w:val="nil"/>
              <w:left w:val="single" w:sz="4" w:space="0" w:color="auto"/>
              <w:bottom w:val="single" w:sz="4" w:space="0" w:color="auto"/>
              <w:right w:val="single" w:sz="4" w:space="0" w:color="auto"/>
            </w:tcBorders>
            <w:vAlign w:val="center"/>
            <w:hideMark/>
          </w:tcPr>
          <w:p w14:paraId="1DEAAE8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23</w:t>
            </w:r>
          </w:p>
        </w:tc>
        <w:tc>
          <w:tcPr>
            <w:tcW w:w="414" w:type="pct"/>
            <w:tcBorders>
              <w:top w:val="nil"/>
              <w:left w:val="nil"/>
              <w:bottom w:val="single" w:sz="4" w:space="0" w:color="auto"/>
              <w:right w:val="single" w:sz="4" w:space="0" w:color="auto"/>
            </w:tcBorders>
            <w:vAlign w:val="center"/>
            <w:hideMark/>
          </w:tcPr>
          <w:p w14:paraId="4F35CFB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E2025012676</w:t>
            </w:r>
          </w:p>
        </w:tc>
        <w:tc>
          <w:tcPr>
            <w:tcW w:w="366" w:type="pct"/>
            <w:tcBorders>
              <w:top w:val="nil"/>
              <w:left w:val="nil"/>
              <w:bottom w:val="single" w:sz="4" w:space="0" w:color="auto"/>
              <w:right w:val="single" w:sz="4" w:space="0" w:color="auto"/>
            </w:tcBorders>
            <w:vAlign w:val="center"/>
            <w:hideMark/>
          </w:tcPr>
          <w:p w14:paraId="5E6DE66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CEDENAR</w:t>
            </w:r>
          </w:p>
        </w:tc>
        <w:tc>
          <w:tcPr>
            <w:tcW w:w="1804" w:type="pct"/>
            <w:tcBorders>
              <w:top w:val="nil"/>
              <w:left w:val="nil"/>
              <w:bottom w:val="single" w:sz="4" w:space="0" w:color="auto"/>
              <w:right w:val="single" w:sz="4" w:space="0" w:color="auto"/>
            </w:tcBorders>
            <w:vAlign w:val="center"/>
            <w:hideMark/>
          </w:tcPr>
          <w:p w14:paraId="392C2E1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1 CEDENAR S.A E.S.P como operador de red del departamento de Nariño tiene a la fecha una PCH repotenciada de 3.6 MW de potencia lista para entrar en operación, anteriormente se contaba con una asignación de capacidad de transporte de 1.5MW pero con la actualización de equipos la potencia aumentó y se cambió el punto de conexión, por ende se debe tener un nuevo concepto el cual fue solicitado a la UPME en abril 2024; por la resolución 101 075 2025 dicha solicitud quedó archivada y por ende no podemos entrar a participar en el mercado de energía mayorista lo que genera inconvenientes de</w:t>
            </w:r>
            <w:r w:rsidRPr="007E63A2">
              <w:rPr>
                <w:rFonts w:ascii="Calibri" w:hAnsi="Calibri" w:cs="Calibri"/>
                <w:color w:val="000000"/>
                <w:sz w:val="16"/>
                <w:szCs w:val="16"/>
                <w:lang w:eastAsia="zh-CN"/>
              </w:rPr>
              <w:br/>
              <w:t>todo tipo para la empresa. Actualmente la CREG tiene en proyecto la resolución 701 097 2025 por tanto queremos saber si una vez aprobada esta resolución podemos nosotros conectarnos como un GD menor a 5MW al operador de red siguiendo lo establecido en la Resolución 174 de 2021. Quedo atento a su respuesta.</w:t>
            </w:r>
          </w:p>
        </w:tc>
        <w:tc>
          <w:tcPr>
            <w:tcW w:w="745" w:type="pct"/>
            <w:tcBorders>
              <w:top w:val="nil"/>
              <w:left w:val="nil"/>
              <w:bottom w:val="single" w:sz="4" w:space="0" w:color="auto"/>
              <w:right w:val="single" w:sz="4" w:space="0" w:color="auto"/>
            </w:tcBorders>
            <w:vAlign w:val="center"/>
            <w:hideMark/>
          </w:tcPr>
          <w:p w14:paraId="6EF034A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10214C94" w14:textId="3DEB2D9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Entendemos que el caso planteado corresponde a una planta de generación no despachada centralmente y no es un GDC. Para el caso de un GDC en esta </w:t>
            </w:r>
            <w:r w:rsidR="00651E5A" w:rsidRPr="007E63A2">
              <w:rPr>
                <w:rFonts w:ascii="Calibri" w:hAnsi="Calibri" w:cs="Calibri"/>
                <w:color w:val="000000"/>
                <w:sz w:val="16"/>
                <w:szCs w:val="16"/>
                <w:lang w:eastAsia="zh-CN"/>
              </w:rPr>
              <w:t>resolución</w:t>
            </w:r>
            <w:r w:rsidRPr="007E63A2">
              <w:rPr>
                <w:rFonts w:ascii="Calibri" w:hAnsi="Calibri" w:cs="Calibri"/>
                <w:color w:val="000000"/>
                <w:sz w:val="16"/>
                <w:szCs w:val="16"/>
                <w:lang w:eastAsia="zh-CN"/>
              </w:rPr>
              <w:t xml:space="preserve"> se está dando la posibilidad de aplicar la Resolución CREG 174 de 2021, para eso se necesita un procedimiento especifico el cual se regulará en regulación independiente como se ha identificado en los comentarios al proyecto de resolución CREG 701 091 de 2025. Se ajusta este artículo a que mientras la CREG no defina un </w:t>
            </w:r>
            <w:r w:rsidR="00651E5A" w:rsidRPr="007E63A2">
              <w:rPr>
                <w:rFonts w:ascii="Calibri" w:hAnsi="Calibri" w:cs="Calibri"/>
                <w:color w:val="000000"/>
                <w:sz w:val="16"/>
                <w:szCs w:val="16"/>
                <w:lang w:eastAsia="zh-CN"/>
              </w:rPr>
              <w:t>procedimiento</w:t>
            </w:r>
            <w:r w:rsidRPr="007E63A2">
              <w:rPr>
                <w:rFonts w:ascii="Calibri" w:hAnsi="Calibri" w:cs="Calibri"/>
                <w:color w:val="000000"/>
                <w:sz w:val="16"/>
                <w:szCs w:val="16"/>
                <w:lang w:eastAsia="zh-CN"/>
              </w:rPr>
              <w:t xml:space="preserve"> transitorio específico, se continúa aplicando lo dispuesto en la Resolución CREG 075 de 2021 para proyectos Clase 1.</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Adicionalmente, lo mencionado por usted efectivamente se está teniendo en cuenta en los cambios que se efectuarán con ocasión de la resolución CREG 701 091 de 2025 y no con esta resolución.</w:t>
            </w:r>
          </w:p>
        </w:tc>
      </w:tr>
      <w:tr w:rsidR="00651E5A" w:rsidRPr="007E63A2" w14:paraId="65B3D809" w14:textId="77777777" w:rsidTr="00651E5A">
        <w:trPr>
          <w:trHeight w:val="1740"/>
        </w:trPr>
        <w:tc>
          <w:tcPr>
            <w:tcW w:w="151" w:type="pct"/>
            <w:tcBorders>
              <w:top w:val="nil"/>
              <w:left w:val="single" w:sz="4" w:space="0" w:color="auto"/>
              <w:bottom w:val="single" w:sz="4" w:space="0" w:color="auto"/>
              <w:right w:val="single" w:sz="4" w:space="0" w:color="auto"/>
            </w:tcBorders>
            <w:vAlign w:val="center"/>
            <w:hideMark/>
          </w:tcPr>
          <w:p w14:paraId="1B22DA4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24</w:t>
            </w:r>
          </w:p>
        </w:tc>
        <w:tc>
          <w:tcPr>
            <w:tcW w:w="414" w:type="pct"/>
            <w:tcBorders>
              <w:top w:val="nil"/>
              <w:left w:val="nil"/>
              <w:bottom w:val="single" w:sz="4" w:space="0" w:color="auto"/>
              <w:right w:val="single" w:sz="4" w:space="0" w:color="auto"/>
            </w:tcBorders>
            <w:vAlign w:val="center"/>
            <w:hideMark/>
          </w:tcPr>
          <w:p w14:paraId="231BFC4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E2025013135</w:t>
            </w:r>
          </w:p>
        </w:tc>
        <w:tc>
          <w:tcPr>
            <w:tcW w:w="366" w:type="pct"/>
            <w:tcBorders>
              <w:top w:val="nil"/>
              <w:left w:val="nil"/>
              <w:bottom w:val="single" w:sz="4" w:space="0" w:color="auto"/>
              <w:right w:val="single" w:sz="4" w:space="0" w:color="auto"/>
            </w:tcBorders>
            <w:vAlign w:val="center"/>
            <w:hideMark/>
          </w:tcPr>
          <w:p w14:paraId="03A9212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ERCO ENERGÍA</w:t>
            </w:r>
          </w:p>
        </w:tc>
        <w:tc>
          <w:tcPr>
            <w:tcW w:w="1804" w:type="pct"/>
            <w:tcBorders>
              <w:top w:val="nil"/>
              <w:left w:val="nil"/>
              <w:bottom w:val="single" w:sz="4" w:space="0" w:color="auto"/>
              <w:right w:val="single" w:sz="4" w:space="0" w:color="auto"/>
            </w:tcBorders>
            <w:vAlign w:val="center"/>
            <w:hideMark/>
          </w:tcPr>
          <w:p w14:paraId="0A68CED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En primer lugar, consideramos que el proyecto de resolución constituye un avance importante en la armonización regulatoria de las actividades de autogeneración, generación distribuida y comunidades energéticas, al incorporar medidas que buscan corregir vacíos y dar mayor claridad a los agentes. Valoramos positivamente la intención de la CREG de simplificar procedimientos para proyectos menores a 5 MW y de ajustar aspectos relacionados con el traslado de compras de energía al Mc, lo cual constituye una señal positiva para fomentar la inversión y el desarrollo de nuevas iniciativas en el sector. </w:t>
            </w:r>
          </w:p>
        </w:tc>
        <w:tc>
          <w:tcPr>
            <w:tcW w:w="745" w:type="pct"/>
            <w:tcBorders>
              <w:top w:val="nil"/>
              <w:left w:val="nil"/>
              <w:bottom w:val="single" w:sz="4" w:space="0" w:color="auto"/>
              <w:right w:val="single" w:sz="4" w:space="0" w:color="auto"/>
            </w:tcBorders>
            <w:vAlign w:val="center"/>
            <w:hideMark/>
          </w:tcPr>
          <w:p w14:paraId="71D3345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4E8BD69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Comentario no requiere respuesta. </w:t>
            </w:r>
          </w:p>
        </w:tc>
      </w:tr>
      <w:tr w:rsidR="00651E5A" w:rsidRPr="007E63A2" w14:paraId="6D3A6334" w14:textId="77777777" w:rsidTr="00651E5A">
        <w:trPr>
          <w:trHeight w:val="3770"/>
        </w:trPr>
        <w:tc>
          <w:tcPr>
            <w:tcW w:w="151" w:type="pct"/>
            <w:tcBorders>
              <w:top w:val="nil"/>
              <w:left w:val="single" w:sz="4" w:space="0" w:color="auto"/>
              <w:bottom w:val="single" w:sz="4" w:space="0" w:color="auto"/>
              <w:right w:val="single" w:sz="4" w:space="0" w:color="auto"/>
            </w:tcBorders>
            <w:vAlign w:val="center"/>
            <w:hideMark/>
          </w:tcPr>
          <w:p w14:paraId="3F73BD2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25</w:t>
            </w:r>
          </w:p>
        </w:tc>
        <w:tc>
          <w:tcPr>
            <w:tcW w:w="414" w:type="pct"/>
            <w:tcBorders>
              <w:top w:val="nil"/>
              <w:left w:val="nil"/>
              <w:bottom w:val="single" w:sz="4" w:space="0" w:color="auto"/>
              <w:right w:val="single" w:sz="4" w:space="0" w:color="auto"/>
            </w:tcBorders>
            <w:vAlign w:val="center"/>
            <w:hideMark/>
          </w:tcPr>
          <w:p w14:paraId="562CE3A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E2025013135</w:t>
            </w:r>
          </w:p>
        </w:tc>
        <w:tc>
          <w:tcPr>
            <w:tcW w:w="366" w:type="pct"/>
            <w:tcBorders>
              <w:top w:val="nil"/>
              <w:left w:val="nil"/>
              <w:bottom w:val="single" w:sz="4" w:space="0" w:color="auto"/>
              <w:right w:val="single" w:sz="4" w:space="0" w:color="auto"/>
            </w:tcBorders>
            <w:vAlign w:val="center"/>
            <w:hideMark/>
          </w:tcPr>
          <w:p w14:paraId="1327418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ERCO ENERGÍA</w:t>
            </w:r>
          </w:p>
        </w:tc>
        <w:tc>
          <w:tcPr>
            <w:tcW w:w="1804" w:type="pct"/>
            <w:tcBorders>
              <w:top w:val="nil"/>
              <w:left w:val="nil"/>
              <w:bottom w:val="single" w:sz="4" w:space="0" w:color="auto"/>
              <w:right w:val="single" w:sz="4" w:space="0" w:color="auto"/>
            </w:tcBorders>
            <w:vAlign w:val="center"/>
            <w:hideMark/>
          </w:tcPr>
          <w:p w14:paraId="6408F40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Consideramos fundamental que la Comisión establezca un cronograma que acompañe la expedición de la metodología de traslado de compras de energía al costo promedio ponderado por energía (Mc). Vemos que la propuesta no contiene el detalle del plazo para esto, por lo que la transición indefinida podría generar incertidumbre en la planeación de riesgos, contratos y bancabilidad de proyectos.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Por otro lado, vemos que el plazo de implementación de esta metodología definido en el proyecto (un mes) resulta insuficiente para la adaptación de procesos internos por parte de las empresas. Proponemos un plazo mínimo de tres meses, lo que facilitaría una implementación ordenada y eficiente.</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Consideramos fundamental manifestar que, el traslado al Mc constituye una señal regulatoria positiva para los usuarios que deseen implementar esquemas de autogeneración y comunidades energéticas. Por ello, reiteramos la importancia de que esta metodología se expida a la mayor brevedad, brindando certidumbre a quienes quieran llevar a cabo estos proyectos.</w:t>
            </w:r>
          </w:p>
        </w:tc>
        <w:tc>
          <w:tcPr>
            <w:tcW w:w="745" w:type="pct"/>
            <w:tcBorders>
              <w:top w:val="nil"/>
              <w:left w:val="nil"/>
              <w:bottom w:val="single" w:sz="4" w:space="0" w:color="auto"/>
              <w:right w:val="single" w:sz="4" w:space="0" w:color="auto"/>
            </w:tcBorders>
            <w:vAlign w:val="center"/>
            <w:hideMark/>
          </w:tcPr>
          <w:p w14:paraId="4686047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1E66EA62" w14:textId="39050331"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Ver respuesta al comentario 1. </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 xml:space="preserve">Con respecto a la segunda parte del comentario, se acoge lo referente a ampliar el plazo para que los agentes puedan realizar los ajustes a sus </w:t>
            </w:r>
            <w:r w:rsidR="00223CB7" w:rsidRPr="007E63A2">
              <w:rPr>
                <w:rFonts w:ascii="Calibri" w:hAnsi="Calibri" w:cs="Calibri"/>
                <w:color w:val="000000"/>
                <w:sz w:val="16"/>
                <w:szCs w:val="16"/>
                <w:lang w:eastAsia="zh-CN"/>
              </w:rPr>
              <w:t>procedimientos internos</w:t>
            </w:r>
            <w:r w:rsidR="00651E5A" w:rsidRPr="007E63A2">
              <w:rPr>
                <w:rFonts w:ascii="Calibri" w:hAnsi="Calibri" w:cs="Calibri"/>
                <w:color w:val="000000"/>
                <w:sz w:val="16"/>
                <w:szCs w:val="16"/>
                <w:lang w:eastAsia="zh-CN"/>
              </w:rPr>
              <w:t>,</w:t>
            </w:r>
            <w:r w:rsidRPr="007E63A2">
              <w:rPr>
                <w:rFonts w:ascii="Calibri" w:hAnsi="Calibri" w:cs="Calibri"/>
                <w:color w:val="000000"/>
                <w:sz w:val="16"/>
                <w:szCs w:val="16"/>
                <w:lang w:eastAsia="zh-CN"/>
              </w:rPr>
              <w:t xml:space="preserve"> así como a su sistema comercial para la aplicación una vez se expida la regla de traslado.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Con respecto a la tercera parte del comentario, entendemos que el comentario no requiere respuesta.</w:t>
            </w:r>
          </w:p>
        </w:tc>
      </w:tr>
      <w:tr w:rsidR="00651E5A" w:rsidRPr="007E63A2" w14:paraId="0D6ADB3F" w14:textId="77777777" w:rsidTr="00651E5A">
        <w:trPr>
          <w:trHeight w:val="4640"/>
        </w:trPr>
        <w:tc>
          <w:tcPr>
            <w:tcW w:w="151" w:type="pct"/>
            <w:tcBorders>
              <w:top w:val="nil"/>
              <w:left w:val="single" w:sz="4" w:space="0" w:color="auto"/>
              <w:bottom w:val="single" w:sz="4" w:space="0" w:color="auto"/>
              <w:right w:val="single" w:sz="4" w:space="0" w:color="auto"/>
            </w:tcBorders>
            <w:vAlign w:val="center"/>
            <w:hideMark/>
          </w:tcPr>
          <w:p w14:paraId="73FCA52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26</w:t>
            </w:r>
          </w:p>
        </w:tc>
        <w:tc>
          <w:tcPr>
            <w:tcW w:w="414" w:type="pct"/>
            <w:tcBorders>
              <w:top w:val="nil"/>
              <w:left w:val="nil"/>
              <w:bottom w:val="single" w:sz="4" w:space="0" w:color="auto"/>
              <w:right w:val="single" w:sz="4" w:space="0" w:color="auto"/>
            </w:tcBorders>
            <w:vAlign w:val="center"/>
            <w:hideMark/>
          </w:tcPr>
          <w:p w14:paraId="3E59566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E2025013135</w:t>
            </w:r>
          </w:p>
        </w:tc>
        <w:tc>
          <w:tcPr>
            <w:tcW w:w="366" w:type="pct"/>
            <w:tcBorders>
              <w:top w:val="nil"/>
              <w:left w:val="nil"/>
              <w:bottom w:val="single" w:sz="4" w:space="0" w:color="auto"/>
              <w:right w:val="single" w:sz="4" w:space="0" w:color="auto"/>
            </w:tcBorders>
            <w:vAlign w:val="center"/>
            <w:hideMark/>
          </w:tcPr>
          <w:p w14:paraId="0453DFD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ERCO ENERGÍA</w:t>
            </w:r>
          </w:p>
        </w:tc>
        <w:tc>
          <w:tcPr>
            <w:tcW w:w="1804" w:type="pct"/>
            <w:tcBorders>
              <w:top w:val="nil"/>
              <w:left w:val="nil"/>
              <w:bottom w:val="single" w:sz="4" w:space="0" w:color="auto"/>
              <w:right w:val="single" w:sz="4" w:space="0" w:color="auto"/>
            </w:tcBorders>
            <w:vAlign w:val="center"/>
            <w:hideMark/>
          </w:tcPr>
          <w:p w14:paraId="20C0219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Identificamos que, la regulación vigente genera una inconsistencia respecto al cobro de energía reactiva, mientras el Decreto 0929 de 2023 establece expresamente la exención para AGPE con FNCER, la Resolución 101 072 de 2025, en su artículo 17, impone costos de transporte de reactiva a los usuarios que se integren en un AC o CE.</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Esto implica que un usuario que individualmente goza de la exención podría perderla al asociarse, lo cual constituye un desincentivo para la asociatividad y contradice el espíritu del Decreto 2236 de 2023, orientado a fomentar las comunidades energéticas.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Teniendo en cuenta lo anterior, solicitamos que se armonice la Resolución CREG 101 072 de 2025 con el Decreto 0929 de 2023, garantizando que los usuarios con AGPE a partir de FNCER mantengan la exención de energía reactiva dentro de esquemas colectivos. Esto evitaría mantendría el beneficio también para las CE y fortalecería la sostenibilidad de estos esquemas en el país.</w:t>
            </w:r>
          </w:p>
        </w:tc>
        <w:tc>
          <w:tcPr>
            <w:tcW w:w="745" w:type="pct"/>
            <w:tcBorders>
              <w:top w:val="nil"/>
              <w:left w:val="nil"/>
              <w:bottom w:val="single" w:sz="4" w:space="0" w:color="auto"/>
              <w:right w:val="single" w:sz="4" w:space="0" w:color="auto"/>
            </w:tcBorders>
            <w:vAlign w:val="center"/>
            <w:hideMark/>
          </w:tcPr>
          <w:p w14:paraId="05D469F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40F18AE9" w14:textId="49DA88AA"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Si bien el comentario no hace parte de los temas puestos en consulta, se indica que el numeral 6.13 del Documento CREG 901 079 que soporta la Resolución CREG 101 072 de 2025, explica el análisis realizado por la CREG en cuanto al cobro de transporte de energía reactiva a la comunidad energética en el marco del Decreto 929 de 2023. En este se indica: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«Se reitera que el Decreto 929 de 2023 establece que los usuarios que cuenten con</w:t>
            </w:r>
            <w:r w:rsidR="00651E5A"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sistemas de autogeneración a pequeña escala a partir de FNCER están exentos del</w:t>
            </w:r>
            <w:r w:rsidR="00651E5A"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cobro de energía reactiva. Es importante mencionar en aplicación de lo anterior que</w:t>
            </w:r>
            <w:r w:rsidR="00651E5A"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la figura de AGPE es diferente a la de comunidades energéticas, esto pues, aunque</w:t>
            </w:r>
            <w:r w:rsidR="00651E5A"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comparten uno de los principios que es autogenerar, ambas son figuras creadas de</w:t>
            </w:r>
            <w:r w:rsidR="00651E5A"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forma independiente con objetivos que pueden llevar a reglas diferenciadas, esto</w:t>
            </w:r>
            <w:r w:rsidR="00651E5A"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pues las comunidades energéticas se crearon con condiciones particulares sobre los</w:t>
            </w:r>
            <w:r w:rsidR="00651E5A"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autogeneradores. Se suma a lo anterior que el cobro de energía reactiva obedece al</w:t>
            </w:r>
            <w:r w:rsidR="00651E5A"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cumplimiento de una metodología tarifaria (Resolución CREG 015 de 2018); por lo</w:t>
            </w:r>
            <w:r w:rsidR="00651E5A"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cual, al ser la comunidad energética una figura diferente al AGPE, la misma no podría</w:t>
            </w:r>
            <w:r w:rsidR="00651E5A"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exonerarse de tal cobro.»</w:t>
            </w:r>
          </w:p>
        </w:tc>
      </w:tr>
      <w:tr w:rsidR="00651E5A" w:rsidRPr="007E63A2" w14:paraId="7DEC7100" w14:textId="77777777" w:rsidTr="00A747ED">
        <w:trPr>
          <w:trHeight w:val="254"/>
        </w:trPr>
        <w:tc>
          <w:tcPr>
            <w:tcW w:w="151" w:type="pct"/>
            <w:tcBorders>
              <w:top w:val="nil"/>
              <w:left w:val="single" w:sz="4" w:space="0" w:color="auto"/>
              <w:bottom w:val="single" w:sz="4" w:space="0" w:color="auto"/>
              <w:right w:val="single" w:sz="4" w:space="0" w:color="auto"/>
            </w:tcBorders>
            <w:vAlign w:val="center"/>
            <w:hideMark/>
          </w:tcPr>
          <w:p w14:paraId="5769C81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27</w:t>
            </w:r>
          </w:p>
        </w:tc>
        <w:tc>
          <w:tcPr>
            <w:tcW w:w="414" w:type="pct"/>
            <w:tcBorders>
              <w:top w:val="nil"/>
              <w:left w:val="nil"/>
              <w:bottom w:val="single" w:sz="4" w:space="0" w:color="auto"/>
              <w:right w:val="single" w:sz="4" w:space="0" w:color="auto"/>
            </w:tcBorders>
            <w:vAlign w:val="center"/>
            <w:hideMark/>
          </w:tcPr>
          <w:p w14:paraId="102F04A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E2025013135</w:t>
            </w:r>
          </w:p>
        </w:tc>
        <w:tc>
          <w:tcPr>
            <w:tcW w:w="366" w:type="pct"/>
            <w:tcBorders>
              <w:top w:val="nil"/>
              <w:left w:val="nil"/>
              <w:bottom w:val="single" w:sz="4" w:space="0" w:color="auto"/>
              <w:right w:val="single" w:sz="4" w:space="0" w:color="auto"/>
            </w:tcBorders>
            <w:vAlign w:val="center"/>
            <w:hideMark/>
          </w:tcPr>
          <w:p w14:paraId="76D19D9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ERCO ENERGÍA</w:t>
            </w:r>
          </w:p>
        </w:tc>
        <w:tc>
          <w:tcPr>
            <w:tcW w:w="1804" w:type="pct"/>
            <w:tcBorders>
              <w:top w:val="nil"/>
              <w:left w:val="nil"/>
              <w:bottom w:val="single" w:sz="4" w:space="0" w:color="auto"/>
              <w:right w:val="single" w:sz="4" w:space="0" w:color="auto"/>
            </w:tcBorders>
            <w:vAlign w:val="center"/>
            <w:hideMark/>
          </w:tcPr>
          <w:p w14:paraId="62982C9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Plazo de construcción de proyectos: Actualmente, la Resolución CREG 174 de 2021 establece un plazo de 6 meses, prorrogable por 3 meses adicionales, para la construcción de proyectos una vez asignado el punto de conexión. Sin embargo, en la práctica, este plazo resulta insuficiente debido a retrasos en trámites ante autoridades ambientales, alcaldías y otras entidades, lo que genera reprocesos, sobrecostos y en muchos casos la imposibilidad de cumplir con el cronograma regulatorio.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Estas dificultades no solo afectan a los proyectos de generación distribuida tradicionales, sino que también representan una barrera significativa para el desarrollo de las Comunidades Energéticas, cuyo modelo depende de la viabilidad y ejecución oportuna de proyectos colectivos. La imposibilidad de cumplir plazos por factores externos al agente puede desalentar a comunidades interesadas en organizarse, limitando el alcance de esta figura.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lastRenderedPageBreak/>
              <w:t>En este sentido, proponemos que la Comisión considere ampliar el plazo de construcción a 9 meses, con posibilidad de prórroga, lo cual otorgaría mayor realismo a los cronogramas, permitiría gestionar adecuadamente las contingencias derivadas de trámites con otras entidades y evitaría penalizar proyectos técnicamente viables.</w:t>
            </w:r>
          </w:p>
        </w:tc>
        <w:tc>
          <w:tcPr>
            <w:tcW w:w="745" w:type="pct"/>
            <w:tcBorders>
              <w:top w:val="nil"/>
              <w:left w:val="nil"/>
              <w:bottom w:val="single" w:sz="4" w:space="0" w:color="auto"/>
              <w:right w:val="single" w:sz="4" w:space="0" w:color="auto"/>
            </w:tcBorders>
            <w:vAlign w:val="center"/>
            <w:hideMark/>
          </w:tcPr>
          <w:p w14:paraId="02F331E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w:t>
            </w:r>
          </w:p>
        </w:tc>
        <w:tc>
          <w:tcPr>
            <w:tcW w:w="1521" w:type="pct"/>
            <w:tcBorders>
              <w:top w:val="nil"/>
              <w:left w:val="nil"/>
              <w:bottom w:val="single" w:sz="4" w:space="0" w:color="auto"/>
              <w:right w:val="single" w:sz="4" w:space="0" w:color="auto"/>
            </w:tcBorders>
            <w:vAlign w:val="center"/>
            <w:hideMark/>
          </w:tcPr>
          <w:p w14:paraId="46CE930F" w14:textId="0AD359DC"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Se aclara que el proyecto tiene por objeto la armonización regulatoria para la operación comercial de los AGPE, AGGE y Comunidades </w:t>
            </w:r>
            <w:r w:rsidR="00651E5A" w:rsidRPr="007E63A2">
              <w:rPr>
                <w:rFonts w:ascii="Calibri" w:hAnsi="Calibri" w:cs="Calibri"/>
                <w:color w:val="000000"/>
                <w:sz w:val="16"/>
                <w:szCs w:val="16"/>
                <w:lang w:eastAsia="zh-CN"/>
              </w:rPr>
              <w:t>energéticas</w:t>
            </w:r>
            <w:r w:rsidRPr="007E63A2">
              <w:rPr>
                <w:rFonts w:ascii="Calibri" w:hAnsi="Calibri" w:cs="Calibri"/>
                <w:color w:val="000000"/>
                <w:sz w:val="16"/>
                <w:szCs w:val="16"/>
                <w:lang w:eastAsia="zh-CN"/>
              </w:rPr>
              <w:t xml:space="preserve"> y que el tema tratado en el comentario no hace parte del objeto del proyecto consultado. Sin perjuicio de lo anterior, el comentario será incluido en los análisis realizados por la comisión en futuros proyectos regulatorios por lo que se informa que en el proceso de construcción de la agenda regulatoria indicativa (ARI) del año 2026, la Comisión incorporará un proyecto para realizar ajustes a la Resolución CREG 174 de 2021 donde el comentario será materia de análisis.</w:t>
            </w:r>
          </w:p>
        </w:tc>
      </w:tr>
      <w:tr w:rsidR="00651E5A" w:rsidRPr="007E63A2" w14:paraId="415946DB" w14:textId="77777777" w:rsidTr="00651E5A">
        <w:trPr>
          <w:trHeight w:val="2610"/>
        </w:trPr>
        <w:tc>
          <w:tcPr>
            <w:tcW w:w="151" w:type="pct"/>
            <w:tcBorders>
              <w:top w:val="nil"/>
              <w:left w:val="single" w:sz="4" w:space="0" w:color="auto"/>
              <w:bottom w:val="single" w:sz="4" w:space="0" w:color="auto"/>
              <w:right w:val="single" w:sz="4" w:space="0" w:color="auto"/>
            </w:tcBorders>
            <w:vAlign w:val="center"/>
            <w:hideMark/>
          </w:tcPr>
          <w:p w14:paraId="72B819F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28</w:t>
            </w:r>
          </w:p>
        </w:tc>
        <w:tc>
          <w:tcPr>
            <w:tcW w:w="414" w:type="pct"/>
            <w:tcBorders>
              <w:top w:val="nil"/>
              <w:left w:val="nil"/>
              <w:bottom w:val="single" w:sz="4" w:space="0" w:color="auto"/>
              <w:right w:val="single" w:sz="4" w:space="0" w:color="auto"/>
            </w:tcBorders>
            <w:vAlign w:val="center"/>
            <w:hideMark/>
          </w:tcPr>
          <w:p w14:paraId="1BC7FFA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E2025013135</w:t>
            </w:r>
          </w:p>
        </w:tc>
        <w:tc>
          <w:tcPr>
            <w:tcW w:w="366" w:type="pct"/>
            <w:tcBorders>
              <w:top w:val="nil"/>
              <w:left w:val="nil"/>
              <w:bottom w:val="single" w:sz="4" w:space="0" w:color="auto"/>
              <w:right w:val="single" w:sz="4" w:space="0" w:color="auto"/>
            </w:tcBorders>
            <w:vAlign w:val="center"/>
            <w:hideMark/>
          </w:tcPr>
          <w:p w14:paraId="62A7800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ERCO ENERGÍA</w:t>
            </w:r>
          </w:p>
        </w:tc>
        <w:tc>
          <w:tcPr>
            <w:tcW w:w="1804" w:type="pct"/>
            <w:tcBorders>
              <w:top w:val="nil"/>
              <w:left w:val="nil"/>
              <w:bottom w:val="single" w:sz="4" w:space="0" w:color="auto"/>
              <w:right w:val="single" w:sz="4" w:space="0" w:color="auto"/>
            </w:tcBorders>
            <w:vAlign w:val="center"/>
            <w:hideMark/>
          </w:tcPr>
          <w:p w14:paraId="4EE8A9D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b/>
                <w:bCs/>
                <w:color w:val="000000"/>
                <w:sz w:val="16"/>
                <w:szCs w:val="16"/>
                <w:lang w:eastAsia="zh-CN"/>
              </w:rPr>
              <w:t>Inversión social en proyectos de GD:</w:t>
            </w:r>
            <w:r w:rsidRPr="007E63A2">
              <w:rPr>
                <w:rFonts w:ascii="Calibri" w:hAnsi="Calibri" w:cs="Calibri"/>
                <w:color w:val="000000"/>
                <w:sz w:val="16"/>
                <w:szCs w:val="16"/>
                <w:lang w:eastAsia="zh-CN"/>
              </w:rPr>
              <w:t xml:space="preserve"> Hemos identificado que en algunos territorios se están condicionando los permisos de conexión de proyectos de GD a la realización de inversiones sociales, práctica que carece de sustento normativo dado que los GD no requieren licencia ambiental y, por tanto, no tienen obligaciones asociadas a inversión social.</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Si bien como empresas mantenemos programas voluntarios de relacionamiento comunitario, consideramos necesario que la regulación clarifique que estas exigencias no hacen parte del marco regulatorio ni pueden convertirse en un requisito de facto para el otorgamiento de permisos, pues representan un riesgo de captura regulatoria y encarecen innecesariamente la transición energética</w:t>
            </w:r>
          </w:p>
        </w:tc>
        <w:tc>
          <w:tcPr>
            <w:tcW w:w="745" w:type="pct"/>
            <w:tcBorders>
              <w:top w:val="nil"/>
              <w:left w:val="nil"/>
              <w:bottom w:val="single" w:sz="4" w:space="0" w:color="auto"/>
              <w:right w:val="single" w:sz="4" w:space="0" w:color="auto"/>
            </w:tcBorders>
            <w:vAlign w:val="center"/>
            <w:hideMark/>
          </w:tcPr>
          <w:p w14:paraId="4EC8C0F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069FF3D1" w14:textId="2FC1317D"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Entendemos que este comentario va enfocado a: </w:t>
            </w:r>
            <w:r w:rsidRPr="007E63A2">
              <w:rPr>
                <w:rFonts w:ascii="Calibri" w:hAnsi="Calibri" w:cs="Calibri"/>
                <w:b/>
                <w:bCs/>
                <w:color w:val="000000"/>
                <w:sz w:val="16"/>
                <w:szCs w:val="16"/>
                <w:lang w:eastAsia="zh-CN"/>
              </w:rPr>
              <w:t>i)</w:t>
            </w:r>
            <w:r w:rsidRPr="007E63A2">
              <w:rPr>
                <w:rFonts w:ascii="Calibri" w:hAnsi="Calibri" w:cs="Calibri"/>
                <w:color w:val="000000"/>
                <w:sz w:val="16"/>
                <w:szCs w:val="16"/>
                <w:lang w:eastAsia="zh-CN"/>
              </w:rPr>
              <w:t xml:space="preserve"> permisos de conexión otorgados por los OR por lo que en caso de considerar que estos no están cumpliendo con lo dispuesto en la regulación, deberá interponer la debida denuncia a la SSPD en el marco de sus funciones de IVC; por otro lado, </w:t>
            </w:r>
            <w:r w:rsidRPr="007E63A2">
              <w:rPr>
                <w:rFonts w:ascii="Calibri" w:hAnsi="Calibri" w:cs="Calibri"/>
                <w:b/>
                <w:bCs/>
                <w:color w:val="000000"/>
                <w:sz w:val="16"/>
                <w:szCs w:val="16"/>
                <w:lang w:eastAsia="zh-CN"/>
              </w:rPr>
              <w:t>ii)</w:t>
            </w:r>
            <w:r w:rsidRPr="007E63A2">
              <w:rPr>
                <w:rFonts w:ascii="Calibri" w:hAnsi="Calibri" w:cs="Calibri"/>
                <w:color w:val="000000"/>
                <w:sz w:val="16"/>
                <w:szCs w:val="16"/>
                <w:lang w:eastAsia="zh-CN"/>
              </w:rPr>
              <w:t xml:space="preserve"> al actuar de las administraciones municipales por lo que deberá dirigirse a los entes de control  respectivos en caso de que se encuentren </w:t>
            </w:r>
            <w:r w:rsidR="00651E5A" w:rsidRPr="007E63A2">
              <w:rPr>
                <w:rFonts w:ascii="Calibri" w:hAnsi="Calibri" w:cs="Calibri"/>
                <w:color w:val="000000"/>
                <w:sz w:val="16"/>
                <w:szCs w:val="16"/>
                <w:lang w:eastAsia="zh-CN"/>
              </w:rPr>
              <w:t>extralimitándose</w:t>
            </w:r>
            <w:r w:rsidRPr="007E63A2">
              <w:rPr>
                <w:rFonts w:ascii="Calibri" w:hAnsi="Calibri" w:cs="Calibri"/>
                <w:color w:val="000000"/>
                <w:sz w:val="16"/>
                <w:szCs w:val="16"/>
                <w:lang w:eastAsia="zh-CN"/>
              </w:rPr>
              <w:t xml:space="preserve"> en sus funciones.</w:t>
            </w:r>
          </w:p>
        </w:tc>
      </w:tr>
      <w:tr w:rsidR="00651E5A" w:rsidRPr="007E63A2" w14:paraId="44CF3E8C"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190026A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29</w:t>
            </w:r>
          </w:p>
        </w:tc>
        <w:tc>
          <w:tcPr>
            <w:tcW w:w="414" w:type="pct"/>
            <w:tcBorders>
              <w:top w:val="nil"/>
              <w:left w:val="nil"/>
              <w:bottom w:val="single" w:sz="4" w:space="0" w:color="auto"/>
              <w:right w:val="single" w:sz="4" w:space="0" w:color="auto"/>
            </w:tcBorders>
            <w:vAlign w:val="center"/>
            <w:hideMark/>
          </w:tcPr>
          <w:p w14:paraId="35D7F8D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E2025013208</w:t>
            </w:r>
          </w:p>
        </w:tc>
        <w:tc>
          <w:tcPr>
            <w:tcW w:w="366" w:type="pct"/>
            <w:tcBorders>
              <w:top w:val="nil"/>
              <w:left w:val="nil"/>
              <w:bottom w:val="single" w:sz="4" w:space="0" w:color="auto"/>
              <w:right w:val="single" w:sz="4" w:space="0" w:color="auto"/>
            </w:tcBorders>
            <w:vAlign w:val="center"/>
            <w:hideMark/>
          </w:tcPr>
          <w:p w14:paraId="3972029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ENEL COLOMBIA</w:t>
            </w:r>
          </w:p>
        </w:tc>
        <w:tc>
          <w:tcPr>
            <w:tcW w:w="1804" w:type="pct"/>
            <w:tcBorders>
              <w:top w:val="nil"/>
              <w:left w:val="nil"/>
              <w:bottom w:val="single" w:sz="4" w:space="0" w:color="auto"/>
              <w:right w:val="single" w:sz="4" w:space="0" w:color="auto"/>
            </w:tcBorders>
            <w:vAlign w:val="center"/>
            <w:hideMark/>
          </w:tcPr>
          <w:p w14:paraId="65DADE7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Estimamos necesario aclarar que los impactos mencionados por la CREG en el documento CREG 901-207, respecto al traslado de compras de AGPE, GD, AC y GDC1 al usuario regulado a través del componente de Generación del CU, no derivan de una falla propia de la señal del Mc, sino de la exposición particular de cada comercializador, definida por la composición de su base de usuarios y su grado de integración con el OR. En este marco, los riesgos de sobre o subremuneración corresponden más a las características del mercado en que participa cada agente que a la idoneidad de aplicar el Mc como referencia.</w:t>
            </w:r>
          </w:p>
        </w:tc>
        <w:tc>
          <w:tcPr>
            <w:tcW w:w="745" w:type="pct"/>
            <w:tcBorders>
              <w:top w:val="nil"/>
              <w:left w:val="nil"/>
              <w:bottom w:val="single" w:sz="4" w:space="0" w:color="auto"/>
              <w:right w:val="single" w:sz="4" w:space="0" w:color="auto"/>
            </w:tcBorders>
            <w:vAlign w:val="center"/>
            <w:hideMark/>
          </w:tcPr>
          <w:p w14:paraId="1895FD4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Mantener el Mc como señal de reconocimiento de excedentes</w:t>
            </w:r>
          </w:p>
        </w:tc>
        <w:tc>
          <w:tcPr>
            <w:tcW w:w="1521" w:type="pct"/>
            <w:tcBorders>
              <w:top w:val="nil"/>
              <w:left w:val="nil"/>
              <w:bottom w:val="single" w:sz="4" w:space="0" w:color="auto"/>
              <w:right w:val="single" w:sz="4" w:space="0" w:color="auto"/>
            </w:tcBorders>
            <w:vAlign w:val="center"/>
            <w:hideMark/>
          </w:tcPr>
          <w:p w14:paraId="4D22A2E0" w14:textId="4012D706"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Se aclara que, el numeral 2.1 del Documento CREG 901 207 de 2025 no atribuyó los impactos de los altos valores del G </w:t>
            </w:r>
            <w:r w:rsidR="00651E5A" w:rsidRPr="007E63A2">
              <w:rPr>
                <w:rFonts w:ascii="Calibri" w:hAnsi="Calibri" w:cs="Calibri"/>
                <w:color w:val="000000"/>
                <w:sz w:val="16"/>
                <w:szCs w:val="16"/>
                <w:lang w:eastAsia="zh-CN"/>
              </w:rPr>
              <w:t>Transitorio</w:t>
            </w:r>
            <w:r w:rsidRPr="007E63A2">
              <w:rPr>
                <w:rFonts w:ascii="Calibri" w:hAnsi="Calibri" w:cs="Calibri"/>
                <w:color w:val="000000"/>
                <w:sz w:val="16"/>
                <w:szCs w:val="16"/>
                <w:lang w:eastAsia="zh-CN"/>
              </w:rPr>
              <w:t xml:space="preserve"> de las empresas allí mencionadas al cambio del Pb al Mc, sobre todo cuando la medida aún no había entrado en aplicación. Lo que planteó la Comisión fue que, en el marco de la expedición de las fórmulas propias para la valoración de Excedentes tipo 2 en función del Mc, se tiene la oportunidad de revisar completamente la fórmula de valoración de excedentes de forma que pueda mitigarse el impacto total de la figura de valoración de Excedentes en el G Transitorio en el componente G, sobre todo cuando se aplica para AGPE con capacidad menor a 100kw.</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 xml:space="preserve">Por otro lado, la Comisión no desconoce que los altos valores del G Transitorio obedecen al alto nivel de integración de autogeneración en el comercializador no integrado con el OR. En el caso de los comercializadores integrados con el OR, en el documento soporte CREG 901 079 de 2025 que soporta la Resolución CREG 101 072 de 2025, la Comisión realizó el análisis del impacto en el G Transitorio en función de la integración de la </w:t>
            </w:r>
            <w:r w:rsidRPr="007E63A2">
              <w:rPr>
                <w:rFonts w:ascii="Calibri" w:hAnsi="Calibri" w:cs="Calibri"/>
                <w:color w:val="000000"/>
                <w:sz w:val="16"/>
                <w:szCs w:val="16"/>
                <w:lang w:eastAsia="zh-CN"/>
              </w:rPr>
              <w:lastRenderedPageBreak/>
              <w:t xml:space="preserve">autogeneración a </w:t>
            </w:r>
            <w:r w:rsidR="00651E5A" w:rsidRPr="007E63A2">
              <w:rPr>
                <w:rFonts w:ascii="Calibri" w:hAnsi="Calibri" w:cs="Calibri"/>
                <w:color w:val="000000"/>
                <w:sz w:val="16"/>
                <w:szCs w:val="16"/>
                <w:lang w:eastAsia="zh-CN"/>
              </w:rPr>
              <w:t>pequeña</w:t>
            </w:r>
            <w:r w:rsidRPr="007E63A2">
              <w:rPr>
                <w:rFonts w:ascii="Calibri" w:hAnsi="Calibri" w:cs="Calibri"/>
                <w:color w:val="000000"/>
                <w:sz w:val="16"/>
                <w:szCs w:val="16"/>
                <w:lang w:eastAsia="zh-CN"/>
              </w:rPr>
              <w:t xml:space="preserve"> escaña y generación distribuida en diferentes mercados dejando en evidencia que a medida que esta aumenta y alcanzar el umbral del 4% para le revisión del esquema, se esperan incrementos de hasta 42 $/kWh en el CU.</w:t>
            </w:r>
          </w:p>
        </w:tc>
      </w:tr>
      <w:tr w:rsidR="00651E5A" w:rsidRPr="007E63A2" w14:paraId="4759B5C3" w14:textId="77777777" w:rsidTr="00A747ED">
        <w:trPr>
          <w:trHeight w:val="269"/>
        </w:trPr>
        <w:tc>
          <w:tcPr>
            <w:tcW w:w="151" w:type="pct"/>
            <w:tcBorders>
              <w:top w:val="nil"/>
              <w:left w:val="single" w:sz="4" w:space="0" w:color="auto"/>
              <w:bottom w:val="single" w:sz="4" w:space="0" w:color="auto"/>
              <w:right w:val="single" w:sz="4" w:space="0" w:color="auto"/>
            </w:tcBorders>
            <w:vAlign w:val="center"/>
            <w:hideMark/>
          </w:tcPr>
          <w:p w14:paraId="5D9F4C2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30</w:t>
            </w:r>
          </w:p>
        </w:tc>
        <w:tc>
          <w:tcPr>
            <w:tcW w:w="414" w:type="pct"/>
            <w:tcBorders>
              <w:top w:val="nil"/>
              <w:left w:val="nil"/>
              <w:bottom w:val="single" w:sz="4" w:space="0" w:color="auto"/>
              <w:right w:val="single" w:sz="4" w:space="0" w:color="auto"/>
            </w:tcBorders>
            <w:vAlign w:val="center"/>
            <w:hideMark/>
          </w:tcPr>
          <w:p w14:paraId="4339AFC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E2025013208</w:t>
            </w:r>
          </w:p>
        </w:tc>
        <w:tc>
          <w:tcPr>
            <w:tcW w:w="366" w:type="pct"/>
            <w:tcBorders>
              <w:top w:val="nil"/>
              <w:left w:val="nil"/>
              <w:bottom w:val="single" w:sz="4" w:space="0" w:color="auto"/>
              <w:right w:val="single" w:sz="4" w:space="0" w:color="auto"/>
            </w:tcBorders>
            <w:vAlign w:val="center"/>
            <w:hideMark/>
          </w:tcPr>
          <w:p w14:paraId="1719ABA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ENEL COLOMBIA</w:t>
            </w:r>
          </w:p>
        </w:tc>
        <w:tc>
          <w:tcPr>
            <w:tcW w:w="1804" w:type="pct"/>
            <w:tcBorders>
              <w:top w:val="nil"/>
              <w:left w:val="nil"/>
              <w:bottom w:val="single" w:sz="4" w:space="0" w:color="auto"/>
              <w:right w:val="single" w:sz="4" w:space="0" w:color="auto"/>
            </w:tcBorders>
            <w:vAlign w:val="center"/>
            <w:hideMark/>
          </w:tcPr>
          <w:p w14:paraId="4EDA11C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Teniendo en cuenta que la 101 072 menciona una transición de 6 meses, las negociaciones con los clientes se hicieron entorno a estos tiempos. Este proyecto plantea que el tiempo de transición sea incierto, aumento la incertibumbre en la remuneración de los proyectos AGPE de los usuarios</w:t>
            </w:r>
          </w:p>
        </w:tc>
        <w:tc>
          <w:tcPr>
            <w:tcW w:w="745" w:type="pct"/>
            <w:tcBorders>
              <w:top w:val="nil"/>
              <w:left w:val="nil"/>
              <w:bottom w:val="single" w:sz="4" w:space="0" w:color="auto"/>
              <w:right w:val="single" w:sz="4" w:space="0" w:color="auto"/>
            </w:tcBorders>
            <w:vAlign w:val="center"/>
            <w:hideMark/>
          </w:tcPr>
          <w:p w14:paraId="1EE82A4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Recomendamos celeridad en la definición de la nueva remuneración, y que se estipule un tiempo fijo de transición</w:t>
            </w:r>
          </w:p>
        </w:tc>
        <w:tc>
          <w:tcPr>
            <w:tcW w:w="1521" w:type="pct"/>
            <w:tcBorders>
              <w:top w:val="nil"/>
              <w:left w:val="nil"/>
              <w:bottom w:val="single" w:sz="4" w:space="0" w:color="auto"/>
              <w:right w:val="single" w:sz="4" w:space="0" w:color="auto"/>
            </w:tcBorders>
            <w:vAlign w:val="center"/>
            <w:hideMark/>
          </w:tcPr>
          <w:p w14:paraId="4BA9ACDF" w14:textId="03EA1598" w:rsidR="006B34EA" w:rsidRPr="007E63A2" w:rsidRDefault="00651E5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w:t>
            </w:r>
            <w:r w:rsidR="006B34EA" w:rsidRPr="007E63A2">
              <w:rPr>
                <w:rFonts w:ascii="Calibri" w:hAnsi="Calibri" w:cs="Calibri"/>
                <w:color w:val="000000"/>
                <w:sz w:val="16"/>
                <w:szCs w:val="16"/>
                <w:lang w:eastAsia="zh-CN"/>
              </w:rPr>
              <w:t xml:space="preserve"> referirse a la respuesta dada al comentario número 1. Por otro lado, nos permitimos informar que el proyecto regulatorio para la expedición de la metodología para el traslado de las compras se encuentra en análisis por parte de la Comisión y será publicado con la mayor celeridad posible, considerando los tiempos normativos y la </w:t>
            </w:r>
            <w:r w:rsidRPr="007E63A2">
              <w:rPr>
                <w:rFonts w:ascii="Calibri" w:hAnsi="Calibri" w:cs="Calibri"/>
                <w:color w:val="000000"/>
                <w:sz w:val="16"/>
                <w:szCs w:val="16"/>
                <w:lang w:eastAsia="zh-CN"/>
              </w:rPr>
              <w:t>priorización</w:t>
            </w:r>
            <w:r w:rsidR="006B34EA" w:rsidRPr="007E63A2">
              <w:rPr>
                <w:rFonts w:ascii="Calibri" w:hAnsi="Calibri" w:cs="Calibri"/>
                <w:color w:val="000000"/>
                <w:sz w:val="16"/>
                <w:szCs w:val="16"/>
                <w:lang w:eastAsia="zh-CN"/>
              </w:rPr>
              <w:t xml:space="preserve"> de los recursos.</w:t>
            </w:r>
          </w:p>
        </w:tc>
      </w:tr>
      <w:tr w:rsidR="00651E5A" w:rsidRPr="007E63A2" w14:paraId="1731491B" w14:textId="77777777" w:rsidTr="00223CB7">
        <w:trPr>
          <w:trHeight w:val="254"/>
        </w:trPr>
        <w:tc>
          <w:tcPr>
            <w:tcW w:w="151" w:type="pct"/>
            <w:tcBorders>
              <w:top w:val="nil"/>
              <w:left w:val="single" w:sz="4" w:space="0" w:color="auto"/>
              <w:bottom w:val="single" w:sz="4" w:space="0" w:color="auto"/>
              <w:right w:val="single" w:sz="4" w:space="0" w:color="auto"/>
            </w:tcBorders>
            <w:vAlign w:val="center"/>
            <w:hideMark/>
          </w:tcPr>
          <w:p w14:paraId="579ED00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31</w:t>
            </w:r>
          </w:p>
        </w:tc>
        <w:tc>
          <w:tcPr>
            <w:tcW w:w="414" w:type="pct"/>
            <w:tcBorders>
              <w:top w:val="nil"/>
              <w:left w:val="nil"/>
              <w:bottom w:val="single" w:sz="4" w:space="0" w:color="auto"/>
              <w:right w:val="single" w:sz="4" w:space="0" w:color="auto"/>
            </w:tcBorders>
            <w:vAlign w:val="center"/>
            <w:hideMark/>
          </w:tcPr>
          <w:p w14:paraId="029EB23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E2025013208</w:t>
            </w:r>
          </w:p>
        </w:tc>
        <w:tc>
          <w:tcPr>
            <w:tcW w:w="366" w:type="pct"/>
            <w:tcBorders>
              <w:top w:val="nil"/>
              <w:left w:val="nil"/>
              <w:bottom w:val="single" w:sz="4" w:space="0" w:color="auto"/>
              <w:right w:val="single" w:sz="4" w:space="0" w:color="auto"/>
            </w:tcBorders>
            <w:vAlign w:val="center"/>
            <w:hideMark/>
          </w:tcPr>
          <w:p w14:paraId="1D27F1D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ENEL COLOMBIA</w:t>
            </w:r>
          </w:p>
        </w:tc>
        <w:tc>
          <w:tcPr>
            <w:tcW w:w="1804" w:type="pct"/>
            <w:tcBorders>
              <w:top w:val="nil"/>
              <w:left w:val="nil"/>
              <w:bottom w:val="single" w:sz="4" w:space="0" w:color="auto"/>
              <w:right w:val="single" w:sz="4" w:space="0" w:color="auto"/>
            </w:tcBorders>
            <w:vAlign w:val="center"/>
            <w:hideMark/>
          </w:tcPr>
          <w:p w14:paraId="2075F41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Es importante que en el momento que se realice la definición del regulador con respecto a la metodologia para reconocimiento, asi como las condiciones de aplicación, los comercializadores tengan el tiempo suficiete para realizar las adecuaciones de implementación, tanto tecnologicas como administrativas, para realizarlo.</w:t>
            </w:r>
          </w:p>
        </w:tc>
        <w:tc>
          <w:tcPr>
            <w:tcW w:w="745" w:type="pct"/>
            <w:tcBorders>
              <w:top w:val="nil"/>
              <w:left w:val="nil"/>
              <w:bottom w:val="single" w:sz="4" w:space="0" w:color="auto"/>
              <w:right w:val="single" w:sz="4" w:space="0" w:color="auto"/>
            </w:tcBorders>
            <w:vAlign w:val="center"/>
            <w:hideMark/>
          </w:tcPr>
          <w:p w14:paraId="6820FFA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sugiere incluir que una vez se establezcan las condicione sde implementación de la metodologia, los comercializadores cuenten con un tiempo no menor a 3 meses para su aplicación.</w:t>
            </w:r>
          </w:p>
        </w:tc>
        <w:tc>
          <w:tcPr>
            <w:tcW w:w="1521" w:type="pct"/>
            <w:tcBorders>
              <w:top w:val="nil"/>
              <w:left w:val="nil"/>
              <w:bottom w:val="single" w:sz="4" w:space="0" w:color="auto"/>
              <w:right w:val="single" w:sz="4" w:space="0" w:color="auto"/>
            </w:tcBorders>
            <w:vAlign w:val="center"/>
            <w:hideMark/>
          </w:tcPr>
          <w:p w14:paraId="54FD5EF9" w14:textId="6F482B39"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Se acoge el comentario en el sentido ampliar el plazo para que los agentes puedan realizar los ajustes a sus </w:t>
            </w:r>
            <w:r w:rsidR="00223CB7" w:rsidRPr="007E63A2">
              <w:rPr>
                <w:rFonts w:ascii="Calibri" w:hAnsi="Calibri" w:cs="Calibri"/>
                <w:color w:val="000000"/>
                <w:sz w:val="16"/>
                <w:szCs w:val="16"/>
                <w:lang w:eastAsia="zh-CN"/>
              </w:rPr>
              <w:t>procedimientos internos</w:t>
            </w:r>
            <w:r w:rsidR="00651E5A" w:rsidRPr="007E63A2">
              <w:rPr>
                <w:rFonts w:ascii="Calibri" w:hAnsi="Calibri" w:cs="Calibri"/>
                <w:color w:val="000000"/>
                <w:sz w:val="16"/>
                <w:szCs w:val="16"/>
                <w:lang w:eastAsia="zh-CN"/>
              </w:rPr>
              <w:t>,</w:t>
            </w:r>
            <w:r w:rsidRPr="007E63A2">
              <w:rPr>
                <w:rFonts w:ascii="Calibri" w:hAnsi="Calibri" w:cs="Calibri"/>
                <w:color w:val="000000"/>
                <w:sz w:val="16"/>
                <w:szCs w:val="16"/>
                <w:lang w:eastAsia="zh-CN"/>
              </w:rPr>
              <w:t xml:space="preserve"> así como a su sistema comercial para la aplicación una vez se expida la regla de traslado.</w:t>
            </w:r>
          </w:p>
        </w:tc>
      </w:tr>
      <w:tr w:rsidR="00651E5A" w:rsidRPr="007E63A2" w14:paraId="24E25F06" w14:textId="77777777" w:rsidTr="00A747ED">
        <w:trPr>
          <w:trHeight w:val="113"/>
        </w:trPr>
        <w:tc>
          <w:tcPr>
            <w:tcW w:w="151" w:type="pct"/>
            <w:tcBorders>
              <w:top w:val="nil"/>
              <w:left w:val="single" w:sz="4" w:space="0" w:color="auto"/>
              <w:bottom w:val="single" w:sz="4" w:space="0" w:color="auto"/>
              <w:right w:val="single" w:sz="4" w:space="0" w:color="auto"/>
            </w:tcBorders>
            <w:vAlign w:val="center"/>
            <w:hideMark/>
          </w:tcPr>
          <w:p w14:paraId="58CE51B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32</w:t>
            </w:r>
          </w:p>
        </w:tc>
        <w:tc>
          <w:tcPr>
            <w:tcW w:w="414" w:type="pct"/>
            <w:tcBorders>
              <w:top w:val="nil"/>
              <w:left w:val="nil"/>
              <w:bottom w:val="single" w:sz="4" w:space="0" w:color="auto"/>
              <w:right w:val="single" w:sz="4" w:space="0" w:color="auto"/>
            </w:tcBorders>
            <w:vAlign w:val="center"/>
            <w:hideMark/>
          </w:tcPr>
          <w:p w14:paraId="7E20FF0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E2025013223</w:t>
            </w:r>
          </w:p>
        </w:tc>
        <w:tc>
          <w:tcPr>
            <w:tcW w:w="366" w:type="pct"/>
            <w:tcBorders>
              <w:top w:val="nil"/>
              <w:left w:val="nil"/>
              <w:bottom w:val="single" w:sz="4" w:space="0" w:color="auto"/>
              <w:right w:val="single" w:sz="4" w:space="0" w:color="auto"/>
            </w:tcBorders>
            <w:vAlign w:val="center"/>
            <w:hideMark/>
          </w:tcPr>
          <w:p w14:paraId="52E5199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CEO</w:t>
            </w:r>
          </w:p>
        </w:tc>
        <w:tc>
          <w:tcPr>
            <w:tcW w:w="1804" w:type="pct"/>
            <w:tcBorders>
              <w:top w:val="nil"/>
              <w:left w:val="nil"/>
              <w:bottom w:val="single" w:sz="4" w:space="0" w:color="auto"/>
              <w:right w:val="single" w:sz="4" w:space="0" w:color="auto"/>
            </w:tcBorders>
            <w:vAlign w:val="center"/>
            <w:hideMark/>
          </w:tcPr>
          <w:p w14:paraId="3A14AD5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Para iniciar el traslado de estas compras al usuario final a través del componente de Generación del CU requiere que se ajusten las fórmulas descritas en el Anexo 1 de la Resolución CREG 174 de 2021 y crear un esquema similar para el traslado de las compras realizadas al AC y GDC.</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El documento soporte evidencia la necesidad de aclarar la aplicación de las reglas sobre el traslado de compras de los Autogeneradores Colectivos (AC) y Generadores Distribuidos Colectivos (GDC); sin embargo, sugerimos que para evitar vacíos regulatorios que se materialicen en inquietudes puntuales al momento de poner en práctica el traslado.</w:t>
            </w:r>
          </w:p>
        </w:tc>
        <w:tc>
          <w:tcPr>
            <w:tcW w:w="745" w:type="pct"/>
            <w:tcBorders>
              <w:top w:val="nil"/>
              <w:left w:val="nil"/>
              <w:bottom w:val="single" w:sz="4" w:space="0" w:color="auto"/>
              <w:right w:val="single" w:sz="4" w:space="0" w:color="auto"/>
            </w:tcBorders>
            <w:vAlign w:val="center"/>
            <w:hideMark/>
          </w:tcPr>
          <w:p w14:paraId="464A0458" w14:textId="38D1DABA"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Se sugiere que los lineamientos se expidan en Resolución independiente, tal como se indicó en la Resolución CREG 101 072 de 2025, y no asociar a estos nuevos agentes en las disposiciones establecidas para los AGPE y GD de la Resolución CREG 174 de 2021, , ya que si bien el objetivo es el reconocimiento de los excedentes y su traslado de compras al Costo Unitario de Prestación del Servicio (CU), el desarrollo normativo debería ser independiente para garantizar precisión y </w:t>
            </w:r>
            <w:r w:rsidRPr="007E63A2">
              <w:rPr>
                <w:rFonts w:ascii="Calibri" w:hAnsi="Calibri" w:cs="Calibri"/>
                <w:color w:val="000000"/>
                <w:sz w:val="16"/>
                <w:szCs w:val="16"/>
                <w:lang w:eastAsia="zh-CN"/>
              </w:rPr>
              <w:lastRenderedPageBreak/>
              <w:t xml:space="preserve">seguridad jurídica para los diferentes actores involucrados. </w:t>
            </w:r>
          </w:p>
        </w:tc>
        <w:tc>
          <w:tcPr>
            <w:tcW w:w="1521" w:type="pct"/>
            <w:tcBorders>
              <w:top w:val="nil"/>
              <w:left w:val="nil"/>
              <w:bottom w:val="single" w:sz="4" w:space="0" w:color="auto"/>
              <w:right w:val="single" w:sz="4" w:space="0" w:color="auto"/>
            </w:tcBorders>
            <w:vAlign w:val="center"/>
            <w:hideMark/>
          </w:tcPr>
          <w:p w14:paraId="209590D8" w14:textId="2C869FB3"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xml:space="preserve">Sea lo primero aclarar que el proyecto regulatorio para la expedición de la metodología para el traslado de las compras se encuentra en análisis por parte de la Comisión y será publicado con la mayor celeridad posible, considerando los tiempos normativos y la </w:t>
            </w:r>
            <w:r w:rsidR="00651E5A" w:rsidRPr="007E63A2">
              <w:rPr>
                <w:rFonts w:ascii="Calibri" w:hAnsi="Calibri" w:cs="Calibri"/>
                <w:color w:val="000000"/>
                <w:sz w:val="16"/>
                <w:szCs w:val="16"/>
                <w:lang w:eastAsia="zh-CN"/>
              </w:rPr>
              <w:t>priorización</w:t>
            </w:r>
            <w:r w:rsidRPr="007E63A2">
              <w:rPr>
                <w:rFonts w:ascii="Calibri" w:hAnsi="Calibri" w:cs="Calibri"/>
                <w:color w:val="000000"/>
                <w:sz w:val="16"/>
                <w:szCs w:val="16"/>
                <w:lang w:eastAsia="zh-CN"/>
              </w:rPr>
              <w:t xml:space="preserve"> de los recursos. Así mismo, las discusiones internas han arrojado como alternativa plantear el traslado de las compras de los AC y GDC al componente de Generación  a través de un G Transitorio diferente al existente para las compras a AGPE y GD, no solo por facilidad en la aplicación sino para poder medir el nivel de integración de </w:t>
            </w:r>
            <w:r w:rsidR="00651E5A" w:rsidRPr="007E63A2">
              <w:rPr>
                <w:rFonts w:ascii="Calibri" w:hAnsi="Calibri" w:cs="Calibri"/>
                <w:color w:val="000000"/>
                <w:sz w:val="16"/>
                <w:szCs w:val="16"/>
                <w:lang w:eastAsia="zh-CN"/>
              </w:rPr>
              <w:t>las comunidades energéticas</w:t>
            </w:r>
            <w:r w:rsidRPr="007E63A2">
              <w:rPr>
                <w:rFonts w:ascii="Calibri" w:hAnsi="Calibri" w:cs="Calibri"/>
                <w:color w:val="000000"/>
                <w:sz w:val="16"/>
                <w:szCs w:val="16"/>
                <w:lang w:eastAsia="zh-CN"/>
              </w:rPr>
              <w:t xml:space="preserve"> al sistema eléctrico colombiano.</w:t>
            </w:r>
          </w:p>
        </w:tc>
      </w:tr>
      <w:tr w:rsidR="00651E5A" w:rsidRPr="007E63A2" w14:paraId="79EB4659" w14:textId="77777777" w:rsidTr="00651E5A">
        <w:trPr>
          <w:trHeight w:val="4930"/>
        </w:trPr>
        <w:tc>
          <w:tcPr>
            <w:tcW w:w="151" w:type="pct"/>
            <w:tcBorders>
              <w:top w:val="nil"/>
              <w:left w:val="single" w:sz="4" w:space="0" w:color="auto"/>
              <w:bottom w:val="single" w:sz="4" w:space="0" w:color="auto"/>
              <w:right w:val="single" w:sz="4" w:space="0" w:color="auto"/>
            </w:tcBorders>
            <w:vAlign w:val="center"/>
            <w:hideMark/>
          </w:tcPr>
          <w:p w14:paraId="1B6437A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33</w:t>
            </w:r>
          </w:p>
        </w:tc>
        <w:tc>
          <w:tcPr>
            <w:tcW w:w="414" w:type="pct"/>
            <w:tcBorders>
              <w:top w:val="nil"/>
              <w:left w:val="nil"/>
              <w:bottom w:val="single" w:sz="4" w:space="0" w:color="auto"/>
              <w:right w:val="single" w:sz="4" w:space="0" w:color="auto"/>
            </w:tcBorders>
            <w:vAlign w:val="center"/>
            <w:hideMark/>
          </w:tcPr>
          <w:p w14:paraId="6EB6FC2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E2025013223</w:t>
            </w:r>
          </w:p>
        </w:tc>
        <w:tc>
          <w:tcPr>
            <w:tcW w:w="366" w:type="pct"/>
            <w:tcBorders>
              <w:top w:val="nil"/>
              <w:left w:val="nil"/>
              <w:bottom w:val="single" w:sz="4" w:space="0" w:color="auto"/>
              <w:right w:val="single" w:sz="4" w:space="0" w:color="auto"/>
            </w:tcBorders>
            <w:vAlign w:val="center"/>
            <w:hideMark/>
          </w:tcPr>
          <w:p w14:paraId="7CF3FD6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CEO</w:t>
            </w:r>
          </w:p>
        </w:tc>
        <w:tc>
          <w:tcPr>
            <w:tcW w:w="1804" w:type="pct"/>
            <w:tcBorders>
              <w:top w:val="nil"/>
              <w:left w:val="nil"/>
              <w:bottom w:val="single" w:sz="4" w:space="0" w:color="auto"/>
              <w:right w:val="single" w:sz="4" w:space="0" w:color="auto"/>
            </w:tcBorders>
            <w:vAlign w:val="center"/>
            <w:hideMark/>
          </w:tcPr>
          <w:p w14:paraId="374DD3F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 Modificar la regla para que los generadores que se vinculen a un GDC que</w:t>
            </w:r>
            <w:r w:rsidRPr="007E63A2">
              <w:rPr>
                <w:rFonts w:ascii="Calibri" w:hAnsi="Calibri" w:cs="Calibri"/>
                <w:color w:val="000000"/>
                <w:sz w:val="16"/>
                <w:szCs w:val="16"/>
                <w:lang w:eastAsia="zh-CN"/>
              </w:rPr>
              <w:br/>
              <w:t>cumplan los requisitos establecidos por la regulación, apliquen los</w:t>
            </w:r>
            <w:r w:rsidRPr="007E63A2">
              <w:rPr>
                <w:rFonts w:ascii="Calibri" w:hAnsi="Calibri" w:cs="Calibri"/>
                <w:color w:val="000000"/>
                <w:sz w:val="16"/>
                <w:szCs w:val="16"/>
                <w:lang w:eastAsia="zh-CN"/>
              </w:rPr>
              <w:br/>
              <w:t>procedimientos de conexión simplificados.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d) Ajustar la Resolución CREG 101 072 de 2025 para que se aplicable a</w:t>
            </w:r>
            <w:r w:rsidRPr="007E63A2">
              <w:rPr>
                <w:rFonts w:ascii="Calibri" w:hAnsi="Calibri" w:cs="Calibri"/>
                <w:color w:val="000000"/>
                <w:sz w:val="16"/>
                <w:szCs w:val="16"/>
                <w:lang w:eastAsia="zh-CN"/>
              </w:rPr>
              <w:br/>
              <w:t>Comunidades Energéticas basadas en fuentes energéticas diferentes a</w:t>
            </w:r>
            <w:r w:rsidRPr="007E63A2">
              <w:rPr>
                <w:rFonts w:ascii="Calibri" w:hAnsi="Calibri" w:cs="Calibri"/>
                <w:color w:val="000000"/>
                <w:sz w:val="16"/>
                <w:szCs w:val="16"/>
                <w:lang w:eastAsia="zh-CN"/>
              </w:rPr>
              <w:br/>
              <w:t>FNCER.</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 Adicionalmente ajustar la Resolución CREG 101 072 de 2025 para que todos</w:t>
            </w:r>
            <w:r w:rsidRPr="007E63A2">
              <w:rPr>
                <w:rFonts w:ascii="Calibri" w:hAnsi="Calibri" w:cs="Calibri"/>
                <w:color w:val="000000"/>
                <w:sz w:val="16"/>
                <w:szCs w:val="16"/>
                <w:lang w:eastAsia="zh-CN"/>
              </w:rPr>
              <w:br/>
              <w:t>los procedimientos de conexión de las comunidades energéticas se realicen</w:t>
            </w:r>
            <w:r w:rsidRPr="007E63A2">
              <w:rPr>
                <w:rFonts w:ascii="Calibri" w:hAnsi="Calibri" w:cs="Calibri"/>
                <w:color w:val="000000"/>
                <w:sz w:val="16"/>
                <w:szCs w:val="16"/>
                <w:lang w:eastAsia="zh-CN"/>
              </w:rPr>
              <w:br/>
              <w:t>en el marco de la Resolución CREG 174 de 2021, siempre que las</w:t>
            </w:r>
            <w:r w:rsidRPr="007E63A2">
              <w:rPr>
                <w:rFonts w:ascii="Calibri" w:hAnsi="Calibri" w:cs="Calibri"/>
                <w:color w:val="000000"/>
                <w:sz w:val="16"/>
                <w:szCs w:val="16"/>
                <w:lang w:eastAsia="zh-CN"/>
              </w:rPr>
              <w:br/>
              <w:t>capacidades se sostengan en menor de 5 MW como lo estableció la UPME.</w:t>
            </w:r>
          </w:p>
        </w:tc>
        <w:tc>
          <w:tcPr>
            <w:tcW w:w="745" w:type="pct"/>
            <w:tcBorders>
              <w:top w:val="nil"/>
              <w:left w:val="nil"/>
              <w:bottom w:val="single" w:sz="4" w:space="0" w:color="auto"/>
              <w:right w:val="single" w:sz="4" w:space="0" w:color="auto"/>
            </w:tcBorders>
            <w:vAlign w:val="center"/>
            <w:hideMark/>
          </w:tcPr>
          <w:p w14:paraId="3FC908A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recomienda que la normativa incluya de manera explícita las definiciones y aclaraciones pertinentes sobre la aplicación de la Resolución CREG 101 072 de 2025, conforme a lo señalado en el documento soporte CREG No. 901 207 de 2025.</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Específicamente, se solicita precisar aspectos como: la definición de Comunidades Energéticas; el procedimiento de registro ante XM para aquellos generadores distribuidos existentes que no pueden ser representados por un comercializador y desean integrarse a una Comunidad Energética; la preservación de la regla de medidor bidireccional para la liquidación de Excedentes Tipo 2 cuando ésta se realice con base en el Mc; y la modificación de las condiciones del punto de conexión previamente aprobado, en el marco de la solicitud de conexión simplificada, entre otros temas relevantes</w:t>
            </w:r>
          </w:p>
        </w:tc>
        <w:tc>
          <w:tcPr>
            <w:tcW w:w="1521" w:type="pct"/>
            <w:tcBorders>
              <w:top w:val="nil"/>
              <w:left w:val="nil"/>
              <w:bottom w:val="single" w:sz="4" w:space="0" w:color="auto"/>
              <w:right w:val="single" w:sz="4" w:space="0" w:color="auto"/>
            </w:tcBorders>
            <w:vAlign w:val="center"/>
            <w:hideMark/>
          </w:tcPr>
          <w:p w14:paraId="1E5D3C9E" w14:textId="79F9E67B"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al comentario 1.</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Adicionalmente, y entendiendo la Comisión que la propuesta de ajuste por parte de CEO está haciendo referencia a las respuestas dadas a los comentarios resultado de un espacio presencial con ANDESCO, se informa que estas respuestas se darán de manera oficial al gremio.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 xml:space="preserve">Con respecto al literal d), esta regla quedó </w:t>
            </w:r>
            <w:r w:rsidR="00651E5A" w:rsidRPr="007E63A2">
              <w:rPr>
                <w:rFonts w:ascii="Calibri" w:hAnsi="Calibri" w:cs="Calibri"/>
                <w:color w:val="000000"/>
                <w:sz w:val="16"/>
                <w:szCs w:val="16"/>
                <w:lang w:eastAsia="zh-CN"/>
              </w:rPr>
              <w:t>incorporada</w:t>
            </w:r>
            <w:r w:rsidRPr="007E63A2">
              <w:rPr>
                <w:rFonts w:ascii="Calibri" w:hAnsi="Calibri" w:cs="Calibri"/>
                <w:color w:val="000000"/>
                <w:sz w:val="16"/>
                <w:szCs w:val="16"/>
                <w:lang w:eastAsia="zh-CN"/>
              </w:rPr>
              <w:t xml:space="preserve"> como el Caso 4 del artículo 13 del proyecto regulatorio.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Con respecto a los literales c) y e), agradecemos remitirse a la respuesta dada al comentario 23.</w:t>
            </w:r>
          </w:p>
        </w:tc>
      </w:tr>
      <w:tr w:rsidR="00651E5A" w:rsidRPr="007E63A2" w14:paraId="33819688" w14:textId="77777777" w:rsidTr="00A747ED">
        <w:trPr>
          <w:trHeight w:val="1955"/>
        </w:trPr>
        <w:tc>
          <w:tcPr>
            <w:tcW w:w="151" w:type="pct"/>
            <w:tcBorders>
              <w:top w:val="nil"/>
              <w:left w:val="single" w:sz="4" w:space="0" w:color="auto"/>
              <w:bottom w:val="single" w:sz="4" w:space="0" w:color="auto"/>
              <w:right w:val="single" w:sz="4" w:space="0" w:color="auto"/>
            </w:tcBorders>
            <w:vAlign w:val="center"/>
            <w:hideMark/>
          </w:tcPr>
          <w:p w14:paraId="51F6B31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34</w:t>
            </w:r>
          </w:p>
        </w:tc>
        <w:tc>
          <w:tcPr>
            <w:tcW w:w="414" w:type="pct"/>
            <w:tcBorders>
              <w:top w:val="nil"/>
              <w:left w:val="nil"/>
              <w:bottom w:val="single" w:sz="4" w:space="0" w:color="auto"/>
              <w:right w:val="single" w:sz="4" w:space="0" w:color="auto"/>
            </w:tcBorders>
            <w:vAlign w:val="center"/>
            <w:hideMark/>
          </w:tcPr>
          <w:p w14:paraId="0040CBB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E2025013223</w:t>
            </w:r>
          </w:p>
        </w:tc>
        <w:tc>
          <w:tcPr>
            <w:tcW w:w="366" w:type="pct"/>
            <w:tcBorders>
              <w:top w:val="nil"/>
              <w:left w:val="nil"/>
              <w:bottom w:val="single" w:sz="4" w:space="0" w:color="auto"/>
              <w:right w:val="single" w:sz="4" w:space="0" w:color="auto"/>
            </w:tcBorders>
            <w:vAlign w:val="center"/>
            <w:hideMark/>
          </w:tcPr>
          <w:p w14:paraId="50D460A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CEO</w:t>
            </w:r>
          </w:p>
        </w:tc>
        <w:tc>
          <w:tcPr>
            <w:tcW w:w="1804" w:type="pct"/>
            <w:tcBorders>
              <w:top w:val="nil"/>
              <w:left w:val="nil"/>
              <w:bottom w:val="single" w:sz="4" w:space="0" w:color="auto"/>
              <w:right w:val="single" w:sz="4" w:space="0" w:color="auto"/>
            </w:tcBorders>
            <w:vAlign w:val="center"/>
            <w:hideMark/>
          </w:tcPr>
          <w:p w14:paraId="7E8CEED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Para la liquidación del AGPE y GD se usará, donde corresponda, el</w:t>
            </w:r>
            <w:r w:rsidRPr="007E63A2">
              <w:rPr>
                <w:rFonts w:ascii="Calibri" w:hAnsi="Calibri" w:cs="Calibri"/>
                <w:color w:val="000000"/>
                <w:sz w:val="16"/>
                <w:szCs w:val="16"/>
                <w:lang w:eastAsia="zh-CN"/>
              </w:rPr>
              <w:br/>
              <w:t>valor del precio de bolsa horario.</w:t>
            </w:r>
            <w:r w:rsidRPr="007E63A2">
              <w:rPr>
                <w:rFonts w:ascii="Calibri" w:hAnsi="Calibri" w:cs="Calibri"/>
                <w:color w:val="000000"/>
                <w:sz w:val="16"/>
                <w:szCs w:val="16"/>
                <w:lang w:eastAsia="zh-CN"/>
              </w:rPr>
              <w:br/>
              <w:t>ii) Para la liquidación del AC y GDC se usará, donde corresponda, el</w:t>
            </w:r>
            <w:r w:rsidRPr="007E63A2">
              <w:rPr>
                <w:rFonts w:ascii="Calibri" w:hAnsi="Calibri" w:cs="Calibri"/>
                <w:color w:val="000000"/>
                <w:sz w:val="16"/>
                <w:szCs w:val="16"/>
                <w:lang w:eastAsia="zh-CN"/>
              </w:rPr>
              <w:br/>
              <w:t>valor del precio de bolsa horario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Resulta fundamental que se establezca de manera clara y detallada la forma en que las variables relacionadas con AC y GDC se integran en las fórmulas para el traslado de compras al usuario regulado. No es conveniente remitir de manera indirecta a otras normativas, como ocurre actualmente con la liquidación del precio en bolsa, en la que se hace referencia al Anexo 2 de la Resolución CREG 101 072 de 2025, al artículo 27 de la Resolución CREG 174 de 2021 y posteriormente al Anexo 1 de esta última, sin que se precise expresamente el funcionamiento del mecanismo. Esta especificidad es indispensable para evitar vacíos regulatorios que puedan impedir al comercializador trasladar correctamente sus costos debido a la ausencia de reglas claras.</w:t>
            </w:r>
          </w:p>
        </w:tc>
        <w:tc>
          <w:tcPr>
            <w:tcW w:w="745" w:type="pct"/>
            <w:tcBorders>
              <w:top w:val="nil"/>
              <w:left w:val="nil"/>
              <w:bottom w:val="single" w:sz="4" w:space="0" w:color="auto"/>
              <w:right w:val="single" w:sz="4" w:space="0" w:color="auto"/>
            </w:tcBorders>
            <w:vAlign w:val="center"/>
            <w:hideMark/>
          </w:tcPr>
          <w:p w14:paraId="7FB28B5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 el punto anterior específicamente se solicita que, dentro de la resolución definitiva, se incorpore y desarrolle de manera explícita todas las fórmulas aplicables a las figuras de AC y GDC, en lugar de remitir de forma genérica “donde corresponda” a una resolución cuyo alcance es diferente. Este tipo de remisión resulta insuficiente y forzada frente a un tema tan importante como es la adecuada implementación y operación de Comunidades Energéticas.</w:t>
            </w:r>
          </w:p>
        </w:tc>
        <w:tc>
          <w:tcPr>
            <w:tcW w:w="1521" w:type="pct"/>
            <w:tcBorders>
              <w:top w:val="nil"/>
              <w:left w:val="nil"/>
              <w:bottom w:val="single" w:sz="4" w:space="0" w:color="auto"/>
              <w:right w:val="single" w:sz="4" w:space="0" w:color="auto"/>
            </w:tcBorders>
            <w:vAlign w:val="center"/>
            <w:hideMark/>
          </w:tcPr>
          <w:p w14:paraId="7F99348A" w14:textId="4768D47D"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Las reglas contenidas en las resoluciones nombradas en </w:t>
            </w:r>
            <w:r w:rsidR="00651E5A" w:rsidRPr="007E63A2">
              <w:rPr>
                <w:rFonts w:ascii="Calibri" w:hAnsi="Calibri" w:cs="Calibri"/>
                <w:color w:val="000000"/>
                <w:sz w:val="16"/>
                <w:szCs w:val="16"/>
                <w:lang w:eastAsia="zh-CN"/>
              </w:rPr>
              <w:t>el comentario</w:t>
            </w:r>
            <w:r w:rsidRPr="007E63A2">
              <w:rPr>
                <w:rFonts w:ascii="Calibri" w:hAnsi="Calibri" w:cs="Calibri"/>
                <w:color w:val="000000"/>
                <w:sz w:val="16"/>
                <w:szCs w:val="16"/>
                <w:lang w:eastAsia="zh-CN"/>
              </w:rPr>
              <w:t xml:space="preserve"> resultan claras para su aplicación y buscan consolidar las reglas para diferentes actividades, lo que facilita su interpretación, vigilancia y control. En caso de encontrar alguna </w:t>
            </w:r>
            <w:r w:rsidR="00651E5A" w:rsidRPr="007E63A2">
              <w:rPr>
                <w:rFonts w:ascii="Calibri" w:hAnsi="Calibri" w:cs="Calibri"/>
                <w:color w:val="000000"/>
                <w:sz w:val="16"/>
                <w:szCs w:val="16"/>
                <w:lang w:eastAsia="zh-CN"/>
              </w:rPr>
              <w:t>ambigüedad</w:t>
            </w:r>
            <w:r w:rsidRPr="007E63A2">
              <w:rPr>
                <w:rFonts w:ascii="Calibri" w:hAnsi="Calibri" w:cs="Calibri"/>
                <w:color w:val="000000"/>
                <w:sz w:val="16"/>
                <w:szCs w:val="16"/>
                <w:lang w:eastAsia="zh-CN"/>
              </w:rPr>
              <w:t xml:space="preserve"> o </w:t>
            </w:r>
            <w:r w:rsidR="00651E5A" w:rsidRPr="007E63A2">
              <w:rPr>
                <w:rFonts w:ascii="Calibri" w:hAnsi="Calibri" w:cs="Calibri"/>
                <w:color w:val="000000"/>
                <w:sz w:val="16"/>
                <w:szCs w:val="16"/>
                <w:lang w:eastAsia="zh-CN"/>
              </w:rPr>
              <w:t>discrepancia</w:t>
            </w:r>
            <w:r w:rsidRPr="007E63A2">
              <w:rPr>
                <w:rFonts w:ascii="Calibri" w:hAnsi="Calibri" w:cs="Calibri"/>
                <w:color w:val="000000"/>
                <w:sz w:val="16"/>
                <w:szCs w:val="16"/>
                <w:lang w:eastAsia="zh-CN"/>
              </w:rPr>
              <w:t xml:space="preserve"> entre las normas, esta deberá ser precisada y enviada a la Comisión para su </w:t>
            </w:r>
            <w:r w:rsidR="00651E5A" w:rsidRPr="007E63A2">
              <w:rPr>
                <w:rFonts w:ascii="Calibri" w:hAnsi="Calibri" w:cs="Calibri"/>
                <w:color w:val="000000"/>
                <w:sz w:val="16"/>
                <w:szCs w:val="16"/>
                <w:lang w:eastAsia="zh-CN"/>
              </w:rPr>
              <w:t>atención</w:t>
            </w:r>
            <w:r w:rsidRPr="007E63A2">
              <w:rPr>
                <w:rFonts w:ascii="Calibri" w:hAnsi="Calibri" w:cs="Calibri"/>
                <w:color w:val="000000"/>
                <w:sz w:val="16"/>
                <w:szCs w:val="16"/>
                <w:lang w:eastAsia="zh-CN"/>
              </w:rPr>
              <w:t xml:space="preserve"> vía concepto.</w:t>
            </w:r>
          </w:p>
        </w:tc>
      </w:tr>
      <w:tr w:rsidR="00651E5A" w:rsidRPr="007E63A2" w14:paraId="6A889C82" w14:textId="77777777" w:rsidTr="00A747ED">
        <w:trPr>
          <w:trHeight w:val="202"/>
        </w:trPr>
        <w:tc>
          <w:tcPr>
            <w:tcW w:w="151" w:type="pct"/>
            <w:tcBorders>
              <w:top w:val="nil"/>
              <w:left w:val="single" w:sz="4" w:space="0" w:color="auto"/>
              <w:bottom w:val="single" w:sz="4" w:space="0" w:color="auto"/>
              <w:right w:val="single" w:sz="4" w:space="0" w:color="auto"/>
            </w:tcBorders>
            <w:vAlign w:val="center"/>
            <w:hideMark/>
          </w:tcPr>
          <w:p w14:paraId="0D78B7C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35</w:t>
            </w:r>
          </w:p>
        </w:tc>
        <w:tc>
          <w:tcPr>
            <w:tcW w:w="414" w:type="pct"/>
            <w:tcBorders>
              <w:top w:val="nil"/>
              <w:left w:val="nil"/>
              <w:bottom w:val="single" w:sz="4" w:space="0" w:color="auto"/>
              <w:right w:val="single" w:sz="4" w:space="0" w:color="auto"/>
            </w:tcBorders>
            <w:vAlign w:val="center"/>
            <w:hideMark/>
          </w:tcPr>
          <w:p w14:paraId="6B2DFA2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E2025013223</w:t>
            </w:r>
          </w:p>
        </w:tc>
        <w:tc>
          <w:tcPr>
            <w:tcW w:w="366" w:type="pct"/>
            <w:tcBorders>
              <w:top w:val="nil"/>
              <w:left w:val="nil"/>
              <w:bottom w:val="single" w:sz="4" w:space="0" w:color="auto"/>
              <w:right w:val="single" w:sz="4" w:space="0" w:color="auto"/>
            </w:tcBorders>
            <w:vAlign w:val="center"/>
            <w:hideMark/>
          </w:tcPr>
          <w:p w14:paraId="5DE23C8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CEO</w:t>
            </w:r>
          </w:p>
        </w:tc>
        <w:tc>
          <w:tcPr>
            <w:tcW w:w="1804" w:type="pct"/>
            <w:tcBorders>
              <w:top w:val="nil"/>
              <w:left w:val="nil"/>
              <w:bottom w:val="single" w:sz="4" w:space="0" w:color="auto"/>
              <w:right w:val="single" w:sz="4" w:space="0" w:color="auto"/>
            </w:tcBorders>
            <w:vAlign w:val="center"/>
            <w:hideMark/>
          </w:tcPr>
          <w:p w14:paraId="4B38CDD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Sobre la aplicación del traslado de compras en función del Mc, en los cuales se indica que “aplicará a partir del mes siguiente de expedida. Cuando lo anterior suceda, el agente comercializador deberá enviar el contrato actualizado al usuario</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se considera que ese plazo de transición no responde a los tiempos de ajuste requeridos para su implementación, más aun considerando que la metodología para el traslado en función del Mc aún no está definida, por lo que un (1) mes no resulta suficiente para su comprensión y parametrización en los sistemas comerciales lo cual demandaría al menos tres (3) meses.</w:t>
            </w:r>
          </w:p>
        </w:tc>
        <w:tc>
          <w:tcPr>
            <w:tcW w:w="745" w:type="pct"/>
            <w:tcBorders>
              <w:top w:val="nil"/>
              <w:left w:val="nil"/>
              <w:bottom w:val="single" w:sz="4" w:space="0" w:color="auto"/>
              <w:right w:val="single" w:sz="4" w:space="0" w:color="auto"/>
            </w:tcBorders>
            <w:vAlign w:val="center"/>
            <w:hideMark/>
          </w:tcPr>
          <w:p w14:paraId="5D3DF09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solicita fijar el tiempo de implementación en tres (3) meses después de la publicación de la resolución definitiva.</w:t>
            </w:r>
          </w:p>
        </w:tc>
        <w:tc>
          <w:tcPr>
            <w:tcW w:w="1521" w:type="pct"/>
            <w:tcBorders>
              <w:top w:val="nil"/>
              <w:left w:val="nil"/>
              <w:bottom w:val="single" w:sz="4" w:space="0" w:color="auto"/>
              <w:right w:val="single" w:sz="4" w:space="0" w:color="auto"/>
            </w:tcBorders>
            <w:vAlign w:val="center"/>
            <w:hideMark/>
          </w:tcPr>
          <w:p w14:paraId="2C44E81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acoge el comentario. Ver respuesta a comentario 31.</w:t>
            </w:r>
          </w:p>
        </w:tc>
      </w:tr>
      <w:tr w:rsidR="00651E5A" w:rsidRPr="007E63A2" w14:paraId="63ABBDF8" w14:textId="77777777" w:rsidTr="00651E5A">
        <w:trPr>
          <w:trHeight w:val="290"/>
        </w:trPr>
        <w:tc>
          <w:tcPr>
            <w:tcW w:w="151" w:type="pct"/>
            <w:tcBorders>
              <w:top w:val="nil"/>
              <w:left w:val="single" w:sz="4" w:space="0" w:color="auto"/>
              <w:bottom w:val="single" w:sz="4" w:space="0" w:color="auto"/>
              <w:right w:val="single" w:sz="4" w:space="0" w:color="auto"/>
            </w:tcBorders>
            <w:vAlign w:val="center"/>
            <w:hideMark/>
          </w:tcPr>
          <w:p w14:paraId="15E9257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36</w:t>
            </w:r>
          </w:p>
        </w:tc>
        <w:tc>
          <w:tcPr>
            <w:tcW w:w="414" w:type="pct"/>
            <w:tcBorders>
              <w:top w:val="nil"/>
              <w:left w:val="nil"/>
              <w:bottom w:val="single" w:sz="4" w:space="0" w:color="auto"/>
              <w:right w:val="single" w:sz="4" w:space="0" w:color="auto"/>
            </w:tcBorders>
            <w:vAlign w:val="center"/>
            <w:hideMark/>
          </w:tcPr>
          <w:p w14:paraId="2C4FBBF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E2025013231</w:t>
            </w:r>
          </w:p>
        </w:tc>
        <w:tc>
          <w:tcPr>
            <w:tcW w:w="366" w:type="pct"/>
            <w:tcBorders>
              <w:top w:val="nil"/>
              <w:left w:val="nil"/>
              <w:bottom w:val="single" w:sz="4" w:space="0" w:color="auto"/>
              <w:right w:val="single" w:sz="4" w:space="0" w:color="auto"/>
            </w:tcBorders>
            <w:vAlign w:val="center"/>
            <w:hideMark/>
          </w:tcPr>
          <w:p w14:paraId="09EBF71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PLUS ENERGY</w:t>
            </w:r>
          </w:p>
        </w:tc>
        <w:tc>
          <w:tcPr>
            <w:tcW w:w="1804" w:type="pct"/>
            <w:tcBorders>
              <w:top w:val="nil"/>
              <w:left w:val="nil"/>
              <w:bottom w:val="single" w:sz="4" w:space="0" w:color="auto"/>
              <w:right w:val="single" w:sz="4" w:space="0" w:color="auto"/>
            </w:tcBorders>
            <w:vAlign w:val="center"/>
            <w:hideMark/>
          </w:tcPr>
          <w:p w14:paraId="3C72CB7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Que tiempo tiene la CREG para definir el traslado del costo de compra de energía al valro de MC</w:t>
            </w:r>
          </w:p>
        </w:tc>
        <w:tc>
          <w:tcPr>
            <w:tcW w:w="745" w:type="pct"/>
            <w:tcBorders>
              <w:top w:val="nil"/>
              <w:left w:val="nil"/>
              <w:bottom w:val="single" w:sz="4" w:space="0" w:color="auto"/>
              <w:right w:val="single" w:sz="4" w:space="0" w:color="auto"/>
            </w:tcBorders>
            <w:vAlign w:val="center"/>
            <w:hideMark/>
          </w:tcPr>
          <w:p w14:paraId="1AF4E1E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3F8B724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al comentario 1.</w:t>
            </w:r>
          </w:p>
        </w:tc>
      </w:tr>
      <w:tr w:rsidR="00651E5A" w:rsidRPr="007E63A2" w14:paraId="3EC00457"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4EA3CB6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37</w:t>
            </w:r>
          </w:p>
        </w:tc>
        <w:tc>
          <w:tcPr>
            <w:tcW w:w="414" w:type="pct"/>
            <w:tcBorders>
              <w:top w:val="nil"/>
              <w:left w:val="nil"/>
              <w:bottom w:val="single" w:sz="4" w:space="0" w:color="auto"/>
              <w:right w:val="single" w:sz="4" w:space="0" w:color="auto"/>
            </w:tcBorders>
            <w:vAlign w:val="center"/>
            <w:hideMark/>
          </w:tcPr>
          <w:p w14:paraId="7CC009D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E2025013231</w:t>
            </w:r>
          </w:p>
        </w:tc>
        <w:tc>
          <w:tcPr>
            <w:tcW w:w="366" w:type="pct"/>
            <w:tcBorders>
              <w:top w:val="nil"/>
              <w:left w:val="nil"/>
              <w:bottom w:val="single" w:sz="4" w:space="0" w:color="auto"/>
              <w:right w:val="single" w:sz="4" w:space="0" w:color="auto"/>
            </w:tcBorders>
            <w:vAlign w:val="center"/>
            <w:hideMark/>
          </w:tcPr>
          <w:p w14:paraId="6E47210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PLUS ENERGY</w:t>
            </w:r>
          </w:p>
        </w:tc>
        <w:tc>
          <w:tcPr>
            <w:tcW w:w="1804" w:type="pct"/>
            <w:tcBorders>
              <w:top w:val="nil"/>
              <w:left w:val="nil"/>
              <w:bottom w:val="single" w:sz="4" w:space="0" w:color="auto"/>
              <w:right w:val="single" w:sz="4" w:space="0" w:color="auto"/>
            </w:tcBorders>
            <w:vAlign w:val="center"/>
            <w:hideMark/>
          </w:tcPr>
          <w:p w14:paraId="39CAD6C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“Las fronteras comerciales para consumo de energía y entrega de excedentes pertenecientes a un mismo AC deberán ser representadas por el mismo agente comercializador, cumpliendo la Resolución CREG 174 de 2021 y los requisitos contenidos en las Resoluciones CREG 156, 157 de 2011 y 038 de 2014”. </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 xml:space="preserve">a) Al respecto, entendemos que la restricción es planteada con el fin de facilitar la liquidación unificada para el comercializador </w:t>
            </w:r>
            <w:r w:rsidRPr="007E63A2">
              <w:rPr>
                <w:rFonts w:ascii="Calibri" w:hAnsi="Calibri" w:cs="Calibri"/>
                <w:color w:val="000000"/>
                <w:sz w:val="16"/>
                <w:szCs w:val="16"/>
                <w:lang w:eastAsia="zh-CN"/>
              </w:rPr>
              <w:lastRenderedPageBreak/>
              <w:t>representante de la comunidad energética, pero de igual manera se convierte en una barrera para el desarrollo de las Comunidades Energéticas que se quieran desarrollar dentro de un mismo SDL</w:t>
            </w:r>
          </w:p>
        </w:tc>
        <w:tc>
          <w:tcPr>
            <w:tcW w:w="745" w:type="pct"/>
            <w:tcBorders>
              <w:top w:val="nil"/>
              <w:left w:val="nil"/>
              <w:bottom w:val="single" w:sz="4" w:space="0" w:color="auto"/>
              <w:right w:val="single" w:sz="4" w:space="0" w:color="auto"/>
            </w:tcBorders>
            <w:vAlign w:val="center"/>
            <w:hideMark/>
          </w:tcPr>
          <w:p w14:paraId="359F0E1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xml:space="preserve">Se sugiere eliminar dicha restricción ya que va en contravía con lo establecido en el Articulo 9 numeral 9.2 de la Ley 142, que menciona la libre elección del usuario </w:t>
            </w:r>
            <w:r w:rsidRPr="007E63A2">
              <w:rPr>
                <w:rFonts w:ascii="Calibri" w:hAnsi="Calibri" w:cs="Calibri"/>
                <w:color w:val="000000"/>
                <w:sz w:val="16"/>
                <w:szCs w:val="16"/>
                <w:lang w:eastAsia="zh-CN"/>
              </w:rPr>
              <w:lastRenderedPageBreak/>
              <w:t>en el prestador del servicio.</w:t>
            </w:r>
          </w:p>
        </w:tc>
        <w:tc>
          <w:tcPr>
            <w:tcW w:w="1521" w:type="pct"/>
            <w:tcBorders>
              <w:top w:val="nil"/>
              <w:left w:val="nil"/>
              <w:bottom w:val="single" w:sz="4" w:space="0" w:color="auto"/>
              <w:right w:val="single" w:sz="4" w:space="0" w:color="auto"/>
            </w:tcBorders>
            <w:vAlign w:val="center"/>
            <w:hideMark/>
          </w:tcPr>
          <w:p w14:paraId="31EBD10F" w14:textId="1F38C8E8"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xml:space="preserve">El objetivo principal de las comunidades energéticas es que una vez conformadas, los usuarios que tengan la capacidad de autogenerar energía compartan los beneficios de la valoración de excedentes al distribuir estos entre todos los </w:t>
            </w:r>
            <w:r w:rsidR="00651E5A" w:rsidRPr="007E63A2">
              <w:rPr>
                <w:rFonts w:ascii="Calibri" w:hAnsi="Calibri" w:cs="Calibri"/>
                <w:color w:val="000000"/>
                <w:sz w:val="16"/>
                <w:szCs w:val="16"/>
                <w:lang w:eastAsia="zh-CN"/>
              </w:rPr>
              <w:t>usuarios</w:t>
            </w:r>
            <w:r w:rsidRPr="007E63A2">
              <w:rPr>
                <w:rFonts w:ascii="Calibri" w:hAnsi="Calibri" w:cs="Calibri"/>
                <w:color w:val="000000"/>
                <w:sz w:val="16"/>
                <w:szCs w:val="16"/>
                <w:lang w:eastAsia="zh-CN"/>
              </w:rPr>
              <w:t xml:space="preserve"> en función del porcentaje de distribución de excedentes (PDE), como bien lo refiere en su comentario, que tanto la frontera de consumo como la de generación sea representada </w:t>
            </w:r>
            <w:r w:rsidRPr="007E63A2">
              <w:rPr>
                <w:rFonts w:ascii="Calibri" w:hAnsi="Calibri" w:cs="Calibri"/>
                <w:color w:val="000000"/>
                <w:sz w:val="16"/>
                <w:szCs w:val="16"/>
                <w:lang w:eastAsia="zh-CN"/>
              </w:rPr>
              <w:lastRenderedPageBreak/>
              <w:t xml:space="preserve">por el mismo comercializador es lo que permite precisamente la aplicación del concepto de crédito de </w:t>
            </w:r>
            <w:r w:rsidR="00651E5A" w:rsidRPr="007E63A2">
              <w:rPr>
                <w:rFonts w:ascii="Calibri" w:hAnsi="Calibri" w:cs="Calibri"/>
                <w:color w:val="000000"/>
                <w:sz w:val="16"/>
                <w:szCs w:val="16"/>
                <w:lang w:eastAsia="zh-CN"/>
              </w:rPr>
              <w:t>energía</w:t>
            </w:r>
            <w:r w:rsidRPr="007E63A2">
              <w:rPr>
                <w:rFonts w:ascii="Calibri" w:hAnsi="Calibri" w:cs="Calibri"/>
                <w:color w:val="000000"/>
                <w:sz w:val="16"/>
                <w:szCs w:val="16"/>
                <w:lang w:eastAsia="zh-CN"/>
              </w:rPr>
              <w:t xml:space="preserve"> tal como funciona con los usuarios AGPE.</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 xml:space="preserve">Adicionalmente, es importante aclarar que la resolución CREG no modifica la aplicación de los derechos de los usuarios, en especial los consagrados en la Ley 142 de 1994, </w:t>
            </w:r>
            <w:r w:rsidR="00651E5A" w:rsidRPr="007E63A2">
              <w:rPr>
                <w:rFonts w:ascii="Calibri" w:hAnsi="Calibri" w:cs="Calibri"/>
                <w:color w:val="000000"/>
                <w:sz w:val="16"/>
                <w:szCs w:val="16"/>
                <w:lang w:eastAsia="zh-CN"/>
              </w:rPr>
              <w:t>Resolución</w:t>
            </w:r>
            <w:r w:rsidRPr="007E63A2">
              <w:rPr>
                <w:rFonts w:ascii="Calibri" w:hAnsi="Calibri" w:cs="Calibri"/>
                <w:color w:val="000000"/>
                <w:sz w:val="16"/>
                <w:szCs w:val="16"/>
                <w:lang w:eastAsia="zh-CN"/>
              </w:rPr>
              <w:t xml:space="preserve"> CREG 108 de 1994 y CREG 135 de 2021, en ese sentido los usuarios pertenecientes a un AC mantienen la libertad de elegir a su prestador del servicio.  </w:t>
            </w:r>
          </w:p>
        </w:tc>
      </w:tr>
      <w:tr w:rsidR="00651E5A" w:rsidRPr="007E63A2" w14:paraId="2109F77A" w14:textId="77777777" w:rsidTr="00A747ED">
        <w:trPr>
          <w:trHeight w:val="228"/>
        </w:trPr>
        <w:tc>
          <w:tcPr>
            <w:tcW w:w="151" w:type="pct"/>
            <w:tcBorders>
              <w:top w:val="nil"/>
              <w:left w:val="single" w:sz="4" w:space="0" w:color="auto"/>
              <w:bottom w:val="single" w:sz="4" w:space="0" w:color="auto"/>
              <w:right w:val="single" w:sz="4" w:space="0" w:color="auto"/>
            </w:tcBorders>
            <w:vAlign w:val="center"/>
            <w:hideMark/>
          </w:tcPr>
          <w:p w14:paraId="677359E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38</w:t>
            </w:r>
          </w:p>
        </w:tc>
        <w:tc>
          <w:tcPr>
            <w:tcW w:w="414" w:type="pct"/>
            <w:tcBorders>
              <w:top w:val="nil"/>
              <w:left w:val="nil"/>
              <w:bottom w:val="single" w:sz="4" w:space="0" w:color="auto"/>
              <w:right w:val="single" w:sz="4" w:space="0" w:color="auto"/>
            </w:tcBorders>
            <w:vAlign w:val="center"/>
            <w:hideMark/>
          </w:tcPr>
          <w:p w14:paraId="4F4D5DD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E2025013231</w:t>
            </w:r>
          </w:p>
        </w:tc>
        <w:tc>
          <w:tcPr>
            <w:tcW w:w="366" w:type="pct"/>
            <w:tcBorders>
              <w:top w:val="nil"/>
              <w:left w:val="nil"/>
              <w:bottom w:val="single" w:sz="4" w:space="0" w:color="auto"/>
              <w:right w:val="single" w:sz="4" w:space="0" w:color="auto"/>
            </w:tcBorders>
            <w:vAlign w:val="center"/>
            <w:hideMark/>
          </w:tcPr>
          <w:p w14:paraId="661505C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PLUS ENERGY</w:t>
            </w:r>
          </w:p>
        </w:tc>
        <w:tc>
          <w:tcPr>
            <w:tcW w:w="1804" w:type="pct"/>
            <w:tcBorders>
              <w:top w:val="nil"/>
              <w:left w:val="nil"/>
              <w:bottom w:val="single" w:sz="4" w:space="0" w:color="auto"/>
              <w:right w:val="single" w:sz="4" w:space="0" w:color="auto"/>
            </w:tcBorders>
            <w:vAlign w:val="center"/>
            <w:hideMark/>
          </w:tcPr>
          <w:p w14:paraId="4F8B578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El Porcentaje de Distribución de los Excedentes (PDE) del AC, para el punto de conexión del usuario u, en el mercado de comercialización j y que es atendido por el comercializador i, será informado por el representante del AC. Estos valores serán acordados por los integrantes del AC, están declarados en el formulario de conexión simplificado y son comunicados al agente comercializador, incluyéndolo en el acuerdo especial dispuesto en la Resolución CREG 135 de 2021. Deberá cumplirse que:</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a) Considerando esta expresión ¿Es posible el caso que al distribuir el 100% de la sumatoria de excedentes dentro de los usuarios pertenecientes a la Comunidad Energética, resulten excedentes que puedan ser comercializados, cuales sería las reglas aplicables para estos excedentes y si estas reglas son las relacionadas a la capacidad instalada de la comunidad energética?</w:t>
            </w:r>
          </w:p>
        </w:tc>
        <w:tc>
          <w:tcPr>
            <w:tcW w:w="745" w:type="pct"/>
            <w:tcBorders>
              <w:top w:val="nil"/>
              <w:left w:val="nil"/>
              <w:bottom w:val="single" w:sz="4" w:space="0" w:color="auto"/>
              <w:right w:val="single" w:sz="4" w:space="0" w:color="auto"/>
            </w:tcBorders>
            <w:vAlign w:val="center"/>
            <w:hideMark/>
          </w:tcPr>
          <w:p w14:paraId="2FA953F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0E064176" w14:textId="6C0EB2A0"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  Una vez distribuida la sumatoria de los excedentes de la  comunidad energética a cada uno de los miembros de esta en función del porcentaje de distribución de excedentes, cada usuario es liquidado individualmente por el comercializador </w:t>
            </w:r>
            <w:r w:rsidR="00651E5A" w:rsidRPr="007E63A2">
              <w:rPr>
                <w:rFonts w:ascii="Calibri" w:hAnsi="Calibri" w:cs="Calibri"/>
                <w:color w:val="000000"/>
                <w:sz w:val="16"/>
                <w:szCs w:val="16"/>
                <w:lang w:eastAsia="zh-CN"/>
              </w:rPr>
              <w:t>de acuerdo con</w:t>
            </w:r>
            <w:r w:rsidRPr="007E63A2">
              <w:rPr>
                <w:rFonts w:ascii="Calibri" w:hAnsi="Calibri" w:cs="Calibri"/>
                <w:color w:val="000000"/>
                <w:sz w:val="16"/>
                <w:szCs w:val="16"/>
                <w:lang w:eastAsia="zh-CN"/>
              </w:rPr>
              <w:t xml:space="preserve"> las reglas de la Resolución CREG 174 de 2021.</w:t>
            </w:r>
          </w:p>
        </w:tc>
      </w:tr>
      <w:tr w:rsidR="00651E5A" w:rsidRPr="007E63A2" w14:paraId="20205AB3" w14:textId="77777777" w:rsidTr="00651E5A">
        <w:trPr>
          <w:trHeight w:val="1450"/>
        </w:trPr>
        <w:tc>
          <w:tcPr>
            <w:tcW w:w="151" w:type="pct"/>
            <w:tcBorders>
              <w:top w:val="nil"/>
              <w:left w:val="single" w:sz="4" w:space="0" w:color="auto"/>
              <w:bottom w:val="single" w:sz="4" w:space="0" w:color="auto"/>
              <w:right w:val="single" w:sz="4" w:space="0" w:color="auto"/>
            </w:tcBorders>
            <w:vAlign w:val="center"/>
            <w:hideMark/>
          </w:tcPr>
          <w:p w14:paraId="1667D23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39</w:t>
            </w:r>
          </w:p>
        </w:tc>
        <w:tc>
          <w:tcPr>
            <w:tcW w:w="414" w:type="pct"/>
            <w:tcBorders>
              <w:top w:val="nil"/>
              <w:left w:val="nil"/>
              <w:bottom w:val="single" w:sz="4" w:space="0" w:color="auto"/>
              <w:right w:val="single" w:sz="4" w:space="0" w:color="auto"/>
            </w:tcBorders>
            <w:vAlign w:val="center"/>
            <w:hideMark/>
          </w:tcPr>
          <w:p w14:paraId="27F8927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E2025013240</w:t>
            </w:r>
          </w:p>
        </w:tc>
        <w:tc>
          <w:tcPr>
            <w:tcW w:w="366" w:type="pct"/>
            <w:tcBorders>
              <w:top w:val="nil"/>
              <w:left w:val="nil"/>
              <w:bottom w:val="single" w:sz="4" w:space="0" w:color="auto"/>
              <w:right w:val="single" w:sz="4" w:space="0" w:color="auto"/>
            </w:tcBorders>
            <w:vAlign w:val="center"/>
            <w:hideMark/>
          </w:tcPr>
          <w:p w14:paraId="0617130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CAC</w:t>
            </w:r>
          </w:p>
        </w:tc>
        <w:tc>
          <w:tcPr>
            <w:tcW w:w="1804" w:type="pct"/>
            <w:tcBorders>
              <w:top w:val="nil"/>
              <w:left w:val="nil"/>
              <w:bottom w:val="single" w:sz="4" w:space="0" w:color="auto"/>
              <w:right w:val="single" w:sz="4" w:space="0" w:color="auto"/>
            </w:tcBorders>
            <w:vAlign w:val="center"/>
            <w:hideMark/>
          </w:tcPr>
          <w:p w14:paraId="3E41D7C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Recomendamos que el mecanismo para la recuperación de los costos por compras de energía que realizan por los comercializadores a los AC y GDC, que se trasladan en función del precio de bolsa, se desarrolle de manera completa dentro del articulado de la resolución actualmente en discusión. En consecuencia, sugerimos que se especifique de manera más clara la metodología aplicable a estas figuras, y así no remitirse –como se indica en el Artículo 1 “(…) donde corresponda”– a una resolución cuyo alcance puede entenderse que es diferente.</w:t>
            </w:r>
          </w:p>
        </w:tc>
        <w:tc>
          <w:tcPr>
            <w:tcW w:w="745" w:type="pct"/>
            <w:tcBorders>
              <w:top w:val="nil"/>
              <w:left w:val="nil"/>
              <w:bottom w:val="single" w:sz="4" w:space="0" w:color="auto"/>
              <w:right w:val="single" w:sz="4" w:space="0" w:color="auto"/>
            </w:tcBorders>
            <w:vAlign w:val="center"/>
            <w:hideMark/>
          </w:tcPr>
          <w:p w14:paraId="7F00884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5279A79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al comentario 34.</w:t>
            </w:r>
          </w:p>
        </w:tc>
      </w:tr>
      <w:tr w:rsidR="00651E5A" w:rsidRPr="007E63A2" w14:paraId="24A5E1E3"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14445A0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40</w:t>
            </w:r>
          </w:p>
        </w:tc>
        <w:tc>
          <w:tcPr>
            <w:tcW w:w="414" w:type="pct"/>
            <w:tcBorders>
              <w:top w:val="nil"/>
              <w:left w:val="nil"/>
              <w:bottom w:val="single" w:sz="4" w:space="0" w:color="auto"/>
              <w:right w:val="single" w:sz="4" w:space="0" w:color="auto"/>
            </w:tcBorders>
            <w:vAlign w:val="center"/>
            <w:hideMark/>
          </w:tcPr>
          <w:p w14:paraId="1D3D64B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E2025013240</w:t>
            </w:r>
          </w:p>
        </w:tc>
        <w:tc>
          <w:tcPr>
            <w:tcW w:w="366" w:type="pct"/>
            <w:tcBorders>
              <w:top w:val="nil"/>
              <w:left w:val="nil"/>
              <w:bottom w:val="single" w:sz="4" w:space="0" w:color="auto"/>
              <w:right w:val="single" w:sz="4" w:space="0" w:color="auto"/>
            </w:tcBorders>
            <w:vAlign w:val="center"/>
            <w:hideMark/>
          </w:tcPr>
          <w:p w14:paraId="574E0C4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CAC</w:t>
            </w:r>
          </w:p>
        </w:tc>
        <w:tc>
          <w:tcPr>
            <w:tcW w:w="1804" w:type="pct"/>
            <w:tcBorders>
              <w:top w:val="nil"/>
              <w:left w:val="nil"/>
              <w:bottom w:val="single" w:sz="4" w:space="0" w:color="auto"/>
              <w:right w:val="single" w:sz="4" w:space="0" w:color="auto"/>
            </w:tcBorders>
            <w:vAlign w:val="center"/>
            <w:hideMark/>
          </w:tcPr>
          <w:p w14:paraId="683A28C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Consideramos que es necesario limitar la vigencia del periodo transitorio. Actualmente, con la expedición de la Resolución CREG 101_072 de 2025, los usuarios esperan el reconocimiento de excedentes al valor del Mcm. La aplicación de un esquema provisional del precio de bolsa horario introduce diferencias frente a la norma vigente. Recomendamos, en consecuencia, que prontamente se establezca un plazo concreto para la transición, acompañado de la respectiva modificación del componente de </w:t>
            </w:r>
            <w:r w:rsidRPr="007E63A2">
              <w:rPr>
                <w:rFonts w:ascii="Calibri" w:hAnsi="Calibri" w:cs="Calibri"/>
                <w:color w:val="000000"/>
                <w:sz w:val="16"/>
                <w:szCs w:val="16"/>
                <w:lang w:eastAsia="zh-CN"/>
              </w:rPr>
              <w:lastRenderedPageBreak/>
              <w:t>generación (Gm) requerida para su traslado al costo unitario de prestación del servicio.</w:t>
            </w:r>
          </w:p>
        </w:tc>
        <w:tc>
          <w:tcPr>
            <w:tcW w:w="745" w:type="pct"/>
            <w:tcBorders>
              <w:top w:val="nil"/>
              <w:left w:val="nil"/>
              <w:bottom w:val="single" w:sz="4" w:space="0" w:color="auto"/>
              <w:right w:val="single" w:sz="4" w:space="0" w:color="auto"/>
            </w:tcBorders>
            <w:vAlign w:val="center"/>
            <w:hideMark/>
          </w:tcPr>
          <w:p w14:paraId="1A3A64F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w:t>
            </w:r>
          </w:p>
        </w:tc>
        <w:tc>
          <w:tcPr>
            <w:tcW w:w="1521" w:type="pct"/>
            <w:tcBorders>
              <w:top w:val="nil"/>
              <w:left w:val="nil"/>
              <w:bottom w:val="single" w:sz="4" w:space="0" w:color="auto"/>
              <w:right w:val="single" w:sz="4" w:space="0" w:color="auto"/>
            </w:tcBorders>
            <w:vAlign w:val="center"/>
            <w:hideMark/>
          </w:tcPr>
          <w:p w14:paraId="4D3FD39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al comentario 1.</w:t>
            </w:r>
          </w:p>
        </w:tc>
      </w:tr>
      <w:tr w:rsidR="00651E5A" w:rsidRPr="007E63A2" w14:paraId="3FF17AC5"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0AD78F9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41</w:t>
            </w:r>
          </w:p>
        </w:tc>
        <w:tc>
          <w:tcPr>
            <w:tcW w:w="414" w:type="pct"/>
            <w:tcBorders>
              <w:top w:val="nil"/>
              <w:left w:val="nil"/>
              <w:bottom w:val="single" w:sz="4" w:space="0" w:color="auto"/>
              <w:right w:val="single" w:sz="4" w:space="0" w:color="auto"/>
            </w:tcBorders>
            <w:vAlign w:val="center"/>
            <w:hideMark/>
          </w:tcPr>
          <w:p w14:paraId="0AAD653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E2025013240</w:t>
            </w:r>
          </w:p>
        </w:tc>
        <w:tc>
          <w:tcPr>
            <w:tcW w:w="366" w:type="pct"/>
            <w:tcBorders>
              <w:top w:val="nil"/>
              <w:left w:val="nil"/>
              <w:bottom w:val="single" w:sz="4" w:space="0" w:color="auto"/>
              <w:right w:val="single" w:sz="4" w:space="0" w:color="auto"/>
            </w:tcBorders>
            <w:vAlign w:val="center"/>
            <w:hideMark/>
          </w:tcPr>
          <w:p w14:paraId="390F8C2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CAC</w:t>
            </w:r>
          </w:p>
        </w:tc>
        <w:tc>
          <w:tcPr>
            <w:tcW w:w="1804" w:type="pct"/>
            <w:tcBorders>
              <w:top w:val="nil"/>
              <w:left w:val="nil"/>
              <w:bottom w:val="single" w:sz="4" w:space="0" w:color="auto"/>
              <w:right w:val="single" w:sz="4" w:space="0" w:color="auto"/>
            </w:tcBorders>
            <w:vAlign w:val="center"/>
            <w:hideMark/>
          </w:tcPr>
          <w:p w14:paraId="2481547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Mientras la Comisión adelanta la revisión de la metodología de distribución, consideramos conveniente armonizar transitoriamente el tratamiento de energía reactiva en comunidades energéticas, en línea con las disposiciones del Decreto MME 929 de 2023.</w:t>
            </w:r>
          </w:p>
        </w:tc>
        <w:tc>
          <w:tcPr>
            <w:tcW w:w="745" w:type="pct"/>
            <w:tcBorders>
              <w:top w:val="nil"/>
              <w:left w:val="nil"/>
              <w:bottom w:val="single" w:sz="4" w:space="0" w:color="auto"/>
              <w:right w:val="single" w:sz="4" w:space="0" w:color="auto"/>
            </w:tcBorders>
            <w:vAlign w:val="center"/>
            <w:hideMark/>
          </w:tcPr>
          <w:p w14:paraId="10933DD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7BB73EC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 la pregunta número 26.</w:t>
            </w:r>
          </w:p>
        </w:tc>
      </w:tr>
      <w:tr w:rsidR="00651E5A" w:rsidRPr="007E63A2" w14:paraId="38C23115"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2DFF9CE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42</w:t>
            </w:r>
          </w:p>
        </w:tc>
        <w:tc>
          <w:tcPr>
            <w:tcW w:w="414" w:type="pct"/>
            <w:tcBorders>
              <w:top w:val="nil"/>
              <w:left w:val="nil"/>
              <w:bottom w:val="single" w:sz="4" w:space="0" w:color="auto"/>
              <w:right w:val="single" w:sz="4" w:space="0" w:color="auto"/>
            </w:tcBorders>
            <w:vAlign w:val="center"/>
            <w:hideMark/>
          </w:tcPr>
          <w:p w14:paraId="423217E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E2025013240</w:t>
            </w:r>
          </w:p>
        </w:tc>
        <w:tc>
          <w:tcPr>
            <w:tcW w:w="366" w:type="pct"/>
            <w:tcBorders>
              <w:top w:val="nil"/>
              <w:left w:val="nil"/>
              <w:bottom w:val="single" w:sz="4" w:space="0" w:color="auto"/>
              <w:right w:val="single" w:sz="4" w:space="0" w:color="auto"/>
            </w:tcBorders>
            <w:vAlign w:val="center"/>
            <w:hideMark/>
          </w:tcPr>
          <w:p w14:paraId="16CB497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CAC</w:t>
            </w:r>
          </w:p>
        </w:tc>
        <w:tc>
          <w:tcPr>
            <w:tcW w:w="1804" w:type="pct"/>
            <w:tcBorders>
              <w:top w:val="nil"/>
              <w:left w:val="nil"/>
              <w:bottom w:val="single" w:sz="4" w:space="0" w:color="auto"/>
              <w:right w:val="single" w:sz="4" w:space="0" w:color="auto"/>
            </w:tcBorders>
            <w:vAlign w:val="center"/>
            <w:hideMark/>
          </w:tcPr>
          <w:p w14:paraId="0FCF1B1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Teniendo en cuenta los ajustes que deberán realizarse a los sistemas comerciales de los agentes comercializadores para implementar los parámetros de liquidación para AGPE, GD, AC y GDC que se expidan en la resolución definitiva, y considerando que se trata de una metodología por conocer, sugerimos que su aplicación sea exigible a partir del tercer mes posterior a su entrada en vigencia.</w:t>
            </w:r>
          </w:p>
        </w:tc>
        <w:tc>
          <w:tcPr>
            <w:tcW w:w="745" w:type="pct"/>
            <w:tcBorders>
              <w:top w:val="nil"/>
              <w:left w:val="nil"/>
              <w:bottom w:val="single" w:sz="4" w:space="0" w:color="auto"/>
              <w:right w:val="single" w:sz="4" w:space="0" w:color="auto"/>
            </w:tcBorders>
            <w:vAlign w:val="center"/>
            <w:hideMark/>
          </w:tcPr>
          <w:p w14:paraId="174E798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3897F5E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acoge el comentario. Ver respuesta a comentario 31.</w:t>
            </w:r>
          </w:p>
        </w:tc>
      </w:tr>
      <w:tr w:rsidR="00651E5A" w:rsidRPr="007E63A2" w14:paraId="73B4A227"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0CE1BE0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43</w:t>
            </w:r>
          </w:p>
        </w:tc>
        <w:tc>
          <w:tcPr>
            <w:tcW w:w="414" w:type="pct"/>
            <w:tcBorders>
              <w:top w:val="nil"/>
              <w:left w:val="nil"/>
              <w:bottom w:val="single" w:sz="4" w:space="0" w:color="auto"/>
              <w:right w:val="single" w:sz="4" w:space="0" w:color="auto"/>
            </w:tcBorders>
            <w:vAlign w:val="center"/>
            <w:hideMark/>
          </w:tcPr>
          <w:p w14:paraId="4B43223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E2025013240</w:t>
            </w:r>
          </w:p>
        </w:tc>
        <w:tc>
          <w:tcPr>
            <w:tcW w:w="366" w:type="pct"/>
            <w:tcBorders>
              <w:top w:val="nil"/>
              <w:left w:val="nil"/>
              <w:bottom w:val="single" w:sz="4" w:space="0" w:color="auto"/>
              <w:right w:val="single" w:sz="4" w:space="0" w:color="auto"/>
            </w:tcBorders>
            <w:vAlign w:val="center"/>
            <w:hideMark/>
          </w:tcPr>
          <w:p w14:paraId="6984DA3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CAC</w:t>
            </w:r>
          </w:p>
        </w:tc>
        <w:tc>
          <w:tcPr>
            <w:tcW w:w="1804" w:type="pct"/>
            <w:tcBorders>
              <w:top w:val="nil"/>
              <w:left w:val="nil"/>
              <w:bottom w:val="single" w:sz="4" w:space="0" w:color="auto"/>
              <w:right w:val="single" w:sz="4" w:space="0" w:color="auto"/>
            </w:tcBorders>
            <w:vAlign w:val="center"/>
            <w:hideMark/>
          </w:tcPr>
          <w:p w14:paraId="28B382D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Frente a los impactos derivados del traslado de compras de AGPE, GD, AC y GDC a través del componente Gm, identificados por la CREG, estimamos que no se trata de una deficiencia intrínseca de la señal del Mcm, sino de la exposición propia de cada comercializador y de su capacidad de gestión de riesgos. En este sentido, las eventuales sobre o subremuneraciones dependen más de la estructura de mercado y de las estrategias de cobertura de cada agente, que de la pertinencia de aplicar el Mcm.</w:t>
            </w:r>
          </w:p>
        </w:tc>
        <w:tc>
          <w:tcPr>
            <w:tcW w:w="745" w:type="pct"/>
            <w:tcBorders>
              <w:top w:val="nil"/>
              <w:left w:val="nil"/>
              <w:bottom w:val="single" w:sz="4" w:space="0" w:color="auto"/>
              <w:right w:val="single" w:sz="4" w:space="0" w:color="auto"/>
            </w:tcBorders>
            <w:vAlign w:val="center"/>
            <w:hideMark/>
          </w:tcPr>
          <w:p w14:paraId="09AE267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7905EF2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al comentario  29.</w:t>
            </w:r>
          </w:p>
        </w:tc>
      </w:tr>
      <w:tr w:rsidR="00651E5A" w:rsidRPr="007E63A2" w14:paraId="3DA391EF" w14:textId="77777777" w:rsidTr="00651E5A">
        <w:trPr>
          <w:trHeight w:val="1160"/>
        </w:trPr>
        <w:tc>
          <w:tcPr>
            <w:tcW w:w="151" w:type="pct"/>
            <w:tcBorders>
              <w:top w:val="nil"/>
              <w:left w:val="single" w:sz="4" w:space="0" w:color="auto"/>
              <w:bottom w:val="single" w:sz="4" w:space="0" w:color="auto"/>
              <w:right w:val="single" w:sz="4" w:space="0" w:color="auto"/>
            </w:tcBorders>
            <w:vAlign w:val="center"/>
            <w:hideMark/>
          </w:tcPr>
          <w:p w14:paraId="73BD9D1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44</w:t>
            </w:r>
          </w:p>
        </w:tc>
        <w:tc>
          <w:tcPr>
            <w:tcW w:w="414" w:type="pct"/>
            <w:tcBorders>
              <w:top w:val="nil"/>
              <w:left w:val="nil"/>
              <w:bottom w:val="single" w:sz="4" w:space="0" w:color="auto"/>
              <w:right w:val="single" w:sz="4" w:space="0" w:color="auto"/>
            </w:tcBorders>
            <w:vAlign w:val="center"/>
            <w:hideMark/>
          </w:tcPr>
          <w:p w14:paraId="4C405CF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E2025013243</w:t>
            </w:r>
          </w:p>
        </w:tc>
        <w:tc>
          <w:tcPr>
            <w:tcW w:w="366" w:type="pct"/>
            <w:tcBorders>
              <w:top w:val="nil"/>
              <w:left w:val="nil"/>
              <w:bottom w:val="single" w:sz="4" w:space="0" w:color="auto"/>
              <w:right w:val="single" w:sz="4" w:space="0" w:color="auto"/>
            </w:tcBorders>
            <w:vAlign w:val="center"/>
            <w:hideMark/>
          </w:tcPr>
          <w:p w14:paraId="5C3C237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ANDESCO</w:t>
            </w:r>
          </w:p>
        </w:tc>
        <w:tc>
          <w:tcPr>
            <w:tcW w:w="1804" w:type="pct"/>
            <w:tcBorders>
              <w:top w:val="nil"/>
              <w:left w:val="nil"/>
              <w:bottom w:val="single" w:sz="4" w:space="0" w:color="auto"/>
              <w:right w:val="single" w:sz="4" w:space="0" w:color="auto"/>
            </w:tcBorders>
            <w:vAlign w:val="center"/>
            <w:hideMark/>
          </w:tcPr>
          <w:p w14:paraId="0A293FA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 primer lugar, valoramos el esfuerzo de la Comisión por armonizar este proyecto con la regulación vigente y en revisión en materia de autogeneración remota, generación distribuida y comunidades energéticas, así como los avances en cuanto a la vigencia de los contratos y la inclusión de casos específicos como lo dispuesto en el artículo 13 para plantas no FNCER.</w:t>
            </w:r>
          </w:p>
        </w:tc>
        <w:tc>
          <w:tcPr>
            <w:tcW w:w="745" w:type="pct"/>
            <w:tcBorders>
              <w:top w:val="nil"/>
              <w:left w:val="nil"/>
              <w:bottom w:val="single" w:sz="4" w:space="0" w:color="auto"/>
              <w:right w:val="single" w:sz="4" w:space="0" w:color="auto"/>
            </w:tcBorders>
            <w:vAlign w:val="center"/>
            <w:hideMark/>
          </w:tcPr>
          <w:p w14:paraId="6B7AF48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6704C91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El comentario no requiere respuesta</w:t>
            </w:r>
          </w:p>
        </w:tc>
      </w:tr>
      <w:tr w:rsidR="00651E5A" w:rsidRPr="007E63A2" w14:paraId="3E51A1CF" w14:textId="77777777" w:rsidTr="00A747ED">
        <w:trPr>
          <w:trHeight w:val="4365"/>
        </w:trPr>
        <w:tc>
          <w:tcPr>
            <w:tcW w:w="151" w:type="pct"/>
            <w:tcBorders>
              <w:top w:val="nil"/>
              <w:left w:val="single" w:sz="4" w:space="0" w:color="auto"/>
              <w:bottom w:val="single" w:sz="4" w:space="0" w:color="auto"/>
              <w:right w:val="single" w:sz="4" w:space="0" w:color="auto"/>
            </w:tcBorders>
            <w:vAlign w:val="center"/>
            <w:hideMark/>
          </w:tcPr>
          <w:p w14:paraId="47224D1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45</w:t>
            </w:r>
          </w:p>
        </w:tc>
        <w:tc>
          <w:tcPr>
            <w:tcW w:w="414" w:type="pct"/>
            <w:tcBorders>
              <w:top w:val="nil"/>
              <w:left w:val="nil"/>
              <w:bottom w:val="single" w:sz="4" w:space="0" w:color="auto"/>
              <w:right w:val="single" w:sz="4" w:space="0" w:color="auto"/>
            </w:tcBorders>
            <w:vAlign w:val="center"/>
            <w:hideMark/>
          </w:tcPr>
          <w:p w14:paraId="09F498A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E2025013243</w:t>
            </w:r>
          </w:p>
        </w:tc>
        <w:tc>
          <w:tcPr>
            <w:tcW w:w="366" w:type="pct"/>
            <w:tcBorders>
              <w:top w:val="nil"/>
              <w:left w:val="nil"/>
              <w:bottom w:val="single" w:sz="4" w:space="0" w:color="auto"/>
              <w:right w:val="single" w:sz="4" w:space="0" w:color="auto"/>
            </w:tcBorders>
            <w:vAlign w:val="center"/>
            <w:hideMark/>
          </w:tcPr>
          <w:p w14:paraId="079190C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ANDESCO</w:t>
            </w:r>
          </w:p>
        </w:tc>
        <w:tc>
          <w:tcPr>
            <w:tcW w:w="1804" w:type="pct"/>
            <w:tcBorders>
              <w:top w:val="nil"/>
              <w:left w:val="nil"/>
              <w:bottom w:val="single" w:sz="4" w:space="0" w:color="auto"/>
              <w:right w:val="single" w:sz="4" w:space="0" w:color="auto"/>
            </w:tcBorders>
            <w:vAlign w:val="center"/>
            <w:hideMark/>
          </w:tcPr>
          <w:p w14:paraId="766B955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 el texto del proyecto de resolución se advierte una remisión sucesiva entre anexos y artículos. Este es el caso del articulado principal al Anexo 2 de la Resolución CREG 101 072 de 2025, luego al artículo 27 de la Resolución CREG 174 de 2021 y finalmente al Anexo 1 de esta última; lo anterior, sin que se establezca de manera directa cómo opera el mecanismo de traslado de compras a precio de bolsa en los casos de autogeneración colectiva y generación distribuida colectiva. Esta redacción puede dar lugar a múltiples interpretaciones, lo cual genera incertidumbre tanto para los comercializadores como para los usuarios.</w:t>
            </w:r>
            <w:r w:rsidRPr="007E63A2">
              <w:rPr>
                <w:rFonts w:ascii="Calibri" w:hAnsi="Calibri" w:cs="Calibri"/>
                <w:color w:val="000000"/>
                <w:sz w:val="16"/>
                <w:szCs w:val="16"/>
                <w:lang w:eastAsia="zh-CN"/>
              </w:rPr>
              <w:br/>
              <w:t xml:space="preserve">Por tal motivo, consideramos necesario que la Comisión incluya en el texto definitivo una disposición explícita sobre este procedimiento. </w:t>
            </w:r>
          </w:p>
        </w:tc>
        <w:tc>
          <w:tcPr>
            <w:tcW w:w="745" w:type="pct"/>
            <w:tcBorders>
              <w:top w:val="nil"/>
              <w:left w:val="nil"/>
              <w:bottom w:val="single" w:sz="4" w:space="0" w:color="auto"/>
              <w:right w:val="single" w:sz="4" w:space="0" w:color="auto"/>
            </w:tcBorders>
            <w:vAlign w:val="center"/>
            <w:hideMark/>
          </w:tcPr>
          <w:p w14:paraId="184CA77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Esto puede lograrse bien sea mediante la modificación del Anexo 1 de la resolución para integrar las variables y condiciones aplicables a estas figuras, o a través de la creación de un capítulo específico que detalle el mecanismo de traslado de compras a precio de bolsa, sus condiciones de transición y su aplicación en escenarios de autogeneración y generación distribuida colectiva.</w:t>
            </w:r>
            <w:r w:rsidRPr="007E63A2">
              <w:rPr>
                <w:rFonts w:ascii="Calibri" w:hAnsi="Calibri" w:cs="Calibri"/>
                <w:color w:val="000000"/>
                <w:sz w:val="16"/>
                <w:szCs w:val="16"/>
                <w:lang w:eastAsia="zh-CN"/>
              </w:rPr>
              <w:br/>
              <w:t>De esta manera se garantizaría seguridad jurídica, homogeneidad en la interpretación y consistencia en la aplicación práctica, evitando vacíos regulatorios que puedan impactar de forma negativa la implementación de la resolución o generar conflictos contractuales entre agentes y usuarios.</w:t>
            </w:r>
          </w:p>
        </w:tc>
        <w:tc>
          <w:tcPr>
            <w:tcW w:w="1521" w:type="pct"/>
            <w:tcBorders>
              <w:top w:val="nil"/>
              <w:left w:val="nil"/>
              <w:bottom w:val="single" w:sz="4" w:space="0" w:color="auto"/>
              <w:right w:val="single" w:sz="4" w:space="0" w:color="auto"/>
            </w:tcBorders>
            <w:vAlign w:val="center"/>
            <w:hideMark/>
          </w:tcPr>
          <w:p w14:paraId="4FC11BBB" w14:textId="5C748C63"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Agradecemos remitirse a la respuesta dada al comentario 34. </w:t>
            </w:r>
            <w:r w:rsidRPr="007E63A2">
              <w:rPr>
                <w:rFonts w:ascii="Calibri" w:hAnsi="Calibri" w:cs="Calibri"/>
                <w:color w:val="000000"/>
                <w:sz w:val="16"/>
                <w:szCs w:val="16"/>
                <w:lang w:eastAsia="zh-CN"/>
              </w:rPr>
              <w:br/>
              <w:t xml:space="preserve">También es necesario mencionar que la </w:t>
            </w:r>
            <w:r w:rsidR="00651E5A" w:rsidRPr="007E63A2">
              <w:rPr>
                <w:rFonts w:ascii="Calibri" w:hAnsi="Calibri" w:cs="Calibri"/>
                <w:color w:val="000000"/>
                <w:sz w:val="16"/>
                <w:szCs w:val="16"/>
                <w:lang w:eastAsia="zh-CN"/>
              </w:rPr>
              <w:t>construcción</w:t>
            </w:r>
            <w:r w:rsidRPr="007E63A2">
              <w:rPr>
                <w:rFonts w:ascii="Calibri" w:hAnsi="Calibri" w:cs="Calibri"/>
                <w:color w:val="000000"/>
                <w:sz w:val="16"/>
                <w:szCs w:val="16"/>
                <w:lang w:eastAsia="zh-CN"/>
              </w:rPr>
              <w:t xml:space="preserve"> y </w:t>
            </w:r>
            <w:r w:rsidR="00651E5A" w:rsidRPr="007E63A2">
              <w:rPr>
                <w:rFonts w:ascii="Calibri" w:hAnsi="Calibri" w:cs="Calibri"/>
                <w:color w:val="000000"/>
                <w:sz w:val="16"/>
                <w:szCs w:val="16"/>
                <w:lang w:eastAsia="zh-CN"/>
              </w:rPr>
              <w:t>publicación</w:t>
            </w:r>
            <w:r w:rsidRPr="007E63A2">
              <w:rPr>
                <w:rFonts w:ascii="Calibri" w:hAnsi="Calibri" w:cs="Calibri"/>
                <w:color w:val="000000"/>
                <w:sz w:val="16"/>
                <w:szCs w:val="16"/>
                <w:lang w:eastAsia="zh-CN"/>
              </w:rPr>
              <w:t xml:space="preserve"> de la </w:t>
            </w:r>
            <w:r w:rsidR="00651E5A" w:rsidRPr="007E63A2">
              <w:rPr>
                <w:rFonts w:ascii="Calibri" w:hAnsi="Calibri" w:cs="Calibri"/>
                <w:color w:val="000000"/>
                <w:sz w:val="16"/>
                <w:szCs w:val="16"/>
                <w:lang w:eastAsia="zh-CN"/>
              </w:rPr>
              <w:t>metodología</w:t>
            </w:r>
            <w:r w:rsidRPr="007E63A2">
              <w:rPr>
                <w:rFonts w:ascii="Calibri" w:hAnsi="Calibri" w:cs="Calibri"/>
                <w:color w:val="000000"/>
                <w:sz w:val="16"/>
                <w:szCs w:val="16"/>
                <w:lang w:eastAsia="zh-CN"/>
              </w:rPr>
              <w:t xml:space="preserve"> para el traslado de compras con el Mc se encuentra en la agenda regulatoria indicativa de la Comisión, la cual se espera que sea publicada prontamente. </w:t>
            </w:r>
          </w:p>
        </w:tc>
      </w:tr>
      <w:tr w:rsidR="00651E5A" w:rsidRPr="007E63A2" w14:paraId="678795BB" w14:textId="77777777" w:rsidTr="00651E5A">
        <w:trPr>
          <w:trHeight w:val="1160"/>
        </w:trPr>
        <w:tc>
          <w:tcPr>
            <w:tcW w:w="151" w:type="pct"/>
            <w:tcBorders>
              <w:top w:val="nil"/>
              <w:left w:val="single" w:sz="4" w:space="0" w:color="auto"/>
              <w:bottom w:val="single" w:sz="4" w:space="0" w:color="auto"/>
              <w:right w:val="single" w:sz="4" w:space="0" w:color="auto"/>
            </w:tcBorders>
            <w:vAlign w:val="center"/>
            <w:hideMark/>
          </w:tcPr>
          <w:p w14:paraId="5CB969F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46</w:t>
            </w:r>
          </w:p>
        </w:tc>
        <w:tc>
          <w:tcPr>
            <w:tcW w:w="414" w:type="pct"/>
            <w:tcBorders>
              <w:top w:val="nil"/>
              <w:left w:val="nil"/>
              <w:bottom w:val="single" w:sz="4" w:space="0" w:color="auto"/>
              <w:right w:val="single" w:sz="4" w:space="0" w:color="auto"/>
            </w:tcBorders>
            <w:vAlign w:val="center"/>
            <w:hideMark/>
          </w:tcPr>
          <w:p w14:paraId="5023654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E2025013243</w:t>
            </w:r>
          </w:p>
        </w:tc>
        <w:tc>
          <w:tcPr>
            <w:tcW w:w="366" w:type="pct"/>
            <w:tcBorders>
              <w:top w:val="nil"/>
              <w:left w:val="nil"/>
              <w:bottom w:val="single" w:sz="4" w:space="0" w:color="auto"/>
              <w:right w:val="single" w:sz="4" w:space="0" w:color="auto"/>
            </w:tcBorders>
            <w:vAlign w:val="center"/>
            <w:hideMark/>
          </w:tcPr>
          <w:p w14:paraId="78F0226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ANDESCO</w:t>
            </w:r>
          </w:p>
        </w:tc>
        <w:tc>
          <w:tcPr>
            <w:tcW w:w="1804" w:type="pct"/>
            <w:tcBorders>
              <w:top w:val="nil"/>
              <w:left w:val="nil"/>
              <w:bottom w:val="single" w:sz="4" w:space="0" w:color="auto"/>
              <w:right w:val="single" w:sz="4" w:space="0" w:color="auto"/>
            </w:tcBorders>
            <w:vAlign w:val="center"/>
            <w:hideMark/>
          </w:tcPr>
          <w:p w14:paraId="2F641D8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proyecto establece que, una vez expedida la resolución para el traslado de compras en función del Mc, comenzará a aplicarse a partir del mes siguiente de su expedición. Consideramos que este plazo resulta muy estrecho, dado que las empresas requieren desarrollar adecuaciones tecnológicas, procesos internos y capacitaciones. </w:t>
            </w:r>
          </w:p>
        </w:tc>
        <w:tc>
          <w:tcPr>
            <w:tcW w:w="745" w:type="pct"/>
            <w:tcBorders>
              <w:top w:val="nil"/>
              <w:left w:val="nil"/>
              <w:bottom w:val="single" w:sz="4" w:space="0" w:color="auto"/>
              <w:right w:val="single" w:sz="4" w:space="0" w:color="auto"/>
            </w:tcBorders>
            <w:vAlign w:val="center"/>
            <w:hideMark/>
          </w:tcPr>
          <w:p w14:paraId="2ECCF3A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 esta línea, proponemos ampliar el periodo de implementación al menos a tres (3) meses posteriores a la expedición de la resolución, garantizando así una adecuada adaptación y cumplimiento.</w:t>
            </w:r>
          </w:p>
        </w:tc>
        <w:tc>
          <w:tcPr>
            <w:tcW w:w="1521" w:type="pct"/>
            <w:tcBorders>
              <w:top w:val="nil"/>
              <w:left w:val="nil"/>
              <w:bottom w:val="single" w:sz="4" w:space="0" w:color="auto"/>
              <w:right w:val="single" w:sz="4" w:space="0" w:color="auto"/>
            </w:tcBorders>
            <w:vAlign w:val="center"/>
            <w:hideMark/>
          </w:tcPr>
          <w:p w14:paraId="07ABDE9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acoge el comentario. Ver respuesta a comentario 31.</w:t>
            </w:r>
          </w:p>
        </w:tc>
      </w:tr>
      <w:tr w:rsidR="00651E5A" w:rsidRPr="007E63A2" w14:paraId="63C1E3E5" w14:textId="77777777" w:rsidTr="00A747ED">
        <w:trPr>
          <w:trHeight w:val="963"/>
        </w:trPr>
        <w:tc>
          <w:tcPr>
            <w:tcW w:w="151" w:type="pct"/>
            <w:tcBorders>
              <w:top w:val="nil"/>
              <w:left w:val="single" w:sz="4" w:space="0" w:color="auto"/>
              <w:bottom w:val="single" w:sz="4" w:space="0" w:color="auto"/>
              <w:right w:val="single" w:sz="4" w:space="0" w:color="auto"/>
            </w:tcBorders>
            <w:vAlign w:val="center"/>
            <w:hideMark/>
          </w:tcPr>
          <w:p w14:paraId="5788145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47</w:t>
            </w:r>
          </w:p>
        </w:tc>
        <w:tc>
          <w:tcPr>
            <w:tcW w:w="414" w:type="pct"/>
            <w:tcBorders>
              <w:top w:val="nil"/>
              <w:left w:val="nil"/>
              <w:bottom w:val="single" w:sz="4" w:space="0" w:color="auto"/>
              <w:right w:val="single" w:sz="4" w:space="0" w:color="auto"/>
            </w:tcBorders>
            <w:vAlign w:val="center"/>
            <w:hideMark/>
          </w:tcPr>
          <w:p w14:paraId="1A80BBD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E2025013243</w:t>
            </w:r>
          </w:p>
        </w:tc>
        <w:tc>
          <w:tcPr>
            <w:tcW w:w="366" w:type="pct"/>
            <w:tcBorders>
              <w:top w:val="nil"/>
              <w:left w:val="nil"/>
              <w:bottom w:val="single" w:sz="4" w:space="0" w:color="auto"/>
              <w:right w:val="single" w:sz="4" w:space="0" w:color="auto"/>
            </w:tcBorders>
            <w:vAlign w:val="center"/>
            <w:hideMark/>
          </w:tcPr>
          <w:p w14:paraId="57B34BC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ANDESCO</w:t>
            </w:r>
          </w:p>
        </w:tc>
        <w:tc>
          <w:tcPr>
            <w:tcW w:w="1804" w:type="pct"/>
            <w:tcBorders>
              <w:top w:val="nil"/>
              <w:left w:val="nil"/>
              <w:bottom w:val="single" w:sz="4" w:space="0" w:color="auto"/>
              <w:right w:val="single" w:sz="4" w:space="0" w:color="auto"/>
            </w:tcBorders>
            <w:vAlign w:val="center"/>
            <w:hideMark/>
          </w:tcPr>
          <w:p w14:paraId="146FB46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 relación con el uso de preguntas y respuestas como insumo en el documento soporte del proyecto de resolución, reconocemos la utilidad de este mecanismo de diálogo y agradecemos la inclusión de las inquietudes planteadas en la reunión sostenida sobre este asunto en el marco de la Cámara de Energía y Gas de Andesco. Sin embargo, observamos que las respuestas abordadas no se integran en su totalidad en el articulado del proyecto de resolución, al quedar únicamente consignadas en el documento anexo, por lo cual carecen de fuerza vinculante.</w:t>
            </w:r>
          </w:p>
        </w:tc>
        <w:tc>
          <w:tcPr>
            <w:tcW w:w="745" w:type="pct"/>
            <w:tcBorders>
              <w:top w:val="nil"/>
              <w:left w:val="nil"/>
              <w:bottom w:val="single" w:sz="4" w:space="0" w:color="auto"/>
              <w:right w:val="single" w:sz="4" w:space="0" w:color="auto"/>
            </w:tcBorders>
            <w:vAlign w:val="center"/>
            <w:hideMark/>
          </w:tcPr>
          <w:p w14:paraId="1C682DA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Consideramos que las principales aclaraciones y precisiones derivadas de este ejercicio de interacción deberían incorporarse en el articulado definitivo de la resolución. De esta manera, se evitaría que la interpretación de aspectos críticos dependa de un documento no vinculante, lo que podría dar lugar a diferencias en la aplicación práctica entre los agentes del mercado.</w:t>
            </w:r>
          </w:p>
        </w:tc>
        <w:tc>
          <w:tcPr>
            <w:tcW w:w="1521" w:type="pct"/>
            <w:tcBorders>
              <w:top w:val="nil"/>
              <w:left w:val="nil"/>
              <w:bottom w:val="single" w:sz="4" w:space="0" w:color="auto"/>
              <w:right w:val="single" w:sz="4" w:space="0" w:color="auto"/>
            </w:tcBorders>
            <w:vAlign w:val="center"/>
            <w:hideMark/>
          </w:tcPr>
          <w:p w14:paraId="63AC4AE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Comisión publicará las respuestas dadas a los comentarios que surgieron en el espacio de ANDESCO donde la CREG participó a través de una comunicación oficial.</w:t>
            </w:r>
          </w:p>
        </w:tc>
      </w:tr>
      <w:tr w:rsidR="00651E5A" w:rsidRPr="007E63A2" w14:paraId="1ACFB410" w14:textId="77777777" w:rsidTr="00651E5A">
        <w:trPr>
          <w:trHeight w:val="1160"/>
        </w:trPr>
        <w:tc>
          <w:tcPr>
            <w:tcW w:w="151" w:type="pct"/>
            <w:tcBorders>
              <w:top w:val="nil"/>
              <w:left w:val="single" w:sz="4" w:space="0" w:color="auto"/>
              <w:bottom w:val="single" w:sz="4" w:space="0" w:color="auto"/>
              <w:right w:val="single" w:sz="4" w:space="0" w:color="auto"/>
            </w:tcBorders>
            <w:vAlign w:val="center"/>
            <w:hideMark/>
          </w:tcPr>
          <w:p w14:paraId="2050A49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48</w:t>
            </w:r>
          </w:p>
        </w:tc>
        <w:tc>
          <w:tcPr>
            <w:tcW w:w="414" w:type="pct"/>
            <w:tcBorders>
              <w:top w:val="nil"/>
              <w:left w:val="nil"/>
              <w:bottom w:val="single" w:sz="4" w:space="0" w:color="auto"/>
              <w:right w:val="single" w:sz="4" w:space="0" w:color="auto"/>
            </w:tcBorders>
            <w:vAlign w:val="center"/>
            <w:hideMark/>
          </w:tcPr>
          <w:p w14:paraId="50C69A2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E2025013243</w:t>
            </w:r>
          </w:p>
        </w:tc>
        <w:tc>
          <w:tcPr>
            <w:tcW w:w="366" w:type="pct"/>
            <w:tcBorders>
              <w:top w:val="nil"/>
              <w:left w:val="nil"/>
              <w:bottom w:val="single" w:sz="4" w:space="0" w:color="auto"/>
              <w:right w:val="single" w:sz="4" w:space="0" w:color="auto"/>
            </w:tcBorders>
            <w:vAlign w:val="center"/>
            <w:hideMark/>
          </w:tcPr>
          <w:p w14:paraId="6E15BD6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ANDESCO</w:t>
            </w:r>
          </w:p>
        </w:tc>
        <w:tc>
          <w:tcPr>
            <w:tcW w:w="1804" w:type="pct"/>
            <w:tcBorders>
              <w:top w:val="nil"/>
              <w:left w:val="nil"/>
              <w:bottom w:val="single" w:sz="4" w:space="0" w:color="auto"/>
              <w:right w:val="single" w:sz="4" w:space="0" w:color="auto"/>
            </w:tcBorders>
            <w:vAlign w:val="center"/>
            <w:hideMark/>
          </w:tcPr>
          <w:p w14:paraId="53114CA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Identificamos pertinente que la resolución, además de definir la metodología de traslado en función del Mc, incorpore un cronograma estimado del tiempo definitivo que se estipule para la implementación del traslado, junto con las actividades a las que haya lugar dentro de este lapso. Esto permitirá a los agentes del sector anticipar actividades, tiempos y ajustes necesarios, brindando mayor certidumbre al proceso.</w:t>
            </w:r>
          </w:p>
        </w:tc>
        <w:tc>
          <w:tcPr>
            <w:tcW w:w="745" w:type="pct"/>
            <w:tcBorders>
              <w:top w:val="nil"/>
              <w:left w:val="nil"/>
              <w:bottom w:val="single" w:sz="4" w:space="0" w:color="auto"/>
              <w:right w:val="single" w:sz="4" w:space="0" w:color="auto"/>
            </w:tcBorders>
            <w:vAlign w:val="center"/>
            <w:hideMark/>
          </w:tcPr>
          <w:p w14:paraId="59B669E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460A78F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al comentario 1.</w:t>
            </w:r>
          </w:p>
        </w:tc>
      </w:tr>
      <w:tr w:rsidR="00651E5A" w:rsidRPr="007E63A2" w14:paraId="3494A424" w14:textId="77777777" w:rsidTr="00651E5A">
        <w:trPr>
          <w:trHeight w:val="870"/>
        </w:trPr>
        <w:tc>
          <w:tcPr>
            <w:tcW w:w="151" w:type="pct"/>
            <w:tcBorders>
              <w:top w:val="nil"/>
              <w:left w:val="single" w:sz="4" w:space="0" w:color="auto"/>
              <w:bottom w:val="single" w:sz="4" w:space="0" w:color="auto"/>
              <w:right w:val="single" w:sz="4" w:space="0" w:color="auto"/>
            </w:tcBorders>
            <w:vAlign w:val="center"/>
            <w:hideMark/>
          </w:tcPr>
          <w:p w14:paraId="2D3B87D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49</w:t>
            </w:r>
          </w:p>
        </w:tc>
        <w:tc>
          <w:tcPr>
            <w:tcW w:w="414" w:type="pct"/>
            <w:tcBorders>
              <w:top w:val="nil"/>
              <w:left w:val="nil"/>
              <w:bottom w:val="single" w:sz="4" w:space="0" w:color="auto"/>
              <w:right w:val="single" w:sz="4" w:space="0" w:color="auto"/>
            </w:tcBorders>
            <w:vAlign w:val="center"/>
            <w:hideMark/>
          </w:tcPr>
          <w:p w14:paraId="5FD79F5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E2025013243</w:t>
            </w:r>
          </w:p>
        </w:tc>
        <w:tc>
          <w:tcPr>
            <w:tcW w:w="366" w:type="pct"/>
            <w:tcBorders>
              <w:top w:val="nil"/>
              <w:left w:val="nil"/>
              <w:bottom w:val="single" w:sz="4" w:space="0" w:color="auto"/>
              <w:right w:val="single" w:sz="4" w:space="0" w:color="auto"/>
            </w:tcBorders>
            <w:vAlign w:val="center"/>
            <w:hideMark/>
          </w:tcPr>
          <w:p w14:paraId="6E07E08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ANDESCO</w:t>
            </w:r>
          </w:p>
        </w:tc>
        <w:tc>
          <w:tcPr>
            <w:tcW w:w="1804" w:type="pct"/>
            <w:tcBorders>
              <w:top w:val="nil"/>
              <w:left w:val="nil"/>
              <w:bottom w:val="single" w:sz="4" w:space="0" w:color="auto"/>
              <w:right w:val="single" w:sz="4" w:space="0" w:color="auto"/>
            </w:tcBorders>
            <w:vAlign w:val="center"/>
            <w:hideMark/>
          </w:tcPr>
          <w:p w14:paraId="3F3EAAA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Actualmente existe una discrepancia normativa frente al parágrafo 2 del artículo 4 del Decreto 929 de 2023, que establece la exención del pago de energía reactiva para AGPE. Sin embargo, cuando un autogenerador a pequeña escala se convierte en comunidad energética, sí se le exige este pago. </w:t>
            </w:r>
          </w:p>
        </w:tc>
        <w:tc>
          <w:tcPr>
            <w:tcW w:w="745" w:type="pct"/>
            <w:tcBorders>
              <w:top w:val="nil"/>
              <w:left w:val="nil"/>
              <w:bottom w:val="single" w:sz="4" w:space="0" w:color="auto"/>
              <w:right w:val="single" w:sz="4" w:space="0" w:color="auto"/>
            </w:tcBorders>
            <w:vAlign w:val="center"/>
            <w:hideMark/>
          </w:tcPr>
          <w:p w14:paraId="6224FD3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Respecto a lo anterior, solicitamos que la CREG revise esta diferenciación, de manera que se garantice la consistencia regulatoria y normativa.</w:t>
            </w:r>
          </w:p>
        </w:tc>
        <w:tc>
          <w:tcPr>
            <w:tcW w:w="1521" w:type="pct"/>
            <w:tcBorders>
              <w:top w:val="nil"/>
              <w:left w:val="nil"/>
              <w:bottom w:val="single" w:sz="4" w:space="0" w:color="auto"/>
              <w:right w:val="single" w:sz="4" w:space="0" w:color="auto"/>
            </w:tcBorders>
            <w:vAlign w:val="center"/>
            <w:hideMark/>
          </w:tcPr>
          <w:p w14:paraId="4013043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al comentario 26.</w:t>
            </w:r>
          </w:p>
        </w:tc>
      </w:tr>
      <w:tr w:rsidR="00651E5A" w:rsidRPr="007E63A2" w14:paraId="304C474A" w14:textId="77777777" w:rsidTr="00A747ED">
        <w:trPr>
          <w:trHeight w:val="3231"/>
        </w:trPr>
        <w:tc>
          <w:tcPr>
            <w:tcW w:w="151" w:type="pct"/>
            <w:tcBorders>
              <w:top w:val="nil"/>
              <w:left w:val="single" w:sz="4" w:space="0" w:color="auto"/>
              <w:bottom w:val="single" w:sz="4" w:space="0" w:color="auto"/>
              <w:right w:val="single" w:sz="4" w:space="0" w:color="auto"/>
            </w:tcBorders>
            <w:vAlign w:val="center"/>
            <w:hideMark/>
          </w:tcPr>
          <w:p w14:paraId="4569D8D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50</w:t>
            </w:r>
          </w:p>
        </w:tc>
        <w:tc>
          <w:tcPr>
            <w:tcW w:w="414" w:type="pct"/>
            <w:tcBorders>
              <w:top w:val="nil"/>
              <w:left w:val="nil"/>
              <w:bottom w:val="single" w:sz="4" w:space="0" w:color="auto"/>
              <w:right w:val="single" w:sz="4" w:space="0" w:color="auto"/>
            </w:tcBorders>
            <w:vAlign w:val="center"/>
            <w:hideMark/>
          </w:tcPr>
          <w:p w14:paraId="08B068D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E2025013244</w:t>
            </w:r>
          </w:p>
        </w:tc>
        <w:tc>
          <w:tcPr>
            <w:tcW w:w="366" w:type="pct"/>
            <w:tcBorders>
              <w:top w:val="nil"/>
              <w:left w:val="nil"/>
              <w:bottom w:val="single" w:sz="4" w:space="0" w:color="auto"/>
              <w:right w:val="single" w:sz="4" w:space="0" w:color="auto"/>
            </w:tcBorders>
            <w:vAlign w:val="center"/>
            <w:hideMark/>
          </w:tcPr>
          <w:p w14:paraId="72B253B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XM</w:t>
            </w:r>
          </w:p>
        </w:tc>
        <w:tc>
          <w:tcPr>
            <w:tcW w:w="1804" w:type="pct"/>
            <w:tcBorders>
              <w:top w:val="nil"/>
              <w:left w:val="nil"/>
              <w:bottom w:val="single" w:sz="4" w:space="0" w:color="auto"/>
              <w:right w:val="single" w:sz="4" w:space="0" w:color="auto"/>
            </w:tcBorders>
            <w:vAlign w:val="center"/>
            <w:hideMark/>
          </w:tcPr>
          <w:p w14:paraId="3E43B23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 el literal d) Numeral 2.3 del Artículo 24 modificado por el Artículo 6 del proyecto de resolución se indica que el comercializador será objeto de aplicación del Anexo 7 de la Resolución CREG 071 de 2006, aplicando entre otras la siguiente consideración: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“ii. El factor FA asociado al comercializador siempre será igual a uno (1)”</w:t>
            </w:r>
          </w:p>
        </w:tc>
        <w:tc>
          <w:tcPr>
            <w:tcW w:w="745" w:type="pct"/>
            <w:tcBorders>
              <w:top w:val="nil"/>
              <w:left w:val="nil"/>
              <w:bottom w:val="single" w:sz="4" w:space="0" w:color="auto"/>
              <w:right w:val="single" w:sz="4" w:space="0" w:color="auto"/>
            </w:tcBorders>
            <w:vAlign w:val="center"/>
            <w:hideMark/>
          </w:tcPr>
          <w:p w14:paraId="461883C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Al respecto, si bien el ASIC entiende que dicha consideración debe ser tenida en cuenta en la formulación prevista en el Numeral 2 del Anexo 7 de la Resolución CREG 071 de 2006, sugerimos al Regulador dar dicha claridad en la resolución definitiva. Para ello se propone la siguiente redacción: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“ii. El factor FA asociado al comercializador siempre será igual a uno (1), y deberá estar reflejado en el Numeral 2 del Anexo 7 de la Resolución CREG 071 de 2006 y aquellas que la adicionan, modifican o sustituyan, tal como se realiza con los recursos no despachados centralmente.”</w:t>
            </w:r>
          </w:p>
        </w:tc>
        <w:tc>
          <w:tcPr>
            <w:tcW w:w="1521" w:type="pct"/>
            <w:tcBorders>
              <w:top w:val="nil"/>
              <w:left w:val="nil"/>
              <w:bottom w:val="single" w:sz="4" w:space="0" w:color="auto"/>
              <w:right w:val="single" w:sz="4" w:space="0" w:color="auto"/>
            </w:tcBorders>
            <w:vAlign w:val="center"/>
            <w:hideMark/>
          </w:tcPr>
          <w:p w14:paraId="3584520B" w14:textId="26BBF364"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Se acoge el comentario en la </w:t>
            </w:r>
            <w:r w:rsidR="00651E5A" w:rsidRPr="007E63A2">
              <w:rPr>
                <w:rFonts w:ascii="Calibri" w:hAnsi="Calibri" w:cs="Calibri"/>
                <w:color w:val="000000"/>
                <w:sz w:val="16"/>
                <w:szCs w:val="16"/>
                <w:lang w:eastAsia="zh-CN"/>
              </w:rPr>
              <w:t>resolución</w:t>
            </w:r>
            <w:r w:rsidRPr="007E63A2">
              <w:rPr>
                <w:rFonts w:ascii="Calibri" w:hAnsi="Calibri" w:cs="Calibri"/>
                <w:color w:val="000000"/>
                <w:sz w:val="16"/>
                <w:szCs w:val="16"/>
                <w:lang w:eastAsia="zh-CN"/>
              </w:rPr>
              <w:t xml:space="preserve"> definitiva. </w:t>
            </w:r>
          </w:p>
        </w:tc>
      </w:tr>
      <w:tr w:rsidR="00651E5A" w:rsidRPr="007E63A2" w14:paraId="1A8725F2"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7957ACC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51</w:t>
            </w:r>
          </w:p>
        </w:tc>
        <w:tc>
          <w:tcPr>
            <w:tcW w:w="414" w:type="pct"/>
            <w:tcBorders>
              <w:top w:val="nil"/>
              <w:left w:val="nil"/>
              <w:bottom w:val="single" w:sz="4" w:space="0" w:color="auto"/>
              <w:right w:val="single" w:sz="4" w:space="0" w:color="auto"/>
            </w:tcBorders>
            <w:vAlign w:val="center"/>
            <w:hideMark/>
          </w:tcPr>
          <w:p w14:paraId="338D739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E2025013244</w:t>
            </w:r>
          </w:p>
        </w:tc>
        <w:tc>
          <w:tcPr>
            <w:tcW w:w="366" w:type="pct"/>
            <w:tcBorders>
              <w:top w:val="nil"/>
              <w:left w:val="nil"/>
              <w:bottom w:val="single" w:sz="4" w:space="0" w:color="auto"/>
              <w:right w:val="single" w:sz="4" w:space="0" w:color="auto"/>
            </w:tcBorders>
            <w:vAlign w:val="center"/>
            <w:hideMark/>
          </w:tcPr>
          <w:p w14:paraId="549935F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XM</w:t>
            </w:r>
          </w:p>
        </w:tc>
        <w:tc>
          <w:tcPr>
            <w:tcW w:w="1804" w:type="pct"/>
            <w:tcBorders>
              <w:top w:val="nil"/>
              <w:left w:val="nil"/>
              <w:bottom w:val="single" w:sz="4" w:space="0" w:color="auto"/>
              <w:right w:val="single" w:sz="4" w:space="0" w:color="auto"/>
            </w:tcBorders>
            <w:vAlign w:val="center"/>
            <w:hideMark/>
          </w:tcPr>
          <w:p w14:paraId="14B7F5B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Considerando que el proyecto resolución impacta cálculos fundamentales de la bolsa de energía solicitamos a la Comisión que en la resolución definitiva se estipule un plazo de tres (3) meses para que el ASIC de aplicación a las disposiciones definidas en la resolución.</w:t>
            </w:r>
          </w:p>
        </w:tc>
        <w:tc>
          <w:tcPr>
            <w:tcW w:w="745" w:type="pct"/>
            <w:tcBorders>
              <w:top w:val="nil"/>
              <w:left w:val="nil"/>
              <w:bottom w:val="single" w:sz="4" w:space="0" w:color="auto"/>
              <w:right w:val="single" w:sz="4" w:space="0" w:color="auto"/>
            </w:tcBorders>
            <w:vAlign w:val="center"/>
            <w:hideMark/>
          </w:tcPr>
          <w:p w14:paraId="705AFF3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6DFCE91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acoge el comentario y se incorpora un plazo en la resolución definitiva.</w:t>
            </w:r>
          </w:p>
        </w:tc>
      </w:tr>
      <w:tr w:rsidR="00651E5A" w:rsidRPr="007E63A2" w14:paraId="1E33689F" w14:textId="77777777" w:rsidTr="00651E5A">
        <w:trPr>
          <w:trHeight w:val="1160"/>
        </w:trPr>
        <w:tc>
          <w:tcPr>
            <w:tcW w:w="151" w:type="pct"/>
            <w:tcBorders>
              <w:top w:val="nil"/>
              <w:left w:val="single" w:sz="4" w:space="0" w:color="auto"/>
              <w:bottom w:val="single" w:sz="4" w:space="0" w:color="auto"/>
              <w:right w:val="single" w:sz="4" w:space="0" w:color="auto"/>
            </w:tcBorders>
            <w:vAlign w:val="center"/>
            <w:hideMark/>
          </w:tcPr>
          <w:p w14:paraId="4DC781D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52</w:t>
            </w:r>
          </w:p>
        </w:tc>
        <w:tc>
          <w:tcPr>
            <w:tcW w:w="414" w:type="pct"/>
            <w:tcBorders>
              <w:top w:val="nil"/>
              <w:left w:val="nil"/>
              <w:bottom w:val="single" w:sz="4" w:space="0" w:color="auto"/>
              <w:right w:val="single" w:sz="4" w:space="0" w:color="auto"/>
            </w:tcBorders>
            <w:vAlign w:val="center"/>
            <w:hideMark/>
          </w:tcPr>
          <w:p w14:paraId="79CDEA0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E2025013246</w:t>
            </w:r>
          </w:p>
        </w:tc>
        <w:tc>
          <w:tcPr>
            <w:tcW w:w="366" w:type="pct"/>
            <w:tcBorders>
              <w:top w:val="nil"/>
              <w:left w:val="nil"/>
              <w:bottom w:val="single" w:sz="4" w:space="0" w:color="auto"/>
              <w:right w:val="single" w:sz="4" w:space="0" w:color="auto"/>
            </w:tcBorders>
            <w:vAlign w:val="center"/>
            <w:hideMark/>
          </w:tcPr>
          <w:p w14:paraId="6B97FA3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ENERTOTAL</w:t>
            </w:r>
          </w:p>
        </w:tc>
        <w:tc>
          <w:tcPr>
            <w:tcW w:w="1804" w:type="pct"/>
            <w:tcBorders>
              <w:top w:val="nil"/>
              <w:left w:val="nil"/>
              <w:bottom w:val="single" w:sz="4" w:space="0" w:color="auto"/>
              <w:right w:val="single" w:sz="4" w:space="0" w:color="auto"/>
            </w:tcBorders>
            <w:vAlign w:val="center"/>
            <w:hideMark/>
          </w:tcPr>
          <w:p w14:paraId="4066EA9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Destacamos la expedición del proyecto de resolución en consulta  considerando que se debía armonizar metodológicamente  la valoración de los excedentes al Mc  (Creg 101-072 de 2025) y el traslado de compras en la tarifa a Pb (Creg 174 de 2021) , dado que con la expedición de la resolución CREG 101 - 072 se presentaba un descalce para los AGPE y GD.  </w:t>
            </w:r>
          </w:p>
        </w:tc>
        <w:tc>
          <w:tcPr>
            <w:tcW w:w="745" w:type="pct"/>
            <w:tcBorders>
              <w:top w:val="nil"/>
              <w:left w:val="nil"/>
              <w:bottom w:val="single" w:sz="4" w:space="0" w:color="auto"/>
              <w:right w:val="single" w:sz="4" w:space="0" w:color="auto"/>
            </w:tcBorders>
            <w:vAlign w:val="center"/>
            <w:hideMark/>
          </w:tcPr>
          <w:p w14:paraId="4741ADB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3DB32F8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El comentario no requiere respuesta</w:t>
            </w:r>
          </w:p>
        </w:tc>
      </w:tr>
      <w:tr w:rsidR="00651E5A" w:rsidRPr="007E63A2" w14:paraId="039F3867"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35416B0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53</w:t>
            </w:r>
          </w:p>
        </w:tc>
        <w:tc>
          <w:tcPr>
            <w:tcW w:w="414" w:type="pct"/>
            <w:tcBorders>
              <w:top w:val="nil"/>
              <w:left w:val="nil"/>
              <w:bottom w:val="single" w:sz="4" w:space="0" w:color="auto"/>
              <w:right w:val="single" w:sz="4" w:space="0" w:color="auto"/>
            </w:tcBorders>
            <w:vAlign w:val="center"/>
            <w:hideMark/>
          </w:tcPr>
          <w:p w14:paraId="29B418D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E2025013246</w:t>
            </w:r>
          </w:p>
        </w:tc>
        <w:tc>
          <w:tcPr>
            <w:tcW w:w="366" w:type="pct"/>
            <w:tcBorders>
              <w:top w:val="nil"/>
              <w:left w:val="nil"/>
              <w:bottom w:val="single" w:sz="4" w:space="0" w:color="auto"/>
              <w:right w:val="single" w:sz="4" w:space="0" w:color="auto"/>
            </w:tcBorders>
            <w:vAlign w:val="center"/>
            <w:hideMark/>
          </w:tcPr>
          <w:p w14:paraId="7D2A423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ENERTOTAL</w:t>
            </w:r>
          </w:p>
        </w:tc>
        <w:tc>
          <w:tcPr>
            <w:tcW w:w="1804" w:type="pct"/>
            <w:tcBorders>
              <w:top w:val="nil"/>
              <w:left w:val="nil"/>
              <w:bottom w:val="single" w:sz="4" w:space="0" w:color="auto"/>
              <w:right w:val="single" w:sz="4" w:space="0" w:color="auto"/>
            </w:tcBorders>
            <w:vAlign w:val="center"/>
            <w:hideMark/>
          </w:tcPr>
          <w:p w14:paraId="593AAB0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proyecto en consulta establece modificaciones a la resolución CREG 101 - 072 de 2025, en aspectos de valoración de excedentes  sin embargo es importante considerar ajustar la liquidación de energía reactiva para comunidades energéticas conforme al parágrafo 2 del articulo 4 del decreto 0929 en el cual se establece </w:t>
            </w:r>
            <w:r w:rsidRPr="007E63A2">
              <w:rPr>
                <w:rFonts w:ascii="Calibri" w:hAnsi="Calibri" w:cs="Calibri"/>
                <w:color w:val="000000"/>
                <w:sz w:val="16"/>
                <w:szCs w:val="16"/>
                <w:lang w:eastAsia="zh-CN"/>
              </w:rPr>
              <w:lastRenderedPageBreak/>
              <w:t>que "Los usuarios que cuenten con sistemas de autogeneración a pequeña escala a partir de FNCER están exentos del cobro de energía reactiva”.</w:t>
            </w:r>
          </w:p>
        </w:tc>
        <w:tc>
          <w:tcPr>
            <w:tcW w:w="745" w:type="pct"/>
            <w:tcBorders>
              <w:top w:val="nil"/>
              <w:left w:val="nil"/>
              <w:bottom w:val="single" w:sz="4" w:space="0" w:color="auto"/>
              <w:right w:val="single" w:sz="4" w:space="0" w:color="auto"/>
            </w:tcBorders>
            <w:vAlign w:val="center"/>
            <w:hideMark/>
          </w:tcPr>
          <w:p w14:paraId="3ABFA87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xml:space="preserve">Se sugiere al regulador articular en cuanto al cobro de energía reactiva, el decreto 0929 a la </w:t>
            </w:r>
            <w:r w:rsidRPr="007E63A2">
              <w:rPr>
                <w:rFonts w:ascii="Calibri" w:hAnsi="Calibri" w:cs="Calibri"/>
                <w:color w:val="000000"/>
                <w:sz w:val="16"/>
                <w:szCs w:val="16"/>
                <w:lang w:eastAsia="zh-CN"/>
              </w:rPr>
              <w:lastRenderedPageBreak/>
              <w:t>resolución 101 - 072 de 2025.</w:t>
            </w:r>
          </w:p>
        </w:tc>
        <w:tc>
          <w:tcPr>
            <w:tcW w:w="1521" w:type="pct"/>
            <w:tcBorders>
              <w:top w:val="nil"/>
              <w:left w:val="nil"/>
              <w:bottom w:val="single" w:sz="4" w:space="0" w:color="auto"/>
              <w:right w:val="single" w:sz="4" w:space="0" w:color="auto"/>
            </w:tcBorders>
            <w:vAlign w:val="center"/>
            <w:hideMark/>
          </w:tcPr>
          <w:p w14:paraId="65AEF2A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Agradecemos remitirse a la respuesta dada al comentario 26.</w:t>
            </w:r>
          </w:p>
        </w:tc>
      </w:tr>
      <w:tr w:rsidR="00651E5A" w:rsidRPr="007E63A2" w14:paraId="4722B805"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0E436B1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54</w:t>
            </w:r>
          </w:p>
        </w:tc>
        <w:tc>
          <w:tcPr>
            <w:tcW w:w="414" w:type="pct"/>
            <w:tcBorders>
              <w:top w:val="nil"/>
              <w:left w:val="nil"/>
              <w:bottom w:val="single" w:sz="4" w:space="0" w:color="auto"/>
              <w:right w:val="single" w:sz="4" w:space="0" w:color="auto"/>
            </w:tcBorders>
            <w:vAlign w:val="center"/>
            <w:hideMark/>
          </w:tcPr>
          <w:p w14:paraId="4B6FF02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E2025013246</w:t>
            </w:r>
          </w:p>
        </w:tc>
        <w:tc>
          <w:tcPr>
            <w:tcW w:w="366" w:type="pct"/>
            <w:tcBorders>
              <w:top w:val="nil"/>
              <w:left w:val="nil"/>
              <w:bottom w:val="single" w:sz="4" w:space="0" w:color="auto"/>
              <w:right w:val="single" w:sz="4" w:space="0" w:color="auto"/>
            </w:tcBorders>
            <w:vAlign w:val="center"/>
            <w:hideMark/>
          </w:tcPr>
          <w:p w14:paraId="205CD4B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ENERTOTAL</w:t>
            </w:r>
          </w:p>
        </w:tc>
        <w:tc>
          <w:tcPr>
            <w:tcW w:w="1804" w:type="pct"/>
            <w:tcBorders>
              <w:top w:val="nil"/>
              <w:left w:val="nil"/>
              <w:bottom w:val="single" w:sz="4" w:space="0" w:color="auto"/>
              <w:right w:val="single" w:sz="4" w:space="0" w:color="auto"/>
            </w:tcBorders>
            <w:vAlign w:val="center"/>
            <w:hideMark/>
          </w:tcPr>
          <w:p w14:paraId="245A6F4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encuentra que el proyecto en consulta aborda diferentes situaciones del mercado cuyo fin es ajustar, dar claridad y/o incluir temas adicionales, en cuyo articulado se modifica la resolución 174 o la resolución 101-072 o ambos, en aspectos importantes como por ejemplo el AC basado en fuentes energéticas diferentes a FNCER. Sin embargo esta estructura puede generar interpretaciones erradas para cada una de las resoluciones dependiendo de la figura que se estaría analizando (AC, AGPE, GD, GC..etc.)</w:t>
            </w:r>
          </w:p>
        </w:tc>
        <w:tc>
          <w:tcPr>
            <w:tcW w:w="745" w:type="pct"/>
            <w:tcBorders>
              <w:top w:val="nil"/>
              <w:left w:val="nil"/>
              <w:bottom w:val="single" w:sz="4" w:space="0" w:color="auto"/>
              <w:right w:val="single" w:sz="4" w:space="0" w:color="auto"/>
            </w:tcBorders>
            <w:vAlign w:val="center"/>
            <w:hideMark/>
          </w:tcPr>
          <w:p w14:paraId="3C6C43C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sugiere al regulador unificar todos los aspectos relacionados con comunidades energéticas en un solo documento que permita su interpretación y aplicación clara de la norma y sus valoraciones para el caso especifico de comunidades energéticas.</w:t>
            </w:r>
          </w:p>
        </w:tc>
        <w:tc>
          <w:tcPr>
            <w:tcW w:w="1521" w:type="pct"/>
            <w:tcBorders>
              <w:top w:val="nil"/>
              <w:left w:val="nil"/>
              <w:bottom w:val="single" w:sz="4" w:space="0" w:color="auto"/>
              <w:right w:val="single" w:sz="4" w:space="0" w:color="auto"/>
            </w:tcBorders>
            <w:vAlign w:val="center"/>
            <w:hideMark/>
          </w:tcPr>
          <w:p w14:paraId="2071C1C0" w14:textId="411D4ABB"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Se aclara </w:t>
            </w:r>
            <w:r w:rsidR="00651E5A" w:rsidRPr="007E63A2">
              <w:rPr>
                <w:rFonts w:ascii="Calibri" w:hAnsi="Calibri" w:cs="Calibri"/>
                <w:color w:val="000000"/>
                <w:sz w:val="16"/>
                <w:szCs w:val="16"/>
                <w:lang w:eastAsia="zh-CN"/>
              </w:rPr>
              <w:t>que,</w:t>
            </w:r>
            <w:r w:rsidRPr="007E63A2">
              <w:rPr>
                <w:rFonts w:ascii="Calibri" w:hAnsi="Calibri" w:cs="Calibri"/>
                <w:color w:val="000000"/>
                <w:sz w:val="16"/>
                <w:szCs w:val="16"/>
                <w:lang w:eastAsia="zh-CN"/>
              </w:rPr>
              <w:t xml:space="preserve"> al mantener las reglas para la </w:t>
            </w:r>
            <w:r w:rsidR="00651E5A" w:rsidRPr="007E63A2">
              <w:rPr>
                <w:rFonts w:ascii="Calibri" w:hAnsi="Calibri" w:cs="Calibri"/>
                <w:color w:val="000000"/>
                <w:sz w:val="16"/>
                <w:szCs w:val="16"/>
                <w:lang w:eastAsia="zh-CN"/>
              </w:rPr>
              <w:t>comercialización</w:t>
            </w:r>
            <w:r w:rsidRPr="007E63A2">
              <w:rPr>
                <w:rFonts w:ascii="Calibri" w:hAnsi="Calibri" w:cs="Calibri"/>
                <w:color w:val="000000"/>
                <w:sz w:val="16"/>
                <w:szCs w:val="16"/>
                <w:lang w:eastAsia="zh-CN"/>
              </w:rPr>
              <w:t xml:space="preserve"> de los excedentes en una </w:t>
            </w:r>
            <w:r w:rsidR="00651E5A" w:rsidRPr="007E63A2">
              <w:rPr>
                <w:rFonts w:ascii="Calibri" w:hAnsi="Calibri" w:cs="Calibri"/>
                <w:color w:val="000000"/>
                <w:sz w:val="16"/>
                <w:szCs w:val="16"/>
                <w:lang w:eastAsia="zh-CN"/>
              </w:rPr>
              <w:t>regulación</w:t>
            </w:r>
            <w:r w:rsidRPr="007E63A2">
              <w:rPr>
                <w:rFonts w:ascii="Calibri" w:hAnsi="Calibri" w:cs="Calibri"/>
                <w:color w:val="000000"/>
                <w:sz w:val="16"/>
                <w:szCs w:val="16"/>
                <w:lang w:eastAsia="zh-CN"/>
              </w:rPr>
              <w:t xml:space="preserve">, tiene como objetivo facilitar la </w:t>
            </w:r>
            <w:r w:rsidR="00651E5A" w:rsidRPr="007E63A2">
              <w:rPr>
                <w:rFonts w:ascii="Calibri" w:hAnsi="Calibri" w:cs="Calibri"/>
                <w:color w:val="000000"/>
                <w:sz w:val="16"/>
                <w:szCs w:val="16"/>
                <w:lang w:eastAsia="zh-CN"/>
              </w:rPr>
              <w:t>comprensión</w:t>
            </w:r>
            <w:r w:rsidRPr="007E63A2">
              <w:rPr>
                <w:rFonts w:ascii="Calibri" w:hAnsi="Calibri" w:cs="Calibri"/>
                <w:color w:val="000000"/>
                <w:sz w:val="16"/>
                <w:szCs w:val="16"/>
                <w:lang w:eastAsia="zh-CN"/>
              </w:rPr>
              <w:t xml:space="preserve"> de la </w:t>
            </w:r>
            <w:r w:rsidR="00651E5A" w:rsidRPr="007E63A2">
              <w:rPr>
                <w:rFonts w:ascii="Calibri" w:hAnsi="Calibri" w:cs="Calibri"/>
                <w:color w:val="000000"/>
                <w:sz w:val="16"/>
                <w:szCs w:val="16"/>
                <w:lang w:eastAsia="zh-CN"/>
              </w:rPr>
              <w:t>regulación</w:t>
            </w:r>
            <w:r w:rsidRPr="007E63A2">
              <w:rPr>
                <w:rFonts w:ascii="Calibri" w:hAnsi="Calibri" w:cs="Calibri"/>
                <w:color w:val="000000"/>
                <w:sz w:val="16"/>
                <w:szCs w:val="16"/>
                <w:lang w:eastAsia="zh-CN"/>
              </w:rPr>
              <w:t xml:space="preserve"> ante diferentes actividades que aplican las mismas reglas. </w:t>
            </w:r>
          </w:p>
        </w:tc>
      </w:tr>
      <w:tr w:rsidR="00651E5A" w:rsidRPr="007E63A2" w14:paraId="7FC00A7B"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19FA666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55</w:t>
            </w:r>
          </w:p>
        </w:tc>
        <w:tc>
          <w:tcPr>
            <w:tcW w:w="414" w:type="pct"/>
            <w:tcBorders>
              <w:top w:val="nil"/>
              <w:left w:val="nil"/>
              <w:bottom w:val="single" w:sz="4" w:space="0" w:color="auto"/>
              <w:right w:val="single" w:sz="4" w:space="0" w:color="auto"/>
            </w:tcBorders>
            <w:vAlign w:val="center"/>
            <w:hideMark/>
          </w:tcPr>
          <w:p w14:paraId="3637DF1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E2025013246</w:t>
            </w:r>
          </w:p>
        </w:tc>
        <w:tc>
          <w:tcPr>
            <w:tcW w:w="366" w:type="pct"/>
            <w:tcBorders>
              <w:top w:val="nil"/>
              <w:left w:val="nil"/>
              <w:bottom w:val="single" w:sz="4" w:space="0" w:color="auto"/>
              <w:right w:val="single" w:sz="4" w:space="0" w:color="auto"/>
            </w:tcBorders>
            <w:vAlign w:val="center"/>
            <w:hideMark/>
          </w:tcPr>
          <w:p w14:paraId="1876C62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ENERTOTAL</w:t>
            </w:r>
          </w:p>
        </w:tc>
        <w:tc>
          <w:tcPr>
            <w:tcW w:w="1804" w:type="pct"/>
            <w:tcBorders>
              <w:top w:val="nil"/>
              <w:left w:val="nil"/>
              <w:bottom w:val="single" w:sz="4" w:space="0" w:color="auto"/>
              <w:right w:val="single" w:sz="4" w:space="0" w:color="auto"/>
            </w:tcBorders>
            <w:vAlign w:val="center"/>
            <w:hideMark/>
          </w:tcPr>
          <w:p w14:paraId="1F9DB57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El parágrafo del articulo 3 establece que , los usuarios AGPE existentes y operando al momento de expedición de la resolución que tengan contratos de venta de excedentes con algún comercializador, continuarán con dicha situación hasta que la Comisión defina a través de resolución el traslado del costo de compras de energía al valor del Mcm, el cual aplicará a partir del mes siguiente de expedida</w:t>
            </w:r>
          </w:p>
        </w:tc>
        <w:tc>
          <w:tcPr>
            <w:tcW w:w="745" w:type="pct"/>
            <w:tcBorders>
              <w:top w:val="nil"/>
              <w:left w:val="nil"/>
              <w:bottom w:val="single" w:sz="4" w:space="0" w:color="auto"/>
              <w:right w:val="single" w:sz="4" w:space="0" w:color="auto"/>
            </w:tcBorders>
            <w:vAlign w:val="center"/>
            <w:hideMark/>
          </w:tcPr>
          <w:p w14:paraId="00477F8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al regulador ampliar el plazo de aplicación una vez expedida la resolución de traslado del costo de compras y que se pueda implementar a partir del tercer mes considerando las modificaciones a los sistemas comerciales .</w:t>
            </w:r>
          </w:p>
        </w:tc>
        <w:tc>
          <w:tcPr>
            <w:tcW w:w="1521" w:type="pct"/>
            <w:tcBorders>
              <w:top w:val="nil"/>
              <w:left w:val="nil"/>
              <w:bottom w:val="single" w:sz="4" w:space="0" w:color="auto"/>
              <w:right w:val="single" w:sz="4" w:space="0" w:color="auto"/>
            </w:tcBorders>
            <w:vAlign w:val="center"/>
            <w:hideMark/>
          </w:tcPr>
          <w:p w14:paraId="51F3599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acoge el comentario. Ver respuesta a comentario 31.</w:t>
            </w:r>
          </w:p>
        </w:tc>
      </w:tr>
      <w:tr w:rsidR="00651E5A" w:rsidRPr="007E63A2" w14:paraId="570BEADE" w14:textId="77777777" w:rsidTr="003269DD">
        <w:trPr>
          <w:trHeight w:val="113"/>
        </w:trPr>
        <w:tc>
          <w:tcPr>
            <w:tcW w:w="151" w:type="pct"/>
            <w:tcBorders>
              <w:top w:val="nil"/>
              <w:left w:val="single" w:sz="4" w:space="0" w:color="auto"/>
              <w:bottom w:val="single" w:sz="4" w:space="0" w:color="auto"/>
              <w:right w:val="single" w:sz="4" w:space="0" w:color="auto"/>
            </w:tcBorders>
            <w:vAlign w:val="center"/>
            <w:hideMark/>
          </w:tcPr>
          <w:p w14:paraId="055F141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56</w:t>
            </w:r>
          </w:p>
        </w:tc>
        <w:tc>
          <w:tcPr>
            <w:tcW w:w="414" w:type="pct"/>
            <w:tcBorders>
              <w:top w:val="nil"/>
              <w:left w:val="nil"/>
              <w:bottom w:val="single" w:sz="4" w:space="0" w:color="auto"/>
              <w:right w:val="single" w:sz="4" w:space="0" w:color="auto"/>
            </w:tcBorders>
            <w:vAlign w:val="center"/>
            <w:hideMark/>
          </w:tcPr>
          <w:p w14:paraId="2B9340B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E2025013248</w:t>
            </w:r>
          </w:p>
        </w:tc>
        <w:tc>
          <w:tcPr>
            <w:tcW w:w="366" w:type="pct"/>
            <w:tcBorders>
              <w:top w:val="nil"/>
              <w:left w:val="nil"/>
              <w:bottom w:val="single" w:sz="4" w:space="0" w:color="auto"/>
              <w:right w:val="single" w:sz="4" w:space="0" w:color="auto"/>
            </w:tcBorders>
            <w:vAlign w:val="center"/>
            <w:hideMark/>
          </w:tcPr>
          <w:p w14:paraId="4B26EF2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ACOLGEN</w:t>
            </w:r>
          </w:p>
        </w:tc>
        <w:tc>
          <w:tcPr>
            <w:tcW w:w="1804" w:type="pct"/>
            <w:tcBorders>
              <w:top w:val="nil"/>
              <w:left w:val="nil"/>
              <w:bottom w:val="single" w:sz="4" w:space="0" w:color="auto"/>
              <w:right w:val="single" w:sz="4" w:space="0" w:color="auto"/>
            </w:tcBorders>
            <w:vAlign w:val="center"/>
            <w:hideMark/>
          </w:tcPr>
          <w:p w14:paraId="2FB1348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importancia de la coherencia y la transparencia regulatoria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Creemos que para que un marco normativo sea verdaderamente eficaz, es vital que toda la información relevante esté consolidada en un solo cuerpo regulatorio. Hemos notado que el documento de soporte del proyecto de resolución contiene aclaraciones clave que no se reflejan en el articulado de la norma. Consideramos que esta fragmentación podría generar una falta de trazabilidad y coherencia a futuro, haciendo que la aplicación de las reglas se vuelva confusa y dependa de la interpretación de documentos complementarios que, a diferencia de la resolución, carecen de fuerza vinculante.</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Para evitar esta dispersión, creemos que una medida fundamental es integrar todas las definiciones y metodologías de liquidación directamente en el texto de la resolución. Al hacerlo, se garantizaría la seguridad jurídica para todos los agentes, ya que tendrían un único punto de referencia para entender sus obligaciones y derechos.</w:t>
            </w:r>
          </w:p>
        </w:tc>
        <w:tc>
          <w:tcPr>
            <w:tcW w:w="745" w:type="pct"/>
            <w:tcBorders>
              <w:top w:val="nil"/>
              <w:left w:val="nil"/>
              <w:bottom w:val="single" w:sz="4" w:space="0" w:color="auto"/>
              <w:right w:val="single" w:sz="4" w:space="0" w:color="auto"/>
            </w:tcBorders>
            <w:vAlign w:val="center"/>
            <w:hideMark/>
          </w:tcPr>
          <w:p w14:paraId="3C393A4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7A7E36D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Entendemos que se está solicitando una resolución explicita para comunidades energéticas, sin embargo, lo que se buscó y planteó fue una armonización de las comunidades energéticas a regulación ya existente de AGPE (CREG 174 de 2021) al funcionar de manera similar.</w:t>
            </w:r>
          </w:p>
        </w:tc>
      </w:tr>
      <w:tr w:rsidR="00651E5A" w:rsidRPr="007E63A2" w14:paraId="62E664FA" w14:textId="77777777" w:rsidTr="00651E5A">
        <w:trPr>
          <w:trHeight w:val="3480"/>
        </w:trPr>
        <w:tc>
          <w:tcPr>
            <w:tcW w:w="151" w:type="pct"/>
            <w:tcBorders>
              <w:top w:val="nil"/>
              <w:left w:val="single" w:sz="4" w:space="0" w:color="auto"/>
              <w:bottom w:val="single" w:sz="4" w:space="0" w:color="auto"/>
              <w:right w:val="single" w:sz="4" w:space="0" w:color="auto"/>
            </w:tcBorders>
            <w:vAlign w:val="center"/>
            <w:hideMark/>
          </w:tcPr>
          <w:p w14:paraId="7F3E292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57</w:t>
            </w:r>
          </w:p>
        </w:tc>
        <w:tc>
          <w:tcPr>
            <w:tcW w:w="414" w:type="pct"/>
            <w:tcBorders>
              <w:top w:val="nil"/>
              <w:left w:val="nil"/>
              <w:bottom w:val="single" w:sz="4" w:space="0" w:color="auto"/>
              <w:right w:val="single" w:sz="4" w:space="0" w:color="auto"/>
            </w:tcBorders>
            <w:vAlign w:val="center"/>
            <w:hideMark/>
          </w:tcPr>
          <w:p w14:paraId="0EBE9E1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E2025013248</w:t>
            </w:r>
          </w:p>
        </w:tc>
        <w:tc>
          <w:tcPr>
            <w:tcW w:w="366" w:type="pct"/>
            <w:tcBorders>
              <w:top w:val="nil"/>
              <w:left w:val="nil"/>
              <w:bottom w:val="single" w:sz="4" w:space="0" w:color="auto"/>
              <w:right w:val="single" w:sz="4" w:space="0" w:color="auto"/>
            </w:tcBorders>
            <w:vAlign w:val="center"/>
            <w:hideMark/>
          </w:tcPr>
          <w:p w14:paraId="41C3537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ACOLGEN</w:t>
            </w:r>
          </w:p>
        </w:tc>
        <w:tc>
          <w:tcPr>
            <w:tcW w:w="1804" w:type="pct"/>
            <w:tcBorders>
              <w:top w:val="nil"/>
              <w:left w:val="nil"/>
              <w:bottom w:val="single" w:sz="4" w:space="0" w:color="auto"/>
              <w:right w:val="single" w:sz="4" w:space="0" w:color="auto"/>
            </w:tcBorders>
            <w:vAlign w:val="center"/>
            <w:hideMark/>
          </w:tcPr>
          <w:p w14:paraId="7D669D4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Verificación de la liquidación del costo de la energía transada y ajustes necesarios en el cronograma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Entendemos y apoyamos la intención de la Comisión de establecer una metodología de liquidación del costo de la energía transada para los excedentes de autogeneración. Sin embargo, nos preocupa el cronograma propuesto para su aplicación. Un plazo de un solo mes a partir de la expedición de la resolución nos parece insuficiente. Las empresas del sector necesitan un tiempo prudente para realizar los ajustes tecnológicos en sus sistemas de liquidación y facturación, así como para capacitar a su personal y realizar las pruebas necesarias.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Para mitigar los riesgos operativos y financieros que podría generar una implementación apresurada, consideramos extender el periodo de transición a un mínimo de tres meses para permitir que los agentes se adapten de forma adecuada, minimizando la probabilidad de errores en la liquidación de las transacciones</w:t>
            </w:r>
          </w:p>
        </w:tc>
        <w:tc>
          <w:tcPr>
            <w:tcW w:w="745" w:type="pct"/>
            <w:tcBorders>
              <w:top w:val="nil"/>
              <w:left w:val="nil"/>
              <w:bottom w:val="single" w:sz="4" w:space="0" w:color="auto"/>
              <w:right w:val="single" w:sz="4" w:space="0" w:color="auto"/>
            </w:tcBorders>
            <w:vAlign w:val="center"/>
            <w:hideMark/>
          </w:tcPr>
          <w:p w14:paraId="64AD8A5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70A0C65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acoge el comentario. Ver respuesta a comentario 31.</w:t>
            </w:r>
          </w:p>
        </w:tc>
      </w:tr>
      <w:tr w:rsidR="00651E5A" w:rsidRPr="007E63A2" w14:paraId="30FD8F59" w14:textId="77777777" w:rsidTr="00651E5A">
        <w:trPr>
          <w:trHeight w:val="6380"/>
        </w:trPr>
        <w:tc>
          <w:tcPr>
            <w:tcW w:w="151" w:type="pct"/>
            <w:tcBorders>
              <w:top w:val="nil"/>
              <w:left w:val="single" w:sz="4" w:space="0" w:color="auto"/>
              <w:bottom w:val="single" w:sz="4" w:space="0" w:color="auto"/>
              <w:right w:val="single" w:sz="4" w:space="0" w:color="auto"/>
            </w:tcBorders>
            <w:vAlign w:val="center"/>
            <w:hideMark/>
          </w:tcPr>
          <w:p w14:paraId="3BBCB57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58</w:t>
            </w:r>
          </w:p>
        </w:tc>
        <w:tc>
          <w:tcPr>
            <w:tcW w:w="414" w:type="pct"/>
            <w:tcBorders>
              <w:top w:val="nil"/>
              <w:left w:val="nil"/>
              <w:bottom w:val="single" w:sz="4" w:space="0" w:color="auto"/>
              <w:right w:val="single" w:sz="4" w:space="0" w:color="auto"/>
            </w:tcBorders>
            <w:vAlign w:val="center"/>
            <w:hideMark/>
          </w:tcPr>
          <w:p w14:paraId="51899C1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E2025013248</w:t>
            </w:r>
          </w:p>
        </w:tc>
        <w:tc>
          <w:tcPr>
            <w:tcW w:w="366" w:type="pct"/>
            <w:tcBorders>
              <w:top w:val="nil"/>
              <w:left w:val="nil"/>
              <w:bottom w:val="single" w:sz="4" w:space="0" w:color="auto"/>
              <w:right w:val="single" w:sz="4" w:space="0" w:color="auto"/>
            </w:tcBorders>
            <w:vAlign w:val="center"/>
            <w:hideMark/>
          </w:tcPr>
          <w:p w14:paraId="2736421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ACOLGEN</w:t>
            </w:r>
          </w:p>
        </w:tc>
        <w:tc>
          <w:tcPr>
            <w:tcW w:w="1804" w:type="pct"/>
            <w:tcBorders>
              <w:top w:val="nil"/>
              <w:left w:val="nil"/>
              <w:bottom w:val="single" w:sz="4" w:space="0" w:color="auto"/>
              <w:right w:val="single" w:sz="4" w:space="0" w:color="auto"/>
            </w:tcBorders>
            <w:vAlign w:val="center"/>
            <w:hideMark/>
          </w:tcPr>
          <w:p w14:paraId="6791A85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Delimitación clara entre las figuras de autogeneración y comunidades energéticas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Hemos identificado la necesidad de delimitar el alcance de los ajustes propuestos con precisión, teniendo en cuenta que las figuras de autogeneración a pequeña escala (AGPE), generación distribuida (GD), autogeneración colectiva (AC) y generador distribuido colectivo (GDC) son diferentes y, por este motivo, se desarrollan en resoluciones independientes. Remitir los ajustes a una Resolución cuyo ámbito de aplicación es diferente – en este caso la Resolución CREG 174 de 2021 abarca las reglas para AGPE y GD – podría generar interpretaciones erróneas y "huecos regulatorios" que impidan su aplicabilidad.</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Por lo tanto, creemos que es de vital importancia que la CREG mantenga las reglas de liquidación y el traslado de costos de las compras en las resoluciones que fueron estructuradas para cada figura, de manera independiente, sin recurrir a referencias y remisiones entre resoluciones que generen confusiones, garantizando que la regulación se aplique de manera justa y equitativa.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Desde Acolgen reiteramos nuestro compromiso con una participación rigurosa y constructiva en el proceso regulatorio. Confiamos en que la Comisión valorará esta solicitud como una oportunidad para enriquecer el análisis técnico y garantizar una mayor apropiación por parte de los agentes del mercado y que considerará estos puntos para la elaboración de un texto definitivo que impulse la transición energética, salvaguardando al mismo tiempo la estabilidad y la viabilidad económica del sector. Estamos atentos a continuar aportando, desde el diálogo y la colaboración, a la consolidación de un marco regulatorio robusto y efectivo y estamos a su disposición para ampliar cualquiera de los puntos expuestos o para participar en futuros espacios de diálogo que la CREG considere pertinentes</w:t>
            </w:r>
          </w:p>
        </w:tc>
        <w:tc>
          <w:tcPr>
            <w:tcW w:w="745" w:type="pct"/>
            <w:tcBorders>
              <w:top w:val="nil"/>
              <w:left w:val="nil"/>
              <w:bottom w:val="single" w:sz="4" w:space="0" w:color="auto"/>
              <w:right w:val="single" w:sz="4" w:space="0" w:color="auto"/>
            </w:tcBorders>
            <w:vAlign w:val="center"/>
            <w:hideMark/>
          </w:tcPr>
          <w:p w14:paraId="59F32E5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61450C81" w14:textId="6D7E9819"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Si bien se mencionan posibles "huecos regulatorios" no se nombran ni identifican situaciones </w:t>
            </w:r>
            <w:r w:rsidR="00651E5A" w:rsidRPr="007E63A2">
              <w:rPr>
                <w:rFonts w:ascii="Calibri" w:hAnsi="Calibri" w:cs="Calibri"/>
                <w:color w:val="000000"/>
                <w:sz w:val="16"/>
                <w:szCs w:val="16"/>
                <w:lang w:eastAsia="zh-CN"/>
              </w:rPr>
              <w:t>específicas</w:t>
            </w:r>
            <w:r w:rsidRPr="007E63A2">
              <w:rPr>
                <w:rFonts w:ascii="Calibri" w:hAnsi="Calibri" w:cs="Calibri"/>
                <w:color w:val="000000"/>
                <w:sz w:val="16"/>
                <w:szCs w:val="16"/>
                <w:lang w:eastAsia="zh-CN"/>
              </w:rPr>
              <w:t xml:space="preserve"> que le permitan a la Comisión tomar las medidas respectivas.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 xml:space="preserve">Así mismo, </w:t>
            </w:r>
            <w:r w:rsidR="00651E5A" w:rsidRPr="007E63A2">
              <w:rPr>
                <w:rFonts w:ascii="Calibri" w:hAnsi="Calibri" w:cs="Calibri"/>
                <w:color w:val="000000"/>
                <w:sz w:val="16"/>
                <w:szCs w:val="16"/>
                <w:lang w:eastAsia="zh-CN"/>
              </w:rPr>
              <w:t>agradecemos</w:t>
            </w:r>
            <w:r w:rsidRPr="007E63A2">
              <w:rPr>
                <w:rFonts w:ascii="Calibri" w:hAnsi="Calibri" w:cs="Calibri"/>
                <w:color w:val="000000"/>
                <w:sz w:val="16"/>
                <w:szCs w:val="16"/>
                <w:lang w:eastAsia="zh-CN"/>
              </w:rPr>
              <w:t xml:space="preserve"> referirse a la respuesta dada al comentario 32.</w:t>
            </w:r>
          </w:p>
        </w:tc>
      </w:tr>
      <w:tr w:rsidR="00651E5A" w:rsidRPr="007E63A2" w14:paraId="669C654B" w14:textId="77777777" w:rsidTr="00A747ED">
        <w:trPr>
          <w:trHeight w:val="4365"/>
        </w:trPr>
        <w:tc>
          <w:tcPr>
            <w:tcW w:w="151" w:type="pct"/>
            <w:tcBorders>
              <w:top w:val="nil"/>
              <w:left w:val="single" w:sz="4" w:space="0" w:color="auto"/>
              <w:bottom w:val="single" w:sz="4" w:space="0" w:color="auto"/>
              <w:right w:val="single" w:sz="4" w:space="0" w:color="auto"/>
            </w:tcBorders>
            <w:vAlign w:val="center"/>
            <w:hideMark/>
          </w:tcPr>
          <w:p w14:paraId="0A71250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59</w:t>
            </w:r>
          </w:p>
        </w:tc>
        <w:tc>
          <w:tcPr>
            <w:tcW w:w="414" w:type="pct"/>
            <w:tcBorders>
              <w:top w:val="nil"/>
              <w:left w:val="nil"/>
              <w:bottom w:val="single" w:sz="4" w:space="0" w:color="auto"/>
              <w:right w:val="single" w:sz="4" w:space="0" w:color="auto"/>
            </w:tcBorders>
            <w:vAlign w:val="center"/>
            <w:hideMark/>
          </w:tcPr>
          <w:p w14:paraId="31A6FD6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E2025013249</w:t>
            </w:r>
          </w:p>
        </w:tc>
        <w:tc>
          <w:tcPr>
            <w:tcW w:w="366" w:type="pct"/>
            <w:tcBorders>
              <w:top w:val="nil"/>
              <w:left w:val="nil"/>
              <w:bottom w:val="single" w:sz="4" w:space="0" w:color="auto"/>
              <w:right w:val="single" w:sz="4" w:space="0" w:color="auto"/>
            </w:tcBorders>
            <w:vAlign w:val="center"/>
            <w:hideMark/>
          </w:tcPr>
          <w:p w14:paraId="6E54FDAF" w14:textId="77777777" w:rsidR="006B34EA" w:rsidRPr="00310122" w:rsidRDefault="006B34EA" w:rsidP="006B34EA">
            <w:pPr>
              <w:jc w:val="center"/>
              <w:rPr>
                <w:rFonts w:ascii="Calibri" w:hAnsi="Calibri" w:cs="Calibri"/>
                <w:color w:val="000000"/>
                <w:sz w:val="16"/>
                <w:szCs w:val="16"/>
                <w:lang w:val="pt-PT" w:eastAsia="zh-CN"/>
              </w:rPr>
            </w:pPr>
            <w:r w:rsidRPr="00310122">
              <w:rPr>
                <w:rFonts w:ascii="Calibri" w:hAnsi="Calibri" w:cs="Calibri"/>
                <w:color w:val="000000"/>
                <w:sz w:val="16"/>
                <w:szCs w:val="16"/>
                <w:lang w:val="pt-PT" w:eastAsia="zh-CN"/>
              </w:rPr>
              <w:t xml:space="preserve">Empresas Grupo EPM (AFINIA; CENS, CHEC, EDEQ, ESSA y EPM) </w:t>
            </w:r>
          </w:p>
        </w:tc>
        <w:tc>
          <w:tcPr>
            <w:tcW w:w="1804" w:type="pct"/>
            <w:tcBorders>
              <w:top w:val="nil"/>
              <w:left w:val="nil"/>
              <w:bottom w:val="single" w:sz="4" w:space="0" w:color="auto"/>
              <w:right w:val="single" w:sz="4" w:space="0" w:color="auto"/>
            </w:tcBorders>
            <w:vAlign w:val="center"/>
            <w:hideMark/>
          </w:tcPr>
          <w:p w14:paraId="4D95208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En primera instancia, consideramos que, el traslado de compras de energía de los Autogeneradores Colectivos (AC) y Generadores Distribuidos Colectivos (GDC) a usuarios regulados en función del precio de bolsa, debería abordarse de manera explícita dentro del articulado de esta Resolución y no de la forma prevista en el Artículo 1 de esta propuesta.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Si bien el Proyecto de Resolución menciona que a estas figuras les aplican las mismas disposiciones establecidas para los Autogeneradores a Pequeña Escala (AGPE) y Generadores Distribuidos (GD) en la Resolución CREG 174 de 2021 de esta propuesta regulatoria, es importante resaltar que el ámbito de aplicación de dicha norma se circunscribe exclusivamente a AGPE y GD, y no a AC ni GDC. Incluso, la propia Comisión ha reconocido que se trata de figuras diferentes, razón por la cual resulta necesario un desarrollo regulatorio independiente, esto es, el traslado de las compras de energía a usuarios regulados debería desarrollarse dentro de la Resolución CREG 101 072 de 2025 o sus actualizaciones, especificando de manera precisa la forma en que las variables asociadas a AC y GDC se incorporan dentro de las fórmulas de traslado, sin remitirse a otra norma. Esto es fundamental para evitar huecos regulatorios que deriven en confusiones o incluso la imposibilidad de que el comercializador traslade los costos por falta de claridad normativa.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Es importante resaltar que la Resolución CREG 174 de 2021 fue estructurada en torno a las figuras de AGPE y GD, mientras que, con la aparición de las nuevas figuras derivadas de Comunidades Energéticas (AC y GDC), se estructuró una Resolución específica para ellas (Resolución CREG 101 072 de 2025). Aunque en la práctica comparten elementos comunes en cuanto a reconocimiento de excedentes y traslado de compras, el desarrollo normativo debe ser independiente para garantizar precisión y seguridad jurídica para los actores involucrados.</w:t>
            </w:r>
          </w:p>
        </w:tc>
        <w:tc>
          <w:tcPr>
            <w:tcW w:w="745" w:type="pct"/>
            <w:tcBorders>
              <w:top w:val="nil"/>
              <w:left w:val="nil"/>
              <w:bottom w:val="single" w:sz="4" w:space="0" w:color="auto"/>
              <w:right w:val="single" w:sz="4" w:space="0" w:color="auto"/>
            </w:tcBorders>
            <w:vAlign w:val="center"/>
            <w:hideMark/>
          </w:tcPr>
          <w:p w14:paraId="6D0DC1E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br/>
              <w:t>Por lo anterior, solicitamos que, dentro del articulado de la Resolución definitiva, se incorpore y desarrolle de manera explícita todo lo aplicable a las figuras de AC y GDC, en lugar de remitir de forma genérica “donde corresponda” a una Resolución cuyo alcance es diferente. Este tipo de remisión puede resultar confuso frente a un tema tan importante para la adecuada implementación de Comunidades Energéticas</w:t>
            </w:r>
          </w:p>
        </w:tc>
        <w:tc>
          <w:tcPr>
            <w:tcW w:w="1521" w:type="pct"/>
            <w:tcBorders>
              <w:top w:val="nil"/>
              <w:left w:val="nil"/>
              <w:bottom w:val="single" w:sz="4" w:space="0" w:color="auto"/>
              <w:right w:val="single" w:sz="4" w:space="0" w:color="auto"/>
            </w:tcBorders>
            <w:vAlign w:val="center"/>
            <w:hideMark/>
          </w:tcPr>
          <w:p w14:paraId="43D53D4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al comentario 56.</w:t>
            </w:r>
          </w:p>
        </w:tc>
      </w:tr>
      <w:tr w:rsidR="00651E5A" w:rsidRPr="007E63A2" w14:paraId="20173BA4" w14:textId="77777777" w:rsidTr="003269DD">
        <w:trPr>
          <w:trHeight w:val="60"/>
        </w:trPr>
        <w:tc>
          <w:tcPr>
            <w:tcW w:w="151" w:type="pct"/>
            <w:tcBorders>
              <w:top w:val="nil"/>
              <w:left w:val="single" w:sz="4" w:space="0" w:color="auto"/>
              <w:bottom w:val="single" w:sz="4" w:space="0" w:color="auto"/>
              <w:right w:val="single" w:sz="4" w:space="0" w:color="auto"/>
            </w:tcBorders>
            <w:vAlign w:val="center"/>
            <w:hideMark/>
          </w:tcPr>
          <w:p w14:paraId="18E6D74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60</w:t>
            </w:r>
          </w:p>
        </w:tc>
        <w:tc>
          <w:tcPr>
            <w:tcW w:w="414" w:type="pct"/>
            <w:tcBorders>
              <w:top w:val="nil"/>
              <w:left w:val="nil"/>
              <w:bottom w:val="single" w:sz="4" w:space="0" w:color="auto"/>
              <w:right w:val="single" w:sz="4" w:space="0" w:color="auto"/>
            </w:tcBorders>
            <w:vAlign w:val="center"/>
            <w:hideMark/>
          </w:tcPr>
          <w:p w14:paraId="6ADE4B6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E2025013249</w:t>
            </w:r>
          </w:p>
        </w:tc>
        <w:tc>
          <w:tcPr>
            <w:tcW w:w="366" w:type="pct"/>
            <w:tcBorders>
              <w:top w:val="nil"/>
              <w:left w:val="nil"/>
              <w:bottom w:val="single" w:sz="4" w:space="0" w:color="auto"/>
              <w:right w:val="single" w:sz="4" w:space="0" w:color="auto"/>
            </w:tcBorders>
            <w:vAlign w:val="center"/>
            <w:hideMark/>
          </w:tcPr>
          <w:p w14:paraId="6CFFDBF3" w14:textId="77777777" w:rsidR="006B34EA" w:rsidRPr="00310122" w:rsidRDefault="006B34EA" w:rsidP="006B34EA">
            <w:pPr>
              <w:jc w:val="center"/>
              <w:rPr>
                <w:rFonts w:ascii="Calibri" w:hAnsi="Calibri" w:cs="Calibri"/>
                <w:color w:val="000000"/>
                <w:sz w:val="16"/>
                <w:szCs w:val="16"/>
                <w:lang w:val="pt-PT" w:eastAsia="zh-CN"/>
              </w:rPr>
            </w:pPr>
            <w:r w:rsidRPr="00310122">
              <w:rPr>
                <w:rFonts w:ascii="Calibri" w:hAnsi="Calibri" w:cs="Calibri"/>
                <w:color w:val="000000"/>
                <w:sz w:val="16"/>
                <w:szCs w:val="16"/>
                <w:lang w:val="pt-PT" w:eastAsia="zh-CN"/>
              </w:rPr>
              <w:t xml:space="preserve">Empresas Grupo EPM (AFINIA; CENS, CHEC, EDEQ, ESSA y EPM) </w:t>
            </w:r>
          </w:p>
        </w:tc>
        <w:tc>
          <w:tcPr>
            <w:tcW w:w="1804" w:type="pct"/>
            <w:tcBorders>
              <w:top w:val="nil"/>
              <w:left w:val="nil"/>
              <w:bottom w:val="single" w:sz="4" w:space="0" w:color="auto"/>
              <w:right w:val="single" w:sz="4" w:space="0" w:color="auto"/>
            </w:tcBorders>
            <w:vAlign w:val="center"/>
            <w:hideMark/>
          </w:tcPr>
          <w:p w14:paraId="2EA5ED3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En cuanto al plazo para la valoración de excedentes de los AGPE y AC, y precio de venta de la energía de los GD y GDC, en función del Mc, consideramos que el plazo previsto para su implementación – a partir del mes siguiente de la expedición de la resolución, como se establece en los Artículos 2, 3 y 4 – resulta bastante corto. Se trata de una nueva metodología cuyo detalle aún es desconocido, que implicará ajustes tecnológicos y desarrollos internos en las empresas para su correcta aplicación. Por ello, solicitamos que </w:t>
            </w:r>
            <w:r w:rsidRPr="007E63A2">
              <w:rPr>
                <w:rFonts w:ascii="Calibri" w:hAnsi="Calibri" w:cs="Calibri"/>
                <w:color w:val="000000"/>
                <w:sz w:val="16"/>
                <w:szCs w:val="16"/>
                <w:lang w:eastAsia="zh-CN"/>
              </w:rPr>
              <w:lastRenderedPageBreak/>
              <w:t>este plazo se amplíe a un a un mínimo de tres meses, a fin de realizar las actualizaciones y adecuaciones necesarias.</w:t>
            </w:r>
          </w:p>
        </w:tc>
        <w:tc>
          <w:tcPr>
            <w:tcW w:w="745" w:type="pct"/>
            <w:tcBorders>
              <w:top w:val="nil"/>
              <w:left w:val="nil"/>
              <w:bottom w:val="single" w:sz="4" w:space="0" w:color="auto"/>
              <w:right w:val="single" w:sz="4" w:space="0" w:color="auto"/>
            </w:tcBorders>
            <w:vAlign w:val="center"/>
            <w:hideMark/>
          </w:tcPr>
          <w:p w14:paraId="2E894AA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Aplicación hasta que la Comisión defina a través de resolución el traslado del costo de compras de energía al valor del Mcm, el cual aplicará a partir del tercer mes siguiente de expedida.</w:t>
            </w:r>
          </w:p>
        </w:tc>
        <w:tc>
          <w:tcPr>
            <w:tcW w:w="1521" w:type="pct"/>
            <w:tcBorders>
              <w:top w:val="nil"/>
              <w:left w:val="nil"/>
              <w:bottom w:val="single" w:sz="4" w:space="0" w:color="auto"/>
              <w:right w:val="single" w:sz="4" w:space="0" w:color="auto"/>
            </w:tcBorders>
            <w:vAlign w:val="center"/>
            <w:hideMark/>
          </w:tcPr>
          <w:p w14:paraId="6401474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acoge el comentario. Ver respuesta a comentario 31.</w:t>
            </w:r>
          </w:p>
        </w:tc>
      </w:tr>
      <w:tr w:rsidR="00651E5A" w:rsidRPr="007E63A2" w14:paraId="1F8526C2" w14:textId="77777777" w:rsidTr="00A747ED">
        <w:trPr>
          <w:trHeight w:val="572"/>
        </w:trPr>
        <w:tc>
          <w:tcPr>
            <w:tcW w:w="151" w:type="pct"/>
            <w:tcBorders>
              <w:top w:val="nil"/>
              <w:left w:val="single" w:sz="4" w:space="0" w:color="auto"/>
              <w:bottom w:val="single" w:sz="4" w:space="0" w:color="auto"/>
              <w:right w:val="single" w:sz="4" w:space="0" w:color="auto"/>
            </w:tcBorders>
            <w:vAlign w:val="center"/>
            <w:hideMark/>
          </w:tcPr>
          <w:p w14:paraId="3657D0C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61</w:t>
            </w:r>
          </w:p>
        </w:tc>
        <w:tc>
          <w:tcPr>
            <w:tcW w:w="414" w:type="pct"/>
            <w:tcBorders>
              <w:top w:val="nil"/>
              <w:left w:val="nil"/>
              <w:bottom w:val="single" w:sz="4" w:space="0" w:color="auto"/>
              <w:right w:val="single" w:sz="4" w:space="0" w:color="auto"/>
            </w:tcBorders>
            <w:vAlign w:val="center"/>
            <w:hideMark/>
          </w:tcPr>
          <w:p w14:paraId="61F23A9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E2025013249</w:t>
            </w:r>
          </w:p>
        </w:tc>
        <w:tc>
          <w:tcPr>
            <w:tcW w:w="366" w:type="pct"/>
            <w:tcBorders>
              <w:top w:val="nil"/>
              <w:left w:val="nil"/>
              <w:bottom w:val="single" w:sz="4" w:space="0" w:color="auto"/>
              <w:right w:val="single" w:sz="4" w:space="0" w:color="auto"/>
            </w:tcBorders>
            <w:vAlign w:val="center"/>
            <w:hideMark/>
          </w:tcPr>
          <w:p w14:paraId="24BE7ED6" w14:textId="77777777" w:rsidR="006B34EA" w:rsidRPr="00310122" w:rsidRDefault="006B34EA" w:rsidP="006B34EA">
            <w:pPr>
              <w:jc w:val="center"/>
              <w:rPr>
                <w:rFonts w:ascii="Calibri" w:hAnsi="Calibri" w:cs="Calibri"/>
                <w:color w:val="000000"/>
                <w:sz w:val="16"/>
                <w:szCs w:val="16"/>
                <w:lang w:val="pt-PT" w:eastAsia="zh-CN"/>
              </w:rPr>
            </w:pPr>
            <w:r w:rsidRPr="00310122">
              <w:rPr>
                <w:rFonts w:ascii="Calibri" w:hAnsi="Calibri" w:cs="Calibri"/>
                <w:color w:val="000000"/>
                <w:sz w:val="16"/>
                <w:szCs w:val="16"/>
                <w:lang w:val="pt-PT" w:eastAsia="zh-CN"/>
              </w:rPr>
              <w:t xml:space="preserve">Empresas Grupo EPM (AFINIA; CENS, CHEC, EDEQ, ESSA y EPM) </w:t>
            </w:r>
          </w:p>
        </w:tc>
        <w:tc>
          <w:tcPr>
            <w:tcW w:w="1804" w:type="pct"/>
            <w:tcBorders>
              <w:top w:val="nil"/>
              <w:left w:val="nil"/>
              <w:bottom w:val="single" w:sz="4" w:space="0" w:color="auto"/>
              <w:right w:val="single" w:sz="4" w:space="0" w:color="auto"/>
            </w:tcBorders>
            <w:vAlign w:val="center"/>
            <w:hideMark/>
          </w:tcPr>
          <w:p w14:paraId="3B14924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Respecto a cargos STN y STR la Resolución establece que el LAC obtendrá la demanda comercial real de cada comercializador y lo tendrá en cuenta para el cálculo de cargos, para la liquidación del OR al Comercializador y que se hace por frontera, entendemos que se hace de acuerdo con las características de cada usuario de la comunidad (nivel de tensión, capacidad instalada, porcentaje de distribución de excedentes, entre otros). Por favor, confirmar</w:t>
            </w:r>
          </w:p>
        </w:tc>
        <w:tc>
          <w:tcPr>
            <w:tcW w:w="745" w:type="pct"/>
            <w:tcBorders>
              <w:top w:val="nil"/>
              <w:left w:val="nil"/>
              <w:bottom w:val="single" w:sz="4" w:space="0" w:color="auto"/>
              <w:right w:val="single" w:sz="4" w:space="0" w:color="auto"/>
            </w:tcBorders>
            <w:vAlign w:val="center"/>
            <w:hideMark/>
          </w:tcPr>
          <w:p w14:paraId="1F3BE8D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5861159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Comisión no está modificando cómo se calcula la demanda real conforme la regulación vigente. La intención del ajuste corresponde a balancear la demanda real conforme si el comercializador tiene usuarios AGPE y atiende en su mercado de comercialización o en otro mercado. Simplemente se tienen en cuenta los excedentes que tiene cargo el comercializador los cuales se entregan en el punto de conexión correspondiente del usuario AGPE, que pueden estar en diferentes niveles de tensión. Adicionalmente, como una comunidad energética es igual que varios AGPE, se tienen en cuenta estos excedentes por punto de conexión en el balance.</w:t>
            </w:r>
          </w:p>
        </w:tc>
      </w:tr>
      <w:tr w:rsidR="00651E5A" w:rsidRPr="007E63A2" w14:paraId="2E513B62" w14:textId="77777777" w:rsidTr="00651E5A">
        <w:trPr>
          <w:trHeight w:val="5510"/>
        </w:trPr>
        <w:tc>
          <w:tcPr>
            <w:tcW w:w="151" w:type="pct"/>
            <w:tcBorders>
              <w:top w:val="nil"/>
              <w:left w:val="single" w:sz="4" w:space="0" w:color="auto"/>
              <w:bottom w:val="single" w:sz="4" w:space="0" w:color="auto"/>
              <w:right w:val="single" w:sz="4" w:space="0" w:color="auto"/>
            </w:tcBorders>
            <w:vAlign w:val="center"/>
            <w:hideMark/>
          </w:tcPr>
          <w:p w14:paraId="522C941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62</w:t>
            </w:r>
          </w:p>
        </w:tc>
        <w:tc>
          <w:tcPr>
            <w:tcW w:w="414" w:type="pct"/>
            <w:tcBorders>
              <w:top w:val="nil"/>
              <w:left w:val="nil"/>
              <w:bottom w:val="single" w:sz="4" w:space="0" w:color="auto"/>
              <w:right w:val="single" w:sz="4" w:space="0" w:color="auto"/>
            </w:tcBorders>
            <w:vAlign w:val="center"/>
            <w:hideMark/>
          </w:tcPr>
          <w:p w14:paraId="133A890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E2025013250</w:t>
            </w:r>
          </w:p>
        </w:tc>
        <w:tc>
          <w:tcPr>
            <w:tcW w:w="366" w:type="pct"/>
            <w:tcBorders>
              <w:top w:val="nil"/>
              <w:left w:val="nil"/>
              <w:bottom w:val="single" w:sz="4" w:space="0" w:color="auto"/>
              <w:right w:val="single" w:sz="4" w:space="0" w:color="auto"/>
            </w:tcBorders>
            <w:vAlign w:val="center"/>
            <w:hideMark/>
          </w:tcPr>
          <w:p w14:paraId="47A8AF3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Unergy Energía Digital</w:t>
            </w:r>
          </w:p>
        </w:tc>
        <w:tc>
          <w:tcPr>
            <w:tcW w:w="1804" w:type="pct"/>
            <w:tcBorders>
              <w:top w:val="nil"/>
              <w:left w:val="nil"/>
              <w:bottom w:val="single" w:sz="4" w:space="0" w:color="auto"/>
              <w:right w:val="single" w:sz="4" w:space="0" w:color="auto"/>
            </w:tcBorders>
            <w:vAlign w:val="center"/>
            <w:hideMark/>
          </w:tcPr>
          <w:p w14:paraId="2D575FC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Lo que se plantea en el Artículo 1 es una modificación del plazo establecido en la Resolución CREG 101 072 de 2025 relacionada con la implementación del precio Mc en la liquidación de los AGPE, GD, AC, GDC, en reemplazo de la tarifa actual de precio de bolsa horario. Inicialmente se habían establecido 6 meses para la implementación del precio MC y se había determinado que la CREG sacaría una metodología aparte para el traslado de compras de energía, que debe realizar el comercialiador al valor del MC. A la fecha, casi 6 meses después de la publicación de la Resolución, aún no se tiene ningún proyecto operativo que se acoja a la nueva normativa ya que sigue pendiente esta última definición de la CREG para que efectivamente un comercializador de energía pueda realizar la liquidación de los excedentes bajo los nuevos esquemas. A su vez, debido a las fluctuaciones del precio de bolsa, actualmente se están teniendo precios muy bajos, lo que está afectando fuertemente la rentabilidad de los proyectos operativos al no poder suplir sus  costos básicos de operación y mantenimiento. En el caso particular del proyecto piloto del barrio El Salvador, que es el primer esquema operativo de Comunidad Energética en el Sistema Interconectado Nacional, está ocurriendo esta situación por la exposición que tienen a las fluctuaciones del precio de bolsa. Así como ellos, diversas comunidades están a la espera de la legalización de sus proyectos bajo la nueva normativa, pero la falta de definiciones ha impedido que esto efectivamente se lleve a cabo. La definición transitoria de que continué el precio de bolsa para la remuneración de los esquemas, hará inviables muchos proyectos que están en negociaciones o en proceso de construcción, que se habían fundamentado en los </w:t>
            </w:r>
            <w:r w:rsidRPr="007E63A2">
              <w:rPr>
                <w:rFonts w:ascii="Calibri" w:hAnsi="Calibri" w:cs="Calibri"/>
                <w:color w:val="000000"/>
                <w:sz w:val="16"/>
                <w:szCs w:val="16"/>
                <w:lang w:eastAsia="zh-CN"/>
              </w:rPr>
              <w:lastRenderedPageBreak/>
              <w:t xml:space="preserve">nuevos lineamientos de remuneración estipulados en la regulación de Comunidades Energéticas y las modificaciones de la Resolución CREG 174 de 2021. </w:t>
            </w:r>
          </w:p>
        </w:tc>
        <w:tc>
          <w:tcPr>
            <w:tcW w:w="745" w:type="pct"/>
            <w:tcBorders>
              <w:top w:val="nil"/>
              <w:left w:val="nil"/>
              <w:bottom w:val="single" w:sz="4" w:space="0" w:color="auto"/>
              <w:right w:val="single" w:sz="4" w:space="0" w:color="auto"/>
            </w:tcBorders>
            <w:vAlign w:val="center"/>
            <w:hideMark/>
          </w:tcPr>
          <w:p w14:paraId="0C01F3A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xml:space="preserve">Se sugiere delimitar el tiempo de transición a MC a 6 meses máximo, pues aunque este puede incrementar los costos de comercializadores independientes que tengan costos muy eficientes, esta solución genera un impacto mucho mayor en el cierre financiero de mayor generación para el país y mejores precios para la costa del país, que hoy sufre de precios elevados. No tener tiempos definidos puede traer inestabilidad jurídica a la regulación y por ende a que el mercado de comunidades energéticas avance rápido. </w:t>
            </w:r>
          </w:p>
        </w:tc>
        <w:tc>
          <w:tcPr>
            <w:tcW w:w="1521" w:type="pct"/>
            <w:tcBorders>
              <w:top w:val="nil"/>
              <w:left w:val="nil"/>
              <w:bottom w:val="single" w:sz="4" w:space="0" w:color="auto"/>
              <w:right w:val="single" w:sz="4" w:space="0" w:color="auto"/>
            </w:tcBorders>
            <w:vAlign w:val="center"/>
            <w:hideMark/>
          </w:tcPr>
          <w:p w14:paraId="41ECA3B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al comentario 1.</w:t>
            </w:r>
          </w:p>
        </w:tc>
      </w:tr>
      <w:tr w:rsidR="00651E5A" w:rsidRPr="007E63A2" w14:paraId="180D0E0B" w14:textId="77777777" w:rsidTr="00651E5A">
        <w:trPr>
          <w:trHeight w:val="5510"/>
        </w:trPr>
        <w:tc>
          <w:tcPr>
            <w:tcW w:w="151" w:type="pct"/>
            <w:tcBorders>
              <w:top w:val="nil"/>
              <w:left w:val="single" w:sz="4" w:space="0" w:color="auto"/>
              <w:bottom w:val="single" w:sz="4" w:space="0" w:color="auto"/>
              <w:right w:val="single" w:sz="4" w:space="0" w:color="auto"/>
            </w:tcBorders>
            <w:vAlign w:val="center"/>
            <w:hideMark/>
          </w:tcPr>
          <w:p w14:paraId="7D5FF64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63</w:t>
            </w:r>
          </w:p>
        </w:tc>
        <w:tc>
          <w:tcPr>
            <w:tcW w:w="414" w:type="pct"/>
            <w:tcBorders>
              <w:top w:val="nil"/>
              <w:left w:val="nil"/>
              <w:bottom w:val="single" w:sz="4" w:space="0" w:color="auto"/>
              <w:right w:val="single" w:sz="4" w:space="0" w:color="auto"/>
            </w:tcBorders>
            <w:vAlign w:val="center"/>
            <w:hideMark/>
          </w:tcPr>
          <w:p w14:paraId="65777C7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E2025013253</w:t>
            </w:r>
          </w:p>
        </w:tc>
        <w:tc>
          <w:tcPr>
            <w:tcW w:w="366" w:type="pct"/>
            <w:tcBorders>
              <w:top w:val="nil"/>
              <w:left w:val="nil"/>
              <w:bottom w:val="single" w:sz="4" w:space="0" w:color="auto"/>
              <w:right w:val="single" w:sz="4" w:space="0" w:color="auto"/>
            </w:tcBorders>
            <w:vAlign w:val="center"/>
            <w:hideMark/>
          </w:tcPr>
          <w:p w14:paraId="33EF0BD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SOLENIUM</w:t>
            </w:r>
          </w:p>
        </w:tc>
        <w:tc>
          <w:tcPr>
            <w:tcW w:w="1804" w:type="pct"/>
            <w:tcBorders>
              <w:top w:val="nil"/>
              <w:left w:val="nil"/>
              <w:bottom w:val="single" w:sz="4" w:space="0" w:color="auto"/>
              <w:right w:val="single" w:sz="4" w:space="0" w:color="auto"/>
            </w:tcBorders>
            <w:vAlign w:val="center"/>
            <w:hideMark/>
          </w:tcPr>
          <w:p w14:paraId="74A627C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Lo que se plantea en el Artículo 1 es una modificación del plazo establecido en la Resolución CREG 101 072 de 2025 relacionada con la implementación del precio Mc en la liquidación de los AGPE, GD, AC, GDC, en reemplazo de la tarifa actual de precio de bolsa horario. Inicialmente se habían establecido 6 meses para la implementación del precio MC y se había determinado que la CREG sacaría una metodología aparte para el traslado de compras de energía, que debe realizar el comercialiador al valor del MC. A la fecha, casi 6 meses después de la publicación de la Resolución, aún no se tiene ningún proyecto operativo que se acoja a la nueva normativa ya que sigue pendiente esta última definición de la CREG para que efectivamente un comercializador de energía pueda realizar la liquidación de los excedentes de  los nuevos esquemas. A su vez, debido a las fluctuaciones del precio de bolsa, actualmente se están teniendo precios muy bajos, lo que está afectando fuertemente la rentabilidad de los proyectos operativos al no poder suplir sus  costos básicos de operación y mantenimiento. En el caso particular del proyecto piloto del barrio El Salvador en Medellín, que es el primer esquema operativo de Comunidad Energética en el Sistema Interconectado Nacional, está ocurriendo esta situación por la exposición que tienen a las fluctuaciones del precio de bolsa. Así como ellos, diversas comunidades están a la espera de la legalización de sus proyectos bajo la nueva normativa, pero la falta de definiciones ha impedido que esto efectivamente se lleve a cabo. La definición transitoria de que continué el precio de bolsa para la remuneración de los esquemas, hará inviables muchos proyectos que están en negociaciones o en proceso de construcción, que se habían fundamentado en los nuevos lineamientos estipulados en la regulación de Comunidades Energéticas y las modificaciones de la Resolución CREG 174 de 2021. </w:t>
            </w:r>
          </w:p>
        </w:tc>
        <w:tc>
          <w:tcPr>
            <w:tcW w:w="745" w:type="pct"/>
            <w:tcBorders>
              <w:top w:val="nil"/>
              <w:left w:val="nil"/>
              <w:bottom w:val="single" w:sz="4" w:space="0" w:color="auto"/>
              <w:right w:val="single" w:sz="4" w:space="0" w:color="auto"/>
            </w:tcBorders>
            <w:vAlign w:val="center"/>
            <w:hideMark/>
          </w:tcPr>
          <w:p w14:paraId="25519E2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Entendiendo el impacto que puede llegar a tener la implementación del precio Mc para los comercializadores,en particular aquellos que no están integrados al OR, sin dejar de lado la necesidad de tener condiciones habilitantes para que los proyectos de Comunidades Energéticas efectivamente se lleven a cabo en el sector, consideramos que debe definirse un plazo máximo y definido de 6 meses adicionales para que la CREG realice las últimas definiciones, dándole prioridad a que efectivamente pueda ponerse en práctica la Resolución 101 072 de 2025 asociado al gran interés que existe de los diferentes actores de iniciar con la implementación de los proyectos bajo estos nuevos lineamientos. </w:t>
            </w:r>
          </w:p>
        </w:tc>
        <w:tc>
          <w:tcPr>
            <w:tcW w:w="1521" w:type="pct"/>
            <w:tcBorders>
              <w:top w:val="nil"/>
              <w:left w:val="nil"/>
              <w:bottom w:val="single" w:sz="4" w:space="0" w:color="auto"/>
              <w:right w:val="single" w:sz="4" w:space="0" w:color="auto"/>
            </w:tcBorders>
            <w:vAlign w:val="center"/>
            <w:hideMark/>
          </w:tcPr>
          <w:p w14:paraId="472CAD9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 respuesta dada al comentario 1.</w:t>
            </w:r>
          </w:p>
        </w:tc>
      </w:tr>
      <w:tr w:rsidR="00651E5A" w:rsidRPr="007E63A2" w14:paraId="310FE4C4" w14:textId="77777777" w:rsidTr="004416DC">
        <w:trPr>
          <w:trHeight w:val="5074"/>
        </w:trPr>
        <w:tc>
          <w:tcPr>
            <w:tcW w:w="151" w:type="pct"/>
            <w:tcBorders>
              <w:top w:val="nil"/>
              <w:left w:val="single" w:sz="4" w:space="0" w:color="auto"/>
              <w:bottom w:val="single" w:sz="4" w:space="0" w:color="auto"/>
              <w:right w:val="single" w:sz="4" w:space="0" w:color="auto"/>
            </w:tcBorders>
            <w:vAlign w:val="center"/>
            <w:hideMark/>
          </w:tcPr>
          <w:p w14:paraId="47E083B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64</w:t>
            </w:r>
          </w:p>
        </w:tc>
        <w:tc>
          <w:tcPr>
            <w:tcW w:w="414" w:type="pct"/>
            <w:tcBorders>
              <w:top w:val="nil"/>
              <w:left w:val="nil"/>
              <w:bottom w:val="single" w:sz="4" w:space="0" w:color="auto"/>
              <w:right w:val="single" w:sz="4" w:space="0" w:color="auto"/>
            </w:tcBorders>
            <w:vAlign w:val="center"/>
            <w:hideMark/>
          </w:tcPr>
          <w:p w14:paraId="0B2963B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E2025013255</w:t>
            </w:r>
          </w:p>
        </w:tc>
        <w:tc>
          <w:tcPr>
            <w:tcW w:w="366" w:type="pct"/>
            <w:tcBorders>
              <w:top w:val="nil"/>
              <w:left w:val="nil"/>
              <w:bottom w:val="single" w:sz="4" w:space="0" w:color="auto"/>
              <w:right w:val="single" w:sz="4" w:space="0" w:color="auto"/>
            </w:tcBorders>
            <w:vAlign w:val="center"/>
            <w:hideMark/>
          </w:tcPr>
          <w:p w14:paraId="4DE3165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ASOCODIS</w:t>
            </w:r>
          </w:p>
        </w:tc>
        <w:tc>
          <w:tcPr>
            <w:tcW w:w="1804" w:type="pct"/>
            <w:tcBorders>
              <w:top w:val="nil"/>
              <w:left w:val="nil"/>
              <w:bottom w:val="single" w:sz="4" w:space="0" w:color="auto"/>
              <w:right w:val="single" w:sz="4" w:space="0" w:color="auto"/>
            </w:tcBorders>
            <w:vAlign w:val="center"/>
            <w:hideMark/>
          </w:tcPr>
          <w:p w14:paraId="1BDD87B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Del documento soporte se evidencia la necesidad de aclarar la aplicación de las reglas sobre el traslado de compras de los Autogeneradores Colectivos (AC) y Generadores Distribuidos Colectivos (GDC); sin embargo, consideramos fundamental que este desarrollo regulatorio se realice de manera independiente, es decir, la fórmula de traslado debería desarrollarse dentro de la Resolución CREG 101 072 de 2025, y no asociando las mismas a las disposiciones establecidas para los AGPE y GD de la Resolución CREG 174 de 2021. Si bien somos conscientes de que en la práctica comparten elementos comunes en cuanto a reconocimiento de excedentes y traslado de compras, el desarrollo normativo debe ser independiente para garantizar precisión y seguridad jurídica para los diferentes actores involucrados.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En el mismo sentido, es importante que se especifique de manera precisa la forma en que las variables asociadas a AC y GDC se incorporan dentro de las fórmulas de traslado de compras al usuario regulado, sin remitirse a otra norma. Esto es esencial para evitar huecos regulatorios que deriven en confusiones o incluso la imposibilidad de que el comercializador traslade los costos por falta de claridad normativa.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Por lo anterior, solicitamos que, dentro de la Resolución definitiva, se incorpore y desarrolle de manera explícita todas las fórmulas aplicables a las figuras de AC y GDC, en lugar de remitir de forma genérica “donde corresponda” a una Resolución cuyo alcance es diferente. Este tipo de remisión resulta insuficiente y forzada frente a un tema tan importante como es la adecuada implementación y operación de Comunidades Energéticas.</w:t>
            </w:r>
          </w:p>
        </w:tc>
        <w:tc>
          <w:tcPr>
            <w:tcW w:w="745" w:type="pct"/>
            <w:tcBorders>
              <w:top w:val="nil"/>
              <w:left w:val="nil"/>
              <w:bottom w:val="single" w:sz="4" w:space="0" w:color="auto"/>
              <w:right w:val="single" w:sz="4" w:space="0" w:color="auto"/>
            </w:tcBorders>
            <w:vAlign w:val="center"/>
            <w:hideMark/>
          </w:tcPr>
          <w:p w14:paraId="1CAC251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131894C4" w14:textId="3EBAD02B"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La valoración de excedentes del Autogenerador Colectivo actualmente se refieren a la Resolución CREG 174 de 2021 de manera transitoria. Así mismo, </w:t>
            </w:r>
            <w:r w:rsidR="00651E5A" w:rsidRPr="007E63A2">
              <w:rPr>
                <w:rFonts w:ascii="Calibri" w:hAnsi="Calibri" w:cs="Calibri"/>
                <w:color w:val="000000"/>
                <w:sz w:val="16"/>
                <w:szCs w:val="16"/>
                <w:lang w:eastAsia="zh-CN"/>
              </w:rPr>
              <w:t>agradecemos</w:t>
            </w:r>
            <w:r w:rsidRPr="007E63A2">
              <w:rPr>
                <w:rFonts w:ascii="Calibri" w:hAnsi="Calibri" w:cs="Calibri"/>
                <w:color w:val="000000"/>
                <w:sz w:val="16"/>
                <w:szCs w:val="16"/>
                <w:lang w:eastAsia="zh-CN"/>
              </w:rPr>
              <w:t xml:space="preserve"> referirse a la respuesta dada al comentario 32.</w:t>
            </w:r>
          </w:p>
        </w:tc>
      </w:tr>
      <w:tr w:rsidR="00651E5A" w:rsidRPr="007E63A2" w14:paraId="17FF793A" w14:textId="77777777" w:rsidTr="00651E5A">
        <w:trPr>
          <w:trHeight w:val="2320"/>
        </w:trPr>
        <w:tc>
          <w:tcPr>
            <w:tcW w:w="151" w:type="pct"/>
            <w:tcBorders>
              <w:top w:val="nil"/>
              <w:left w:val="single" w:sz="4" w:space="0" w:color="auto"/>
              <w:bottom w:val="single" w:sz="4" w:space="0" w:color="auto"/>
              <w:right w:val="single" w:sz="4" w:space="0" w:color="auto"/>
            </w:tcBorders>
            <w:vAlign w:val="center"/>
            <w:hideMark/>
          </w:tcPr>
          <w:p w14:paraId="49C80A9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65</w:t>
            </w:r>
          </w:p>
        </w:tc>
        <w:tc>
          <w:tcPr>
            <w:tcW w:w="414" w:type="pct"/>
            <w:tcBorders>
              <w:top w:val="nil"/>
              <w:left w:val="nil"/>
              <w:bottom w:val="single" w:sz="4" w:space="0" w:color="auto"/>
              <w:right w:val="single" w:sz="4" w:space="0" w:color="auto"/>
            </w:tcBorders>
            <w:vAlign w:val="center"/>
            <w:hideMark/>
          </w:tcPr>
          <w:p w14:paraId="1A4A54F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E2025013255</w:t>
            </w:r>
          </w:p>
        </w:tc>
        <w:tc>
          <w:tcPr>
            <w:tcW w:w="366" w:type="pct"/>
            <w:tcBorders>
              <w:top w:val="nil"/>
              <w:left w:val="nil"/>
              <w:bottom w:val="single" w:sz="4" w:space="0" w:color="auto"/>
              <w:right w:val="single" w:sz="4" w:space="0" w:color="auto"/>
            </w:tcBorders>
            <w:vAlign w:val="center"/>
            <w:hideMark/>
          </w:tcPr>
          <w:p w14:paraId="30A9431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ASOCODIS</w:t>
            </w:r>
          </w:p>
        </w:tc>
        <w:tc>
          <w:tcPr>
            <w:tcW w:w="1804" w:type="pct"/>
            <w:tcBorders>
              <w:top w:val="nil"/>
              <w:left w:val="nil"/>
              <w:bottom w:val="single" w:sz="4" w:space="0" w:color="auto"/>
              <w:right w:val="single" w:sz="4" w:space="0" w:color="auto"/>
            </w:tcBorders>
            <w:vAlign w:val="center"/>
            <w:hideMark/>
          </w:tcPr>
          <w:p w14:paraId="6880BE1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Por otra parte, con relación a lo propuesto en los artículos 2, 3 y 4 sobre la aplicación del traslado de compras en función del Mc, en los cuales se indica que “aplicará a partir del mes siguiente de expedida. Cuando lo anterior suceda, el agente comercializador deberá enviar el contrato actualizado al usuario”, consideramos que este plazo es muy corto, toda vez que: i. La metodología para traslado en función del Mc aún es desconocida y un mes no resulta suficiente para comprenderla e implementarla; y ii. Las empresas deberán hacer adecuaciones internas para efectos de actualizaciones tecnológicas, que, con seguridad, demandan mayor tiempo. Dado lo anterior, sugerimos que el tiempo de aplicación sea de al menos 3 meses posterior a la publicación de la Resolución definitiva.</w:t>
            </w:r>
          </w:p>
        </w:tc>
        <w:tc>
          <w:tcPr>
            <w:tcW w:w="745" w:type="pct"/>
            <w:tcBorders>
              <w:top w:val="nil"/>
              <w:left w:val="nil"/>
              <w:bottom w:val="single" w:sz="4" w:space="0" w:color="auto"/>
              <w:right w:val="single" w:sz="4" w:space="0" w:color="auto"/>
            </w:tcBorders>
            <w:vAlign w:val="center"/>
            <w:hideMark/>
          </w:tcPr>
          <w:p w14:paraId="2E0A9E8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686F7C4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acoge el comentario. Ver respuesta a comentario 31.</w:t>
            </w:r>
          </w:p>
        </w:tc>
      </w:tr>
      <w:tr w:rsidR="00651E5A" w:rsidRPr="007E63A2" w14:paraId="39F687B0" w14:textId="77777777" w:rsidTr="004416DC">
        <w:trPr>
          <w:trHeight w:val="2097"/>
        </w:trPr>
        <w:tc>
          <w:tcPr>
            <w:tcW w:w="151" w:type="pct"/>
            <w:tcBorders>
              <w:top w:val="nil"/>
              <w:left w:val="single" w:sz="4" w:space="0" w:color="auto"/>
              <w:bottom w:val="single" w:sz="4" w:space="0" w:color="auto"/>
              <w:right w:val="single" w:sz="4" w:space="0" w:color="auto"/>
            </w:tcBorders>
            <w:vAlign w:val="center"/>
            <w:hideMark/>
          </w:tcPr>
          <w:p w14:paraId="3EDA59D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66</w:t>
            </w:r>
          </w:p>
        </w:tc>
        <w:tc>
          <w:tcPr>
            <w:tcW w:w="414" w:type="pct"/>
            <w:tcBorders>
              <w:top w:val="nil"/>
              <w:left w:val="nil"/>
              <w:bottom w:val="single" w:sz="4" w:space="0" w:color="auto"/>
              <w:right w:val="single" w:sz="4" w:space="0" w:color="auto"/>
            </w:tcBorders>
            <w:vAlign w:val="center"/>
            <w:hideMark/>
          </w:tcPr>
          <w:p w14:paraId="59B5A10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E2025013255</w:t>
            </w:r>
          </w:p>
        </w:tc>
        <w:tc>
          <w:tcPr>
            <w:tcW w:w="366" w:type="pct"/>
            <w:tcBorders>
              <w:top w:val="nil"/>
              <w:left w:val="nil"/>
              <w:bottom w:val="single" w:sz="4" w:space="0" w:color="auto"/>
              <w:right w:val="single" w:sz="4" w:space="0" w:color="auto"/>
            </w:tcBorders>
            <w:vAlign w:val="center"/>
            <w:hideMark/>
          </w:tcPr>
          <w:p w14:paraId="27EEDF5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ASOCODIS</w:t>
            </w:r>
          </w:p>
        </w:tc>
        <w:tc>
          <w:tcPr>
            <w:tcW w:w="1804" w:type="pct"/>
            <w:tcBorders>
              <w:top w:val="nil"/>
              <w:left w:val="nil"/>
              <w:bottom w:val="single" w:sz="4" w:space="0" w:color="auto"/>
              <w:right w:val="single" w:sz="4" w:space="0" w:color="auto"/>
            </w:tcBorders>
            <w:vAlign w:val="center"/>
            <w:hideMark/>
          </w:tcPr>
          <w:p w14:paraId="11FB9C2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Finalmente, observamos que el documento soporte CREG No. 901 207 de 2025 contiene aclaraciones relevantes sobre la aplicación de la resolución CREG 101 072 de 2025, tales como los relacionados con: la definición de Comunidades Energéticas, el registro ante XM de un generador distribuido existente (que no puede ser representado por un comercializador) y que quiere ser parte de una Comunidad Energética, el mantener la regla de medidor bidireccional cuando la liquidación de los Excedentes Tipo 2 se inicie a realizar con el Mc, el cambio de condiciones del punto de conexión que ya estaba aprobado con la aplicación de la solicitud de conexión simplificado, entre otros que la Comisión considere pertinentes, las cuales consideramos importante deben ser incorporadas directamente en la resolución definitiva sobre AC y GDC.</w:t>
            </w:r>
          </w:p>
        </w:tc>
        <w:tc>
          <w:tcPr>
            <w:tcW w:w="745" w:type="pct"/>
            <w:tcBorders>
              <w:top w:val="nil"/>
              <w:left w:val="nil"/>
              <w:bottom w:val="single" w:sz="4" w:space="0" w:color="auto"/>
              <w:right w:val="single" w:sz="4" w:space="0" w:color="auto"/>
            </w:tcBorders>
            <w:vAlign w:val="center"/>
            <w:hideMark/>
          </w:tcPr>
          <w:p w14:paraId="7CA21B7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7204B73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Agradecemos remitirse a las respuestas dadas a los comentarios 33 y 47.</w:t>
            </w:r>
          </w:p>
        </w:tc>
      </w:tr>
      <w:tr w:rsidR="00651E5A" w:rsidRPr="007E63A2" w14:paraId="1D943F7E" w14:textId="77777777" w:rsidTr="004416DC">
        <w:trPr>
          <w:trHeight w:val="4460"/>
        </w:trPr>
        <w:tc>
          <w:tcPr>
            <w:tcW w:w="151" w:type="pct"/>
            <w:tcBorders>
              <w:top w:val="nil"/>
              <w:left w:val="single" w:sz="4" w:space="0" w:color="auto"/>
              <w:bottom w:val="single" w:sz="4" w:space="0" w:color="auto"/>
              <w:right w:val="single" w:sz="4" w:space="0" w:color="auto"/>
            </w:tcBorders>
            <w:vAlign w:val="center"/>
            <w:hideMark/>
          </w:tcPr>
          <w:p w14:paraId="41C02D6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67</w:t>
            </w:r>
          </w:p>
        </w:tc>
        <w:tc>
          <w:tcPr>
            <w:tcW w:w="414" w:type="pct"/>
            <w:tcBorders>
              <w:top w:val="nil"/>
              <w:left w:val="nil"/>
              <w:bottom w:val="single" w:sz="4" w:space="0" w:color="auto"/>
              <w:right w:val="single" w:sz="4" w:space="0" w:color="auto"/>
            </w:tcBorders>
            <w:vAlign w:val="center"/>
            <w:hideMark/>
          </w:tcPr>
          <w:p w14:paraId="049A805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E2025013257</w:t>
            </w:r>
          </w:p>
        </w:tc>
        <w:tc>
          <w:tcPr>
            <w:tcW w:w="366" w:type="pct"/>
            <w:tcBorders>
              <w:top w:val="nil"/>
              <w:left w:val="nil"/>
              <w:bottom w:val="single" w:sz="4" w:space="0" w:color="auto"/>
              <w:right w:val="single" w:sz="4" w:space="0" w:color="auto"/>
            </w:tcBorders>
            <w:vAlign w:val="center"/>
            <w:hideMark/>
          </w:tcPr>
          <w:p w14:paraId="36396A3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AIR-E</w:t>
            </w:r>
          </w:p>
        </w:tc>
        <w:tc>
          <w:tcPr>
            <w:tcW w:w="1804" w:type="pct"/>
            <w:tcBorders>
              <w:top w:val="nil"/>
              <w:left w:val="nil"/>
              <w:bottom w:val="single" w:sz="4" w:space="0" w:color="auto"/>
              <w:right w:val="single" w:sz="4" w:space="0" w:color="auto"/>
            </w:tcBorders>
            <w:vAlign w:val="center"/>
            <w:hideMark/>
          </w:tcPr>
          <w:p w14:paraId="53AD4C3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b/>
                <w:bCs/>
                <w:color w:val="000000"/>
                <w:sz w:val="16"/>
                <w:szCs w:val="16"/>
                <w:lang w:eastAsia="zh-CN"/>
              </w:rPr>
              <w:t>Necesidad de un desarrollo regulatorio específico para AGC y GDC en el traslado de compras:</w:t>
            </w:r>
            <w:r w:rsidRPr="007E63A2">
              <w:rPr>
                <w:rFonts w:ascii="Calibri" w:hAnsi="Calibri" w:cs="Calibri"/>
                <w:color w:val="000000"/>
                <w:sz w:val="16"/>
                <w:szCs w:val="16"/>
                <w:lang w:eastAsia="zh-CN"/>
              </w:rPr>
              <w:t xml:space="preserve"> En el proyecto de resolución se observa la necesidad de precisar las reglas sobre el traslado de compras de los Autogeneradores Colectivos (AC) y Generadores Distribuidos Colectivos (GDC). Consideramos indispensable que este aspecto se aborde de manera independiente, es decir, que la fórmula de traslado se defina dentro de la Resolución CREG 101 072 de 2025, y no mediante la extensión de las disposiciones previstas para los AGPE y GD en la Resolución CREG 174 de 2021. Aunque existen similitudes en cuanto al reconocimiento de excedentes y traslado de compras, se requiere un desarrollo normativo diferenciado para garantizar certeza y seguridad jurídica.</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Así mismo, es importante que se especifique de forma explícita cómo las variables propias de AC y GDC se integran en las fórmulas de traslado de compras al usuario regulado, evitando remisiones a normas externas que puedan generar vacíos o falta de claridad en el traslado de las compras.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En consecuencia, solicitamos que la Resolución definitiva incorpore de manera expresa las fórmulas aplicables a AC y GDC, en lugar de remitir a otra regulación cuyo alcance es distinto frente a la adecuada implementación y operación de las Comunidades Energéticas.</w:t>
            </w:r>
          </w:p>
        </w:tc>
        <w:tc>
          <w:tcPr>
            <w:tcW w:w="745" w:type="pct"/>
            <w:tcBorders>
              <w:top w:val="nil"/>
              <w:left w:val="nil"/>
              <w:bottom w:val="single" w:sz="4" w:space="0" w:color="auto"/>
              <w:right w:val="single" w:sz="4" w:space="0" w:color="auto"/>
            </w:tcBorders>
            <w:vAlign w:val="center"/>
            <w:hideMark/>
          </w:tcPr>
          <w:p w14:paraId="3A520B0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787E3A6C" w14:textId="2804CC1F"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La valoración de excedentes del Autogenerador Colectivo actualmente se refieren a la Resolución CREG 174 de 2021 de manera transitoria. Así mismo, </w:t>
            </w:r>
            <w:r w:rsidR="00651E5A" w:rsidRPr="007E63A2">
              <w:rPr>
                <w:rFonts w:ascii="Calibri" w:hAnsi="Calibri" w:cs="Calibri"/>
                <w:color w:val="000000"/>
                <w:sz w:val="16"/>
                <w:szCs w:val="16"/>
                <w:lang w:eastAsia="zh-CN"/>
              </w:rPr>
              <w:t>agradecemos</w:t>
            </w:r>
            <w:r w:rsidRPr="007E63A2">
              <w:rPr>
                <w:rFonts w:ascii="Calibri" w:hAnsi="Calibri" w:cs="Calibri"/>
                <w:color w:val="000000"/>
                <w:sz w:val="16"/>
                <w:szCs w:val="16"/>
                <w:lang w:eastAsia="zh-CN"/>
              </w:rPr>
              <w:t xml:space="preserve"> referirse a la respuesta dada al comentario 32.</w:t>
            </w:r>
          </w:p>
        </w:tc>
      </w:tr>
      <w:tr w:rsidR="00651E5A" w:rsidRPr="007E63A2" w14:paraId="0AC84BC0" w14:textId="77777777" w:rsidTr="003269DD">
        <w:trPr>
          <w:trHeight w:val="60"/>
        </w:trPr>
        <w:tc>
          <w:tcPr>
            <w:tcW w:w="151" w:type="pct"/>
            <w:tcBorders>
              <w:top w:val="nil"/>
              <w:left w:val="single" w:sz="4" w:space="0" w:color="auto"/>
              <w:bottom w:val="single" w:sz="4" w:space="0" w:color="auto"/>
              <w:right w:val="single" w:sz="4" w:space="0" w:color="auto"/>
            </w:tcBorders>
            <w:vAlign w:val="center"/>
            <w:hideMark/>
          </w:tcPr>
          <w:p w14:paraId="5B547AC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68</w:t>
            </w:r>
          </w:p>
        </w:tc>
        <w:tc>
          <w:tcPr>
            <w:tcW w:w="414" w:type="pct"/>
            <w:tcBorders>
              <w:top w:val="nil"/>
              <w:left w:val="nil"/>
              <w:bottom w:val="single" w:sz="4" w:space="0" w:color="auto"/>
              <w:right w:val="single" w:sz="4" w:space="0" w:color="auto"/>
            </w:tcBorders>
            <w:vAlign w:val="center"/>
            <w:hideMark/>
          </w:tcPr>
          <w:p w14:paraId="52F7BC8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E2025013257</w:t>
            </w:r>
          </w:p>
        </w:tc>
        <w:tc>
          <w:tcPr>
            <w:tcW w:w="366" w:type="pct"/>
            <w:tcBorders>
              <w:top w:val="nil"/>
              <w:left w:val="nil"/>
              <w:bottom w:val="single" w:sz="4" w:space="0" w:color="auto"/>
              <w:right w:val="single" w:sz="4" w:space="0" w:color="auto"/>
            </w:tcBorders>
            <w:vAlign w:val="center"/>
            <w:hideMark/>
          </w:tcPr>
          <w:p w14:paraId="0508476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AIR-E</w:t>
            </w:r>
          </w:p>
        </w:tc>
        <w:tc>
          <w:tcPr>
            <w:tcW w:w="1804" w:type="pct"/>
            <w:tcBorders>
              <w:top w:val="nil"/>
              <w:left w:val="nil"/>
              <w:bottom w:val="single" w:sz="4" w:space="0" w:color="auto"/>
              <w:right w:val="single" w:sz="4" w:space="0" w:color="auto"/>
            </w:tcBorders>
            <w:vAlign w:val="center"/>
            <w:hideMark/>
          </w:tcPr>
          <w:p w14:paraId="29A83BB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b/>
                <w:bCs/>
                <w:color w:val="000000"/>
                <w:sz w:val="16"/>
                <w:szCs w:val="16"/>
                <w:lang w:eastAsia="zh-CN"/>
              </w:rPr>
              <w:t xml:space="preserve">Reconocimiento de la energía dejada de suministrar: </w:t>
            </w:r>
            <w:r w:rsidRPr="007E63A2">
              <w:rPr>
                <w:rFonts w:ascii="Calibri" w:hAnsi="Calibri" w:cs="Calibri"/>
                <w:color w:val="000000"/>
                <w:sz w:val="16"/>
                <w:szCs w:val="16"/>
                <w:lang w:eastAsia="zh-CN"/>
              </w:rPr>
              <w:t xml:space="preserve">Se solicita que sea modificada la Resolución CREG 174 de 2021 o Resolución CREG 101 072 de 2025 para que se habilite la posibilidad de cobrar a los generadores integrados a GDC y GD, así como a los AGPE </w:t>
            </w:r>
            <w:r w:rsidRPr="007E63A2">
              <w:rPr>
                <w:rFonts w:ascii="Calibri" w:hAnsi="Calibri" w:cs="Calibri"/>
                <w:color w:val="000000"/>
                <w:sz w:val="16"/>
                <w:szCs w:val="16"/>
                <w:lang w:eastAsia="zh-CN"/>
              </w:rPr>
              <w:lastRenderedPageBreak/>
              <w:t>mayores a 100 kW, el valor correspondiente a la energía dejada de suministrar (ENS) o demanda no atendida, en los eventos en que la operación de estos proyectos cause indisponibilidades o afectaciones en la red que impacten directamente a la demanda regulada y no regulada del mercado.</w:t>
            </w:r>
          </w:p>
        </w:tc>
        <w:tc>
          <w:tcPr>
            <w:tcW w:w="745" w:type="pct"/>
            <w:tcBorders>
              <w:top w:val="nil"/>
              <w:left w:val="nil"/>
              <w:bottom w:val="single" w:sz="4" w:space="0" w:color="auto"/>
              <w:right w:val="single" w:sz="4" w:space="0" w:color="auto"/>
            </w:tcBorders>
            <w:vAlign w:val="center"/>
            <w:hideMark/>
          </w:tcPr>
          <w:p w14:paraId="3608D57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w:t>
            </w:r>
          </w:p>
        </w:tc>
        <w:tc>
          <w:tcPr>
            <w:tcW w:w="1521" w:type="pct"/>
            <w:tcBorders>
              <w:top w:val="nil"/>
              <w:left w:val="nil"/>
              <w:bottom w:val="single" w:sz="4" w:space="0" w:color="auto"/>
              <w:right w:val="single" w:sz="4" w:space="0" w:color="auto"/>
            </w:tcBorders>
            <w:vAlign w:val="center"/>
            <w:hideMark/>
          </w:tcPr>
          <w:p w14:paraId="0BF32B1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El comentario no hace parte del alcance del proyecto regulatorio en consulta.</w:t>
            </w:r>
          </w:p>
        </w:tc>
      </w:tr>
      <w:tr w:rsidR="00651E5A" w:rsidRPr="007E63A2" w14:paraId="65B27A24" w14:textId="77777777" w:rsidTr="00651E5A">
        <w:trPr>
          <w:trHeight w:val="6670"/>
        </w:trPr>
        <w:tc>
          <w:tcPr>
            <w:tcW w:w="151" w:type="pct"/>
            <w:tcBorders>
              <w:top w:val="nil"/>
              <w:left w:val="single" w:sz="4" w:space="0" w:color="auto"/>
              <w:bottom w:val="single" w:sz="4" w:space="0" w:color="auto"/>
              <w:right w:val="single" w:sz="4" w:space="0" w:color="auto"/>
            </w:tcBorders>
            <w:vAlign w:val="center"/>
            <w:hideMark/>
          </w:tcPr>
          <w:p w14:paraId="410EC20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69</w:t>
            </w:r>
          </w:p>
        </w:tc>
        <w:tc>
          <w:tcPr>
            <w:tcW w:w="414" w:type="pct"/>
            <w:tcBorders>
              <w:top w:val="nil"/>
              <w:left w:val="nil"/>
              <w:bottom w:val="single" w:sz="4" w:space="0" w:color="auto"/>
              <w:right w:val="single" w:sz="4" w:space="0" w:color="auto"/>
            </w:tcBorders>
            <w:vAlign w:val="center"/>
            <w:hideMark/>
          </w:tcPr>
          <w:p w14:paraId="6E36E9C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E2025013257</w:t>
            </w:r>
          </w:p>
        </w:tc>
        <w:tc>
          <w:tcPr>
            <w:tcW w:w="366" w:type="pct"/>
            <w:tcBorders>
              <w:top w:val="nil"/>
              <w:left w:val="nil"/>
              <w:bottom w:val="single" w:sz="4" w:space="0" w:color="auto"/>
              <w:right w:val="single" w:sz="4" w:space="0" w:color="auto"/>
            </w:tcBorders>
            <w:vAlign w:val="center"/>
            <w:hideMark/>
          </w:tcPr>
          <w:p w14:paraId="4BB4341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AIR-E</w:t>
            </w:r>
          </w:p>
        </w:tc>
        <w:tc>
          <w:tcPr>
            <w:tcW w:w="1804" w:type="pct"/>
            <w:tcBorders>
              <w:top w:val="nil"/>
              <w:left w:val="nil"/>
              <w:bottom w:val="single" w:sz="4" w:space="0" w:color="auto"/>
              <w:right w:val="single" w:sz="4" w:space="0" w:color="auto"/>
            </w:tcBorders>
            <w:vAlign w:val="center"/>
            <w:hideMark/>
          </w:tcPr>
          <w:p w14:paraId="5B3F2F4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b/>
                <w:bCs/>
                <w:color w:val="000000"/>
                <w:sz w:val="16"/>
                <w:szCs w:val="16"/>
                <w:lang w:eastAsia="zh-CN"/>
              </w:rPr>
              <w:t>Revisión de solicitudes de conexión – Evaluación del cobro por gestión:</w:t>
            </w:r>
            <w:r w:rsidRPr="007E63A2">
              <w:rPr>
                <w:rFonts w:ascii="Calibri" w:hAnsi="Calibri" w:cs="Calibri"/>
                <w:color w:val="000000"/>
                <w:sz w:val="16"/>
                <w:szCs w:val="16"/>
                <w:lang w:eastAsia="zh-CN"/>
              </w:rPr>
              <w:t xml:space="preserve"> Se solicita considerar la posibilidad de modificar la resolución CREG 174 de 2021 y permitir al Operador de Red (OR) el cobro por la revisión técnica de las solicitudes de conexión de autogeneradores y generadores distribuidos, como también solicitudes de AGC y GDC.</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atención de este tipo de trámites requiere la asignación de recurso humano y softwares especializados para la revisión de la información técnica cargada por los solicitantes, lo cual representa una carga operativa significativa para los OR.</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Actualmente, la recepción de solicitudes de nuevos autogeneradores ha mostrado un crecimiento sostenido, en promedio, se ha duplicado respecto al año anterior y en los últimos años, se ha triplicado. Esta tendencia ha impactado fuertemente a los Operadores de red, cuya capacidad operativa se ve comprometida para cumplir con los tiempos de respuesta exigidos por la normativa vigente.</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La entrada en vigencia del proyecto de resolución bajo estudio, específicamente en lo establecido en el artículo 12 de la Resolución CREG 701 097 de 2025 implicará un aumento aún mayor de solicitudes. En este contexto, no contar con un mecanismo de remuneración directa y expedita para esta labor puede comprometer la sostenibilidad técnica y administrativa del proceso, y exponer al OR a sanciones por parte de la SSPD por eventuales incumplimientos regulatorios en los plazos respuesta a los usuarios.</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Por lo anterior, se propone habilitar normativamente al OR para recaudar un cargo razonable y de libertad vigilada por la revisión técnica de estas solicitudes, permitiendo así la sostenibilidad del proceso y la mejora continua del servicio de conexión.</w:t>
            </w:r>
          </w:p>
        </w:tc>
        <w:tc>
          <w:tcPr>
            <w:tcW w:w="745" w:type="pct"/>
            <w:tcBorders>
              <w:top w:val="nil"/>
              <w:left w:val="nil"/>
              <w:bottom w:val="single" w:sz="4" w:space="0" w:color="auto"/>
              <w:right w:val="single" w:sz="4" w:space="0" w:color="auto"/>
            </w:tcBorders>
            <w:vAlign w:val="center"/>
            <w:hideMark/>
          </w:tcPr>
          <w:p w14:paraId="22064164"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65075771" w14:textId="230A077D"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comentario no es objeto de la propuesta en </w:t>
            </w:r>
            <w:r w:rsidR="00651E5A" w:rsidRPr="007E63A2">
              <w:rPr>
                <w:rFonts w:ascii="Calibri" w:hAnsi="Calibri" w:cs="Calibri"/>
                <w:color w:val="000000"/>
                <w:sz w:val="16"/>
                <w:szCs w:val="16"/>
                <w:lang w:eastAsia="zh-CN"/>
              </w:rPr>
              <w:t>consulta,</w:t>
            </w:r>
            <w:r w:rsidRPr="007E63A2">
              <w:rPr>
                <w:rFonts w:ascii="Calibri" w:hAnsi="Calibri" w:cs="Calibri"/>
                <w:color w:val="000000"/>
                <w:sz w:val="16"/>
                <w:szCs w:val="16"/>
                <w:lang w:eastAsia="zh-CN"/>
              </w:rPr>
              <w:t xml:space="preserve"> pero se informa que en el proceso de construcción de la agenda regulatoria indicativa (ARI) del año 2026, la Comisión incorporará un proyecto para realizar ajustes a la Resolución CREG 174 de 2021 donde el comentario será materia de análisis.</w:t>
            </w:r>
            <w:r w:rsidRPr="007E63A2">
              <w:rPr>
                <w:rFonts w:ascii="Calibri" w:hAnsi="Calibri" w:cs="Calibri"/>
                <w:color w:val="000000"/>
                <w:sz w:val="16"/>
                <w:szCs w:val="16"/>
                <w:lang w:eastAsia="zh-CN"/>
              </w:rPr>
              <w:br/>
              <w:t>Por otro lado, para el GDC entre 1 y 5 MW se tiene en cuenta su comentario en el proyecto de Resolución CREG 701 091 de 2025.</w:t>
            </w:r>
          </w:p>
        </w:tc>
      </w:tr>
      <w:tr w:rsidR="00651E5A" w:rsidRPr="007E63A2" w14:paraId="49983924" w14:textId="77777777" w:rsidTr="00651E5A">
        <w:trPr>
          <w:trHeight w:val="5800"/>
        </w:trPr>
        <w:tc>
          <w:tcPr>
            <w:tcW w:w="151" w:type="pct"/>
            <w:tcBorders>
              <w:top w:val="nil"/>
              <w:left w:val="single" w:sz="4" w:space="0" w:color="auto"/>
              <w:bottom w:val="single" w:sz="4" w:space="0" w:color="auto"/>
              <w:right w:val="single" w:sz="4" w:space="0" w:color="auto"/>
            </w:tcBorders>
            <w:vAlign w:val="center"/>
            <w:hideMark/>
          </w:tcPr>
          <w:p w14:paraId="0B04AD1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70</w:t>
            </w:r>
          </w:p>
        </w:tc>
        <w:tc>
          <w:tcPr>
            <w:tcW w:w="414" w:type="pct"/>
            <w:tcBorders>
              <w:top w:val="nil"/>
              <w:left w:val="nil"/>
              <w:bottom w:val="single" w:sz="4" w:space="0" w:color="auto"/>
              <w:right w:val="single" w:sz="4" w:space="0" w:color="auto"/>
            </w:tcBorders>
            <w:vAlign w:val="center"/>
            <w:hideMark/>
          </w:tcPr>
          <w:p w14:paraId="4D71286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E2025013257</w:t>
            </w:r>
          </w:p>
        </w:tc>
        <w:tc>
          <w:tcPr>
            <w:tcW w:w="366" w:type="pct"/>
            <w:tcBorders>
              <w:top w:val="nil"/>
              <w:left w:val="nil"/>
              <w:bottom w:val="single" w:sz="4" w:space="0" w:color="auto"/>
              <w:right w:val="single" w:sz="4" w:space="0" w:color="auto"/>
            </w:tcBorders>
            <w:vAlign w:val="center"/>
            <w:hideMark/>
          </w:tcPr>
          <w:p w14:paraId="09285B4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AIR-E</w:t>
            </w:r>
          </w:p>
        </w:tc>
        <w:tc>
          <w:tcPr>
            <w:tcW w:w="1804" w:type="pct"/>
            <w:tcBorders>
              <w:top w:val="nil"/>
              <w:left w:val="nil"/>
              <w:bottom w:val="single" w:sz="4" w:space="0" w:color="auto"/>
              <w:right w:val="single" w:sz="4" w:space="0" w:color="auto"/>
            </w:tcBorders>
            <w:vAlign w:val="center"/>
            <w:hideMark/>
          </w:tcPr>
          <w:p w14:paraId="6C42746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El cambio propuesto en el artículo 12 del proyecto de resolución desplaza a los Generadores Distribuidos Colectivos (GDC) desde el esquema procedimental previsto en la Resolución CREG 075 de 2021 hacia el régimen establecido en la Resolución CREG 174 de 2021, generando efectos operativos inmediatos para los Operadores de Red (OR). Esto, a la luz de las funciones de supervisión y coordinación de la operación conferidas por el artículo 5 de la Resolución CREG 101 011 de 2022, implica retos significativos de orden técnico, operativo y de recursos, especialmente ante el crecimiento esperado de proyectos GDC. Entre las principales dificultades se destacan: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▪Integración y gestión en plataformas SCADA/DMS.</w:t>
            </w:r>
            <w:r w:rsidRPr="007E63A2">
              <w:rPr>
                <w:rFonts w:ascii="Calibri" w:hAnsi="Calibri" w:cs="Calibri"/>
                <w:color w:val="000000"/>
                <w:sz w:val="16"/>
                <w:szCs w:val="16"/>
                <w:lang w:eastAsia="zh-CN"/>
              </w:rPr>
              <w:br/>
              <w:t>▪Requerimientos de comunicaciones y ciberseguridad.</w:t>
            </w:r>
            <w:r w:rsidRPr="007E63A2">
              <w:rPr>
                <w:rFonts w:ascii="Calibri" w:hAnsi="Calibri" w:cs="Calibri"/>
                <w:color w:val="000000"/>
                <w:sz w:val="16"/>
                <w:szCs w:val="16"/>
                <w:lang w:eastAsia="zh-CN"/>
              </w:rPr>
              <w:br/>
              <w:t>▪ Coordinación de tensión y realización de estudios operativos.</w:t>
            </w:r>
            <w:r w:rsidRPr="007E63A2">
              <w:rPr>
                <w:rFonts w:ascii="Calibri" w:hAnsi="Calibri" w:cs="Calibri"/>
                <w:color w:val="000000"/>
                <w:sz w:val="16"/>
                <w:szCs w:val="16"/>
                <w:lang w:eastAsia="zh-CN"/>
              </w:rPr>
              <w:br/>
              <w:t>Administración de consignas de emergencia, junto con obligaciones de reporte y conservación histórica de la información.</w:t>
            </w:r>
            <w:r w:rsidRPr="007E63A2">
              <w:rPr>
                <w:rFonts w:ascii="Calibri" w:hAnsi="Calibri" w:cs="Calibri"/>
                <w:color w:val="000000"/>
                <w:sz w:val="16"/>
                <w:szCs w:val="16"/>
                <w:lang w:eastAsia="zh-CN"/>
              </w:rPr>
              <w:br/>
              <w:t>▪ Riesgos de asimetría económico-regulatoria, dado que mientras los generadores perciben ingresos por su actividad, los OR asumen de manera permanente costos de CAPEX y OPEX asociados a la supervisión y coordinación, sin contar con mecanismos expeditos de recuperación.</w:t>
            </w:r>
            <w:r w:rsidRPr="007E63A2">
              <w:rPr>
                <w:rFonts w:ascii="Calibri" w:hAnsi="Calibri" w:cs="Calibri"/>
                <w:color w:val="000000"/>
                <w:sz w:val="16"/>
                <w:szCs w:val="16"/>
                <w:lang w:eastAsia="zh-CN"/>
              </w:rPr>
              <w:br/>
            </w:r>
            <w:r w:rsidRPr="007E63A2">
              <w:rPr>
                <w:rFonts w:ascii="Calibri" w:hAnsi="Calibri" w:cs="Calibri"/>
                <w:color w:val="000000"/>
                <w:sz w:val="16"/>
                <w:szCs w:val="16"/>
                <w:lang w:eastAsia="zh-CN"/>
              </w:rPr>
              <w:br/>
              <w:t>Por lo anterior, se propone autorizar a los OR a pactar con los generadores vinculados a GDC un Acuerdo Operativo de Supervisión, que defina de manera clara las obligaciones y deberes de las partes, los estándares técnicos mínimos aplicables a los esquemas GDC/GD, así como los costos asociados a dichas actividades.</w:t>
            </w:r>
          </w:p>
        </w:tc>
        <w:tc>
          <w:tcPr>
            <w:tcW w:w="745" w:type="pct"/>
            <w:tcBorders>
              <w:top w:val="nil"/>
              <w:left w:val="nil"/>
              <w:bottom w:val="single" w:sz="4" w:space="0" w:color="auto"/>
              <w:right w:val="single" w:sz="4" w:space="0" w:color="auto"/>
            </w:tcBorders>
            <w:vAlign w:val="center"/>
            <w:hideMark/>
          </w:tcPr>
          <w:p w14:paraId="4C797E4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6BEEF775" w14:textId="3E435015"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El comentario no es objeto de la propuesta en </w:t>
            </w:r>
            <w:r w:rsidR="00651E5A" w:rsidRPr="007E63A2">
              <w:rPr>
                <w:rFonts w:ascii="Calibri" w:hAnsi="Calibri" w:cs="Calibri"/>
                <w:color w:val="000000"/>
                <w:sz w:val="16"/>
                <w:szCs w:val="16"/>
                <w:lang w:eastAsia="zh-CN"/>
              </w:rPr>
              <w:t>consulta,</w:t>
            </w:r>
            <w:r w:rsidRPr="007E63A2">
              <w:rPr>
                <w:rFonts w:ascii="Calibri" w:hAnsi="Calibri" w:cs="Calibri"/>
                <w:color w:val="000000"/>
                <w:sz w:val="16"/>
                <w:szCs w:val="16"/>
                <w:lang w:eastAsia="zh-CN"/>
              </w:rPr>
              <w:t xml:space="preserve"> pero se informa que en el proceso de construcción de la agenda regulatoria indicativa (ARI) del año 2026, la Comisión incorporará un proyecto para realizar ajustes a la Resolución CREG 174 de 2021 donde el comentario será materia de análisis.</w:t>
            </w:r>
            <w:r w:rsidRPr="007E63A2">
              <w:rPr>
                <w:rFonts w:ascii="Calibri" w:hAnsi="Calibri" w:cs="Calibri"/>
                <w:color w:val="000000"/>
                <w:sz w:val="16"/>
                <w:szCs w:val="16"/>
                <w:lang w:eastAsia="zh-CN"/>
              </w:rPr>
              <w:br/>
              <w:t>Por otro lado, para el GDC entre 1 y 5 MW se tiene en cuenta su comentario en el proyecto de Resolución CREG 701 091 de 2025.</w:t>
            </w:r>
          </w:p>
        </w:tc>
      </w:tr>
      <w:tr w:rsidR="00651E5A" w:rsidRPr="007E63A2" w14:paraId="639B8724" w14:textId="77777777" w:rsidTr="00A747ED">
        <w:trPr>
          <w:trHeight w:val="113"/>
        </w:trPr>
        <w:tc>
          <w:tcPr>
            <w:tcW w:w="151" w:type="pct"/>
            <w:tcBorders>
              <w:top w:val="nil"/>
              <w:left w:val="single" w:sz="4" w:space="0" w:color="auto"/>
              <w:bottom w:val="single" w:sz="4" w:space="0" w:color="auto"/>
              <w:right w:val="single" w:sz="4" w:space="0" w:color="auto"/>
            </w:tcBorders>
            <w:vAlign w:val="center"/>
            <w:hideMark/>
          </w:tcPr>
          <w:p w14:paraId="6FD4FACF"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71</w:t>
            </w:r>
          </w:p>
        </w:tc>
        <w:tc>
          <w:tcPr>
            <w:tcW w:w="414" w:type="pct"/>
            <w:tcBorders>
              <w:top w:val="nil"/>
              <w:left w:val="nil"/>
              <w:bottom w:val="single" w:sz="4" w:space="0" w:color="auto"/>
              <w:right w:val="single" w:sz="4" w:space="0" w:color="auto"/>
            </w:tcBorders>
            <w:vAlign w:val="center"/>
            <w:hideMark/>
          </w:tcPr>
          <w:p w14:paraId="58A6C42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E2025013279</w:t>
            </w:r>
          </w:p>
        </w:tc>
        <w:tc>
          <w:tcPr>
            <w:tcW w:w="366" w:type="pct"/>
            <w:tcBorders>
              <w:top w:val="nil"/>
              <w:left w:val="nil"/>
              <w:bottom w:val="single" w:sz="4" w:space="0" w:color="auto"/>
              <w:right w:val="single" w:sz="4" w:space="0" w:color="auto"/>
            </w:tcBorders>
            <w:vAlign w:val="center"/>
            <w:hideMark/>
          </w:tcPr>
          <w:p w14:paraId="10BF9D7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SUN FACTORY</w:t>
            </w:r>
          </w:p>
        </w:tc>
        <w:tc>
          <w:tcPr>
            <w:tcW w:w="1804" w:type="pct"/>
            <w:tcBorders>
              <w:top w:val="nil"/>
              <w:left w:val="nil"/>
              <w:bottom w:val="single" w:sz="4" w:space="0" w:color="auto"/>
              <w:right w:val="single" w:sz="4" w:space="0" w:color="auto"/>
            </w:tcBorders>
            <w:vAlign w:val="center"/>
            <w:hideMark/>
          </w:tcPr>
          <w:p w14:paraId="22092997"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Lo que se plantea en el Artículo 1 es una modificación del plazo establecido en la Resolución CREG 101 072 de 2025 relacionada con la implementación del precio Mc en la liquidación de los AGPE, GD, AC, GDC, en reemplazo de la tarifa actual de precio de bolsa horario. Inicialmente se habían establecido 6 meses para la implementación del precio Mc y se había determinado que la CREG sacaría una metodología aparte para el traslado de compras de energía, que debe realizar el comercializador al valor del Mc. A la fecha, casi 6 meses después de la publicación de la Resolución, aún no se tiene ningún proyecto operativo que se acoja a la nueva normativa ya que sigue pendiente esta última definición de la CREG para que efectivamente un comercializador de energía pueda realizar la liquidación de los excedentes bajo los nuevos </w:t>
            </w:r>
            <w:r w:rsidRPr="007E63A2">
              <w:rPr>
                <w:rFonts w:ascii="Calibri" w:hAnsi="Calibri" w:cs="Calibri"/>
                <w:color w:val="000000"/>
                <w:sz w:val="16"/>
                <w:szCs w:val="16"/>
                <w:lang w:eastAsia="zh-CN"/>
              </w:rPr>
              <w:lastRenderedPageBreak/>
              <w:t xml:space="preserve">esquemas. A su vez, debido a las fluctuaciones del precio de bolsa, actualmente se están teniendo precios muy bajos, lo que está afectando fuertemente la rentabilidad de los proyectos operativos al no poder suplir sus costos básicos de operación y mantenimiento. En el caso particular del proyecto piloto del barrio El Salvador, que es el primer esquema operativo de Comunidad Energética en el Sistema Interconectado Nacional, está ocurriendo esta situación por la exposición que tienen a las fluctuaciones del precio de bolsa. Así como ellos, diversas comunidades están a la espera de la legalización de sus proyectos bajo la nueva normativa, pero la falta de definiciones ha impedido que esto efectivamente se lleve a cabo. La definición transitoria de que continúe el precio de bolsa para la remuneración de los esquemas, hará inviables muchos proyectos que están en negociaciones o en proceso de construcción, que se habían fundamentado en los nuevos lineamientos de remuneración estipulados en la regulación de Comunidades Energéticas y las modificaciones de la Resolución CREG 174 de 2021. </w:t>
            </w:r>
          </w:p>
        </w:tc>
        <w:tc>
          <w:tcPr>
            <w:tcW w:w="745" w:type="pct"/>
            <w:tcBorders>
              <w:top w:val="nil"/>
              <w:left w:val="nil"/>
              <w:bottom w:val="single" w:sz="4" w:space="0" w:color="auto"/>
              <w:right w:val="single" w:sz="4" w:space="0" w:color="auto"/>
            </w:tcBorders>
            <w:vAlign w:val="center"/>
            <w:hideMark/>
          </w:tcPr>
          <w:p w14:paraId="548D384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xml:space="preserve">Se sugiere delimitar el tiempo de transición a Mc a 6 meses máximo, pues aunque este puede incrementar los costos de comercializadores independientes que tengan costos muy eficientes, esta solución genera un impacto mucho mayor en el cierre financiero de mayor generación para el país y </w:t>
            </w:r>
            <w:r w:rsidRPr="007E63A2">
              <w:rPr>
                <w:rFonts w:ascii="Calibri" w:hAnsi="Calibri" w:cs="Calibri"/>
                <w:color w:val="000000"/>
                <w:sz w:val="16"/>
                <w:szCs w:val="16"/>
                <w:lang w:eastAsia="zh-CN"/>
              </w:rPr>
              <w:lastRenderedPageBreak/>
              <w:t xml:space="preserve">mejores precios para la costa del país, que hoy sufre de precios elevados. No tener tiempos definidos puede traer inestabilidad jurídica a la regulación y por ende a que el mercado de comunidades energéticas avance rápido. </w:t>
            </w:r>
          </w:p>
        </w:tc>
        <w:tc>
          <w:tcPr>
            <w:tcW w:w="1521" w:type="pct"/>
            <w:tcBorders>
              <w:top w:val="nil"/>
              <w:left w:val="nil"/>
              <w:bottom w:val="single" w:sz="4" w:space="0" w:color="auto"/>
              <w:right w:val="single" w:sz="4" w:space="0" w:color="auto"/>
            </w:tcBorders>
            <w:vAlign w:val="center"/>
            <w:hideMark/>
          </w:tcPr>
          <w:p w14:paraId="48B5055C"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Agradecemos remitirse a la respuesta dada al comentario 1.</w:t>
            </w:r>
          </w:p>
        </w:tc>
      </w:tr>
      <w:tr w:rsidR="00651E5A" w:rsidRPr="007E63A2" w14:paraId="2CC8E649" w14:textId="77777777" w:rsidTr="00A747ED">
        <w:trPr>
          <w:trHeight w:val="133"/>
        </w:trPr>
        <w:tc>
          <w:tcPr>
            <w:tcW w:w="151" w:type="pct"/>
            <w:tcBorders>
              <w:top w:val="nil"/>
              <w:left w:val="single" w:sz="4" w:space="0" w:color="auto"/>
              <w:bottom w:val="single" w:sz="4" w:space="0" w:color="auto"/>
              <w:right w:val="single" w:sz="4" w:space="0" w:color="auto"/>
            </w:tcBorders>
            <w:vAlign w:val="center"/>
            <w:hideMark/>
          </w:tcPr>
          <w:p w14:paraId="609C5F6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72</w:t>
            </w:r>
          </w:p>
        </w:tc>
        <w:tc>
          <w:tcPr>
            <w:tcW w:w="414" w:type="pct"/>
            <w:tcBorders>
              <w:top w:val="nil"/>
              <w:left w:val="nil"/>
              <w:bottom w:val="single" w:sz="4" w:space="0" w:color="auto"/>
              <w:right w:val="single" w:sz="4" w:space="0" w:color="auto"/>
            </w:tcBorders>
            <w:vAlign w:val="center"/>
            <w:hideMark/>
          </w:tcPr>
          <w:p w14:paraId="6A0588E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E2025013346</w:t>
            </w:r>
          </w:p>
        </w:tc>
        <w:tc>
          <w:tcPr>
            <w:tcW w:w="366" w:type="pct"/>
            <w:tcBorders>
              <w:top w:val="nil"/>
              <w:left w:val="nil"/>
              <w:bottom w:val="single" w:sz="4" w:space="0" w:color="auto"/>
              <w:right w:val="single" w:sz="4" w:space="0" w:color="auto"/>
            </w:tcBorders>
            <w:vAlign w:val="center"/>
            <w:hideMark/>
          </w:tcPr>
          <w:p w14:paraId="7162CC0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ACCE</w:t>
            </w:r>
          </w:p>
        </w:tc>
        <w:tc>
          <w:tcPr>
            <w:tcW w:w="1804" w:type="pct"/>
            <w:tcBorders>
              <w:top w:val="nil"/>
              <w:left w:val="nil"/>
              <w:bottom w:val="single" w:sz="4" w:space="0" w:color="auto"/>
              <w:right w:val="single" w:sz="4" w:space="0" w:color="auto"/>
            </w:tcBorders>
            <w:vAlign w:val="center"/>
            <w:hideMark/>
          </w:tcPr>
          <w:p w14:paraId="76392F6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Consideramos que el proyecto de resolución contribuye a una armonización regulatoria por cuanto analiza las diversas normas que debe ajustar para que las reglas vigentes de las Resoluciones CREG 174 de 2021 y CREG 101-072 de 2025 relativas al traslado de compras de energía al componente de generación del Costo Unitario de prestación del servicio (CU) y al reconocimiento de excedentes en las actividades de autogeneración a pequeña escala (AGPE), Generador Distribuidor (GC), Generador Colectivo (GC) y Generador Distribuidor Colectivo (GDC); tenga un periodo de transición que permita la coherencia en la aplicación y en tema de tarifa al usuario final.</w:t>
            </w:r>
          </w:p>
        </w:tc>
        <w:tc>
          <w:tcPr>
            <w:tcW w:w="745" w:type="pct"/>
            <w:tcBorders>
              <w:top w:val="nil"/>
              <w:left w:val="nil"/>
              <w:bottom w:val="single" w:sz="4" w:space="0" w:color="auto"/>
              <w:right w:val="single" w:sz="4" w:space="0" w:color="auto"/>
            </w:tcBorders>
            <w:vAlign w:val="center"/>
            <w:hideMark/>
          </w:tcPr>
          <w:p w14:paraId="0ADBA78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27B6D9A9"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Se acoge el comentario. Ver respuesta a comentario 31.</w:t>
            </w:r>
          </w:p>
        </w:tc>
      </w:tr>
      <w:tr w:rsidR="00651E5A" w:rsidRPr="007E63A2" w14:paraId="6A49CBE1" w14:textId="77777777" w:rsidTr="00651E5A">
        <w:trPr>
          <w:trHeight w:val="870"/>
        </w:trPr>
        <w:tc>
          <w:tcPr>
            <w:tcW w:w="151" w:type="pct"/>
            <w:tcBorders>
              <w:top w:val="nil"/>
              <w:left w:val="single" w:sz="4" w:space="0" w:color="auto"/>
              <w:bottom w:val="single" w:sz="4" w:space="0" w:color="auto"/>
              <w:right w:val="single" w:sz="4" w:space="0" w:color="auto"/>
            </w:tcBorders>
            <w:vAlign w:val="center"/>
            <w:hideMark/>
          </w:tcPr>
          <w:p w14:paraId="323759B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73</w:t>
            </w:r>
          </w:p>
        </w:tc>
        <w:tc>
          <w:tcPr>
            <w:tcW w:w="414" w:type="pct"/>
            <w:tcBorders>
              <w:top w:val="nil"/>
              <w:left w:val="nil"/>
              <w:bottom w:val="single" w:sz="4" w:space="0" w:color="auto"/>
              <w:right w:val="single" w:sz="4" w:space="0" w:color="auto"/>
            </w:tcBorders>
            <w:vAlign w:val="center"/>
            <w:hideMark/>
          </w:tcPr>
          <w:p w14:paraId="107950C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E2025013346</w:t>
            </w:r>
          </w:p>
        </w:tc>
        <w:tc>
          <w:tcPr>
            <w:tcW w:w="366" w:type="pct"/>
            <w:tcBorders>
              <w:top w:val="nil"/>
              <w:left w:val="nil"/>
              <w:bottom w:val="single" w:sz="4" w:space="0" w:color="auto"/>
              <w:right w:val="single" w:sz="4" w:space="0" w:color="auto"/>
            </w:tcBorders>
            <w:vAlign w:val="center"/>
            <w:hideMark/>
          </w:tcPr>
          <w:p w14:paraId="191C4B2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ACCE</w:t>
            </w:r>
          </w:p>
        </w:tc>
        <w:tc>
          <w:tcPr>
            <w:tcW w:w="1804" w:type="pct"/>
            <w:tcBorders>
              <w:top w:val="nil"/>
              <w:left w:val="nil"/>
              <w:bottom w:val="single" w:sz="4" w:space="0" w:color="auto"/>
              <w:right w:val="single" w:sz="4" w:space="0" w:color="auto"/>
            </w:tcBorders>
            <w:vAlign w:val="center"/>
            <w:hideMark/>
          </w:tcPr>
          <w:p w14:paraId="6D7B790B"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El proyecto asegura que todas las comunidades energéticas/autogeneradores (especialmente los menores de 5 MW) estén cubiertos bajo reglas claras, comunes en lo que respecta al proceso de conexión y reconocimiento de excedentes</w:t>
            </w:r>
          </w:p>
        </w:tc>
        <w:tc>
          <w:tcPr>
            <w:tcW w:w="745" w:type="pct"/>
            <w:tcBorders>
              <w:top w:val="nil"/>
              <w:left w:val="nil"/>
              <w:bottom w:val="single" w:sz="4" w:space="0" w:color="auto"/>
              <w:right w:val="single" w:sz="4" w:space="0" w:color="auto"/>
            </w:tcBorders>
            <w:vAlign w:val="center"/>
            <w:hideMark/>
          </w:tcPr>
          <w:p w14:paraId="34DF9A73"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0135069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No requiere respuesta</w:t>
            </w:r>
          </w:p>
        </w:tc>
      </w:tr>
      <w:tr w:rsidR="00651E5A" w:rsidRPr="007E63A2" w14:paraId="26C94A62" w14:textId="77777777" w:rsidTr="00A747ED">
        <w:trPr>
          <w:trHeight w:val="113"/>
        </w:trPr>
        <w:tc>
          <w:tcPr>
            <w:tcW w:w="151" w:type="pct"/>
            <w:tcBorders>
              <w:top w:val="nil"/>
              <w:left w:val="single" w:sz="4" w:space="0" w:color="auto"/>
              <w:bottom w:val="single" w:sz="4" w:space="0" w:color="auto"/>
              <w:right w:val="single" w:sz="4" w:space="0" w:color="auto"/>
            </w:tcBorders>
            <w:vAlign w:val="center"/>
            <w:hideMark/>
          </w:tcPr>
          <w:p w14:paraId="2C1F6376"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74</w:t>
            </w:r>
          </w:p>
        </w:tc>
        <w:tc>
          <w:tcPr>
            <w:tcW w:w="414" w:type="pct"/>
            <w:tcBorders>
              <w:top w:val="nil"/>
              <w:left w:val="nil"/>
              <w:bottom w:val="single" w:sz="4" w:space="0" w:color="auto"/>
              <w:right w:val="single" w:sz="4" w:space="0" w:color="auto"/>
            </w:tcBorders>
            <w:vAlign w:val="center"/>
            <w:hideMark/>
          </w:tcPr>
          <w:p w14:paraId="4B377A50"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E2025013346</w:t>
            </w:r>
          </w:p>
        </w:tc>
        <w:tc>
          <w:tcPr>
            <w:tcW w:w="366" w:type="pct"/>
            <w:tcBorders>
              <w:top w:val="nil"/>
              <w:left w:val="nil"/>
              <w:bottom w:val="single" w:sz="4" w:space="0" w:color="auto"/>
              <w:right w:val="single" w:sz="4" w:space="0" w:color="auto"/>
            </w:tcBorders>
            <w:vAlign w:val="center"/>
            <w:hideMark/>
          </w:tcPr>
          <w:p w14:paraId="2A5C1DB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ACCE</w:t>
            </w:r>
          </w:p>
        </w:tc>
        <w:tc>
          <w:tcPr>
            <w:tcW w:w="1804" w:type="pct"/>
            <w:tcBorders>
              <w:top w:val="nil"/>
              <w:left w:val="nil"/>
              <w:bottom w:val="single" w:sz="4" w:space="0" w:color="auto"/>
              <w:right w:val="single" w:sz="4" w:space="0" w:color="auto"/>
            </w:tcBorders>
            <w:vAlign w:val="center"/>
            <w:hideMark/>
          </w:tcPr>
          <w:p w14:paraId="10400579" w14:textId="77777777" w:rsidR="00A747ED"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Aunque el proyecto de resolución aborda el tema sobre el traslado del costo de</w:t>
            </w:r>
            <w:r w:rsidR="00A747ED"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compras de energía a los AC/GDC/AGPE/DG (Art. 27 de la Resol. CREG 174 de</w:t>
            </w:r>
            <w:r w:rsidR="00A747ED"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2021) y expone que hasta que la CREG no expida la resolución de traslado de</w:t>
            </w:r>
            <w:r w:rsidR="00A747ED"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compras, se aplicará transitoriamente a precio de bolsa horario; pero</w:t>
            </w:r>
            <w:r w:rsidR="00A747ED"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consideramos que debe ser prioritario que la Comisión expida la resolución sobre</w:t>
            </w:r>
            <w:r w:rsidR="00A747ED" w:rsidRPr="007E63A2">
              <w:rPr>
                <w:rFonts w:ascii="Calibri" w:hAnsi="Calibri" w:cs="Calibri"/>
                <w:color w:val="000000"/>
                <w:sz w:val="16"/>
                <w:szCs w:val="16"/>
                <w:lang w:eastAsia="zh-CN"/>
              </w:rPr>
              <w:t xml:space="preserve"> </w:t>
            </w:r>
            <w:r w:rsidRPr="007E63A2">
              <w:rPr>
                <w:rFonts w:ascii="Calibri" w:hAnsi="Calibri" w:cs="Calibri"/>
                <w:color w:val="000000"/>
                <w:sz w:val="16"/>
                <w:szCs w:val="16"/>
                <w:lang w:eastAsia="zh-CN"/>
              </w:rPr>
              <w:t xml:space="preserve">el traslado de compra de energía antes de la entrada en aplicación la resolución de Comunidades energética; esto en el entendido que no encontramos como será la metodología que determinará trasladar los precios correspondientes en el componente de costo </w:t>
            </w:r>
            <w:r w:rsidRPr="007E63A2">
              <w:rPr>
                <w:rFonts w:ascii="Calibri" w:hAnsi="Calibri" w:cs="Calibri"/>
                <w:color w:val="000000"/>
                <w:sz w:val="16"/>
                <w:szCs w:val="16"/>
                <w:lang w:eastAsia="zh-CN"/>
              </w:rPr>
              <w:lastRenderedPageBreak/>
              <w:t>de energía (G) del costo unitario de prestación del servicio (CU), en la variable G_transitorio sin que éste, afecte el costo del servicio a los usuarios que no son Autogeneradores, Generación Distribuida o Comunidades Energéticas.</w:t>
            </w:r>
          </w:p>
          <w:p w14:paraId="4A0EE00E" w14:textId="77777777" w:rsidR="00A747ED" w:rsidRPr="007E63A2" w:rsidRDefault="00A747ED" w:rsidP="006B34EA">
            <w:pPr>
              <w:jc w:val="center"/>
              <w:rPr>
                <w:rFonts w:ascii="Calibri" w:hAnsi="Calibri" w:cs="Calibri"/>
                <w:color w:val="000000"/>
                <w:sz w:val="16"/>
                <w:szCs w:val="16"/>
                <w:lang w:eastAsia="zh-CN"/>
              </w:rPr>
            </w:pPr>
          </w:p>
          <w:p w14:paraId="2AEDAADC" w14:textId="031EA790"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Es de total relevancia para los Comercializadores, tener el documento antes de su implementación para efectuar las simulaciones requerida y proyectar los impactos al mercado natural de cada Comercializador.</w:t>
            </w:r>
          </w:p>
        </w:tc>
        <w:tc>
          <w:tcPr>
            <w:tcW w:w="745" w:type="pct"/>
            <w:tcBorders>
              <w:top w:val="nil"/>
              <w:left w:val="nil"/>
              <w:bottom w:val="single" w:sz="4" w:space="0" w:color="auto"/>
              <w:right w:val="single" w:sz="4" w:space="0" w:color="auto"/>
            </w:tcBorders>
            <w:vAlign w:val="center"/>
            <w:hideMark/>
          </w:tcPr>
          <w:p w14:paraId="7AC09388"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lastRenderedPageBreak/>
              <w:t> </w:t>
            </w:r>
          </w:p>
        </w:tc>
        <w:tc>
          <w:tcPr>
            <w:tcW w:w="1521" w:type="pct"/>
            <w:tcBorders>
              <w:top w:val="nil"/>
              <w:left w:val="nil"/>
              <w:bottom w:val="single" w:sz="4" w:space="0" w:color="auto"/>
              <w:right w:val="single" w:sz="4" w:space="0" w:color="auto"/>
            </w:tcBorders>
            <w:vAlign w:val="center"/>
            <w:hideMark/>
          </w:tcPr>
          <w:p w14:paraId="48E8D1E6" w14:textId="113A083B"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xml:space="preserve">La valoración de excedentes del Autogenerador Colectivo y del GDC actualmente se refieren a la Resolución CREG 174 de 2021 de manera transitoria. Así mismo, </w:t>
            </w:r>
            <w:r w:rsidR="00651E5A" w:rsidRPr="007E63A2">
              <w:rPr>
                <w:rFonts w:ascii="Calibri" w:hAnsi="Calibri" w:cs="Calibri"/>
                <w:color w:val="000000"/>
                <w:sz w:val="16"/>
                <w:szCs w:val="16"/>
                <w:lang w:eastAsia="zh-CN"/>
              </w:rPr>
              <w:t>agradecemos</w:t>
            </w:r>
            <w:r w:rsidRPr="007E63A2">
              <w:rPr>
                <w:rFonts w:ascii="Calibri" w:hAnsi="Calibri" w:cs="Calibri"/>
                <w:color w:val="000000"/>
                <w:sz w:val="16"/>
                <w:szCs w:val="16"/>
                <w:lang w:eastAsia="zh-CN"/>
              </w:rPr>
              <w:t xml:space="preserve"> referirse a la respuesta dada al comentario 33.</w:t>
            </w:r>
          </w:p>
        </w:tc>
      </w:tr>
      <w:tr w:rsidR="00651E5A" w:rsidRPr="007E63A2" w14:paraId="6BFF8A63" w14:textId="77777777" w:rsidTr="00A747ED">
        <w:trPr>
          <w:trHeight w:val="50"/>
        </w:trPr>
        <w:tc>
          <w:tcPr>
            <w:tcW w:w="151" w:type="pct"/>
            <w:tcBorders>
              <w:top w:val="nil"/>
              <w:left w:val="single" w:sz="4" w:space="0" w:color="auto"/>
              <w:bottom w:val="single" w:sz="4" w:space="0" w:color="auto"/>
              <w:right w:val="single" w:sz="4" w:space="0" w:color="auto"/>
            </w:tcBorders>
            <w:vAlign w:val="center"/>
            <w:hideMark/>
          </w:tcPr>
          <w:p w14:paraId="133765AD"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75</w:t>
            </w:r>
          </w:p>
        </w:tc>
        <w:tc>
          <w:tcPr>
            <w:tcW w:w="414" w:type="pct"/>
            <w:tcBorders>
              <w:top w:val="nil"/>
              <w:left w:val="nil"/>
              <w:bottom w:val="single" w:sz="4" w:space="0" w:color="auto"/>
              <w:right w:val="single" w:sz="4" w:space="0" w:color="auto"/>
            </w:tcBorders>
            <w:vAlign w:val="center"/>
            <w:hideMark/>
          </w:tcPr>
          <w:p w14:paraId="4F4449AE"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E2025013346</w:t>
            </w:r>
          </w:p>
        </w:tc>
        <w:tc>
          <w:tcPr>
            <w:tcW w:w="366" w:type="pct"/>
            <w:tcBorders>
              <w:top w:val="nil"/>
              <w:left w:val="nil"/>
              <w:bottom w:val="single" w:sz="4" w:space="0" w:color="auto"/>
              <w:right w:val="single" w:sz="4" w:space="0" w:color="auto"/>
            </w:tcBorders>
            <w:vAlign w:val="center"/>
            <w:hideMark/>
          </w:tcPr>
          <w:p w14:paraId="09CB7C05"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ACCE</w:t>
            </w:r>
          </w:p>
        </w:tc>
        <w:tc>
          <w:tcPr>
            <w:tcW w:w="1804" w:type="pct"/>
            <w:tcBorders>
              <w:top w:val="nil"/>
              <w:left w:val="nil"/>
              <w:bottom w:val="single" w:sz="4" w:space="0" w:color="auto"/>
              <w:right w:val="single" w:sz="4" w:space="0" w:color="auto"/>
            </w:tcBorders>
            <w:vAlign w:val="center"/>
            <w:hideMark/>
          </w:tcPr>
          <w:p w14:paraId="5E617D31"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Frente a otro tema, que no se vislumbra en el proyecto de resolución, pero que tiene relevancia en la aplicación del artículo 19 de la Resolución CREG 101 072 de 2025 que habla sobre el Porcentaje de Distribución de los Excedentes (PDE); sugerimos que la Comisión precise de manera detallada el cálculo que está variable puede tomar frente a las diferentes posibilidades de comercialización y aclare si esta distribución es obligatoria en el mismo porcentaje o por el contrario puede tener diferentes valores para cada uno de los integrantes de la Comunidad Energética</w:t>
            </w:r>
          </w:p>
        </w:tc>
        <w:tc>
          <w:tcPr>
            <w:tcW w:w="745" w:type="pct"/>
            <w:tcBorders>
              <w:top w:val="nil"/>
              <w:left w:val="nil"/>
              <w:bottom w:val="single" w:sz="4" w:space="0" w:color="auto"/>
              <w:right w:val="single" w:sz="4" w:space="0" w:color="auto"/>
            </w:tcBorders>
            <w:vAlign w:val="center"/>
            <w:hideMark/>
          </w:tcPr>
          <w:p w14:paraId="5D0CB58A"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 </w:t>
            </w:r>
          </w:p>
        </w:tc>
        <w:tc>
          <w:tcPr>
            <w:tcW w:w="1521" w:type="pct"/>
            <w:tcBorders>
              <w:top w:val="nil"/>
              <w:left w:val="nil"/>
              <w:bottom w:val="single" w:sz="4" w:space="0" w:color="auto"/>
              <w:right w:val="single" w:sz="4" w:space="0" w:color="auto"/>
            </w:tcBorders>
            <w:vAlign w:val="center"/>
            <w:hideMark/>
          </w:tcPr>
          <w:p w14:paraId="4B9D48D2" w14:textId="77777777" w:rsidR="006B34EA" w:rsidRPr="007E63A2" w:rsidRDefault="006B34EA" w:rsidP="006B34EA">
            <w:pPr>
              <w:jc w:val="center"/>
              <w:rPr>
                <w:rFonts w:ascii="Calibri" w:hAnsi="Calibri" w:cs="Calibri"/>
                <w:color w:val="000000"/>
                <w:sz w:val="16"/>
                <w:szCs w:val="16"/>
                <w:lang w:eastAsia="zh-CN"/>
              </w:rPr>
            </w:pPr>
            <w:r w:rsidRPr="007E63A2">
              <w:rPr>
                <w:rFonts w:ascii="Calibri" w:hAnsi="Calibri" w:cs="Calibri"/>
                <w:color w:val="000000"/>
                <w:sz w:val="16"/>
                <w:szCs w:val="16"/>
                <w:lang w:eastAsia="zh-CN"/>
              </w:rPr>
              <w:t>La variable PDE es el resultado del acuerdo al que lleguen todos los miembros del AC. Puede tomar valores entre 0% y 100% teniendo en cuenta que la sumatoria de todos los PDE de un mismo AC debe ser 100%.</w:t>
            </w:r>
          </w:p>
        </w:tc>
      </w:tr>
    </w:tbl>
    <w:p w14:paraId="1C7504F9" w14:textId="77777777" w:rsidR="0020136D" w:rsidRPr="006B34EA" w:rsidRDefault="0020136D" w:rsidP="00651E5A">
      <w:pPr>
        <w:ind w:right="51"/>
        <w:rPr>
          <w:lang w:val="es-CO"/>
        </w:rPr>
      </w:pPr>
    </w:p>
    <w:sectPr w:rsidR="0020136D" w:rsidRPr="006B34EA" w:rsidSect="00AB2683">
      <w:pgSz w:w="15842" w:h="12242" w:orient="landscape" w:code="1"/>
      <w:pgMar w:top="1701" w:right="1701" w:bottom="1701" w:left="1701" w:header="851" w:footer="85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FB49" w14:textId="77777777" w:rsidR="00780E3B" w:rsidRPr="007E63A2" w:rsidRDefault="00780E3B">
      <w:r w:rsidRPr="007E63A2">
        <w:separator/>
      </w:r>
    </w:p>
  </w:endnote>
  <w:endnote w:type="continuationSeparator" w:id="0">
    <w:p w14:paraId="4F7B1968" w14:textId="77777777" w:rsidR="00780E3B" w:rsidRPr="007E63A2" w:rsidRDefault="00780E3B">
      <w:r w:rsidRPr="007E63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Cuerpo)">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92D4" w14:textId="77777777" w:rsidR="00A65F7D" w:rsidRDefault="00A65F7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F13E" w14:textId="77777777" w:rsidR="0077100C" w:rsidRPr="007E63A2" w:rsidRDefault="0077100C">
    <w:pPr>
      <w:pStyle w:val="Piedepgina"/>
      <w:jc w:val="right"/>
      <w:rPr>
        <w:sz w:val="18"/>
        <w:szCs w:val="18"/>
      </w:rPr>
    </w:pPr>
    <w:r w:rsidRPr="007E63A2">
      <w:rPr>
        <w:sz w:val="18"/>
        <w:szCs w:val="18"/>
      </w:rPr>
      <w:fldChar w:fldCharType="begin"/>
    </w:r>
    <w:r w:rsidRPr="007E63A2">
      <w:rPr>
        <w:sz w:val="18"/>
        <w:szCs w:val="18"/>
      </w:rPr>
      <w:instrText>PAGE   \* MERGEFORMAT</w:instrText>
    </w:r>
    <w:r w:rsidRPr="007E63A2">
      <w:rPr>
        <w:sz w:val="18"/>
        <w:szCs w:val="18"/>
      </w:rPr>
      <w:fldChar w:fldCharType="separate"/>
    </w:r>
    <w:r w:rsidR="00717554" w:rsidRPr="007E63A2">
      <w:rPr>
        <w:sz w:val="18"/>
        <w:szCs w:val="18"/>
      </w:rPr>
      <w:t>4</w:t>
    </w:r>
    <w:r w:rsidRPr="007E63A2">
      <w:rPr>
        <w:sz w:val="18"/>
        <w:szCs w:val="18"/>
      </w:rPr>
      <w:fldChar w:fldCharType="end"/>
    </w:r>
  </w:p>
  <w:p w14:paraId="43C6BEED" w14:textId="48B743F6" w:rsidR="0077100C" w:rsidRPr="007E63A2" w:rsidRDefault="005B28B4" w:rsidP="0077100C">
    <w:pPr>
      <w:pStyle w:val="Piedepgina"/>
      <w:rPr>
        <w:sz w:val="16"/>
      </w:rPr>
    </w:pPr>
    <w:r w:rsidRPr="007E63A2">
      <w:rPr>
        <w:bCs/>
        <w:sz w:val="16"/>
      </w:rPr>
      <w:t>Por la cual se modifican las Resoluciones CREG 174 de 2021 y CREG 101 072 de 2025 y se dictan otras disposiciones</w:t>
    </w:r>
  </w:p>
  <w:p w14:paraId="3A97570D" w14:textId="77777777" w:rsidR="00020441" w:rsidRPr="007E63A2" w:rsidRDefault="00020441">
    <w:pPr>
      <w:pStyle w:val="Piedepgina"/>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C3D3" w14:textId="77777777" w:rsidR="00A65F7D" w:rsidRDefault="00A65F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2295A" w14:textId="77777777" w:rsidR="00780E3B" w:rsidRPr="007E63A2" w:rsidRDefault="00780E3B">
      <w:r w:rsidRPr="007E63A2">
        <w:separator/>
      </w:r>
    </w:p>
  </w:footnote>
  <w:footnote w:type="continuationSeparator" w:id="0">
    <w:p w14:paraId="6A7DBE09" w14:textId="77777777" w:rsidR="00780E3B" w:rsidRPr="007E63A2" w:rsidRDefault="00780E3B">
      <w:r w:rsidRPr="007E63A2">
        <w:continuationSeparator/>
      </w:r>
    </w:p>
  </w:footnote>
  <w:footnote w:id="1">
    <w:p w14:paraId="1481DF47" w14:textId="3F16F7F8" w:rsidR="00A42CBA" w:rsidRPr="007E63A2" w:rsidRDefault="00A42CBA">
      <w:pPr>
        <w:pStyle w:val="Textonotapie"/>
      </w:pPr>
      <w:r w:rsidRPr="007E63A2">
        <w:rPr>
          <w:rStyle w:val="Refdenotaalpie"/>
        </w:rPr>
        <w:footnoteRef/>
      </w:r>
      <w:r w:rsidRPr="007E63A2">
        <w:t xml:space="preserve"> La información fue consultada de la base de datos del SUI el 21/07/2025.</w:t>
      </w:r>
    </w:p>
  </w:footnote>
  <w:footnote w:id="2">
    <w:p w14:paraId="6A7A8127" w14:textId="77777777" w:rsidR="005B7E45" w:rsidRPr="007E63A2" w:rsidRDefault="005B7E45" w:rsidP="005B7E45">
      <w:pPr>
        <w:pStyle w:val="Textonotapie"/>
        <w:rPr>
          <w:lang w:eastAsia="es-CO"/>
        </w:rPr>
      </w:pPr>
      <w:r w:rsidRPr="007E63A2">
        <w:rPr>
          <w:rStyle w:val="Refdenotaalpie"/>
        </w:rPr>
        <w:footnoteRef/>
      </w:r>
      <w:hyperlink r:id="rId1" w:history="1">
        <w:r w:rsidRPr="007E63A2">
          <w:rPr>
            <w:rStyle w:val="Hipervnculo"/>
            <w:rFonts w:cs="Arial"/>
          </w:rPr>
          <w:t>https://www.oecd.org/daf/competition/98765433.pdf</w:t>
        </w:r>
      </w:hyperlink>
    </w:p>
  </w:footnote>
  <w:footnote w:id="3">
    <w:p w14:paraId="78B992D3" w14:textId="77777777" w:rsidR="005B7E45" w:rsidRPr="007E63A2" w:rsidRDefault="005B7E45" w:rsidP="005B7E45">
      <w:pPr>
        <w:pStyle w:val="Textonotapie"/>
      </w:pPr>
      <w:r w:rsidRPr="007E63A2">
        <w:rPr>
          <w:rStyle w:val="Refdenotaalpie"/>
        </w:rPr>
        <w:footnoteRef/>
      </w:r>
      <w:r w:rsidRPr="007E63A2">
        <w:t xml:space="preserve"> </w:t>
      </w:r>
      <w:hyperlink r:id="rId2" w:history="1">
        <w:r w:rsidRPr="007E63A2">
          <w:rPr>
            <w:rStyle w:val="Hipervnculo"/>
            <w:rFonts w:cs="Arial"/>
          </w:rPr>
          <w:t>https://www.sic.gov.co/sites/default/files/files/cartillaabogacia.pdf</w:t>
        </w:r>
      </w:hyperlink>
    </w:p>
  </w:footnote>
  <w:footnote w:id="4">
    <w:p w14:paraId="0242AACF" w14:textId="77777777" w:rsidR="005B7E45" w:rsidRPr="00D815E5" w:rsidRDefault="005B7E45" w:rsidP="005B7E45">
      <w:pPr>
        <w:pStyle w:val="Textonotapie"/>
        <w:rPr>
          <w:lang w:val="es-MX"/>
        </w:rPr>
      </w:pPr>
      <w:r w:rsidRPr="007E63A2">
        <w:rPr>
          <w:rStyle w:val="Refdenotaalpie"/>
        </w:rPr>
        <w:footnoteRef/>
      </w:r>
      <w:r w:rsidRPr="007E63A2">
        <w:t xml:space="preserve"> </w:t>
      </w:r>
      <w:hyperlink r:id="rId3" w:history="1">
        <w:r w:rsidRPr="007E63A2">
          <w:rPr>
            <w:rStyle w:val="Hipervnculo"/>
            <w:rFonts w:cs="Arial"/>
          </w:rPr>
          <w:t>https://www.sic.gov.co/sites/default/files/files/2021/Versi%C3%B3n%202_0_%20Gu%C3%ADa%20elaboraci%C3%B3n%20estudios%20t%C3%A9cnico-econ%C3%B3micos%20-%20con%20cambios%20Superintendente.pdf</w:t>
        </w:r>
      </w:hyperlink>
      <w:r w:rsidRPr="007E63A2">
        <w:rPr>
          <w:rFonts w:cs="Aria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86C8" w14:textId="77777777" w:rsidR="00A65F7D" w:rsidRDefault="00A65F7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C39D" w14:textId="7748C1FE" w:rsidR="00020441" w:rsidRPr="007E63A2" w:rsidRDefault="00020441">
    <w:pPr>
      <w:pStyle w:val="Encabezado"/>
    </w:pPr>
    <w:r w:rsidRPr="007E63A2">
      <w:rPr>
        <w:rFonts w:cs="Arial"/>
        <w:b/>
        <w:i/>
        <w:color w:val="808080"/>
        <w:sz w:val="16"/>
      </w:rPr>
      <w:t>Sesión No.</w:t>
    </w:r>
    <w:r w:rsidR="00A65F7D">
      <w:rPr>
        <w:rFonts w:cs="Arial"/>
        <w:b/>
        <w:i/>
        <w:color w:val="808080"/>
        <w:sz w:val="16"/>
      </w:rPr>
      <w:t>1415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E109" w14:textId="77777777" w:rsidR="00A65F7D" w:rsidRDefault="00A65F7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954"/>
    <w:multiLevelType w:val="hybridMultilevel"/>
    <w:tmpl w:val="011E21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1E36887"/>
    <w:multiLevelType w:val="hybridMultilevel"/>
    <w:tmpl w:val="A0766B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F44159"/>
    <w:multiLevelType w:val="multilevel"/>
    <w:tmpl w:val="62CCC062"/>
    <w:lvl w:ilvl="0">
      <w:start w:val="1"/>
      <w:numFmt w:val="decimal"/>
      <w:pStyle w:val="Ttulo1"/>
      <w:lvlText w:val="%1."/>
      <w:lvlJc w:val="left"/>
      <w:pPr>
        <w:tabs>
          <w:tab w:val="num" w:pos="432"/>
        </w:tabs>
        <w:ind w:left="432" w:hanging="432"/>
      </w:pPr>
      <w:rPr>
        <w:b/>
        <w:bCs w:val="0"/>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3" w15:restartNumberingAfterBreak="0">
    <w:nsid w:val="156B7184"/>
    <w:multiLevelType w:val="hybridMultilevel"/>
    <w:tmpl w:val="2110EF7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6241165"/>
    <w:multiLevelType w:val="hybridMultilevel"/>
    <w:tmpl w:val="C79C40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620EC2"/>
    <w:multiLevelType w:val="hybridMultilevel"/>
    <w:tmpl w:val="D416DA3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CE4F46"/>
    <w:multiLevelType w:val="hybridMultilevel"/>
    <w:tmpl w:val="C6C0663C"/>
    <w:lvl w:ilvl="0" w:tplc="944E0186">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225A78"/>
    <w:multiLevelType w:val="hybridMultilevel"/>
    <w:tmpl w:val="28F21A9E"/>
    <w:lvl w:ilvl="0" w:tplc="A2C4E94E">
      <w:start w:val="1"/>
      <w:numFmt w:val="bullet"/>
      <w:lvlText w:val="•"/>
      <w:lvlJc w:val="left"/>
      <w:pPr>
        <w:tabs>
          <w:tab w:val="num" w:pos="720"/>
        </w:tabs>
        <w:ind w:left="720" w:hanging="360"/>
      </w:pPr>
      <w:rPr>
        <w:rFonts w:ascii="Times New Roman" w:hAnsi="Times New Roman" w:hint="default"/>
      </w:rPr>
    </w:lvl>
    <w:lvl w:ilvl="1" w:tplc="13949A10">
      <w:numFmt w:val="none"/>
      <w:lvlText w:val=""/>
      <w:lvlJc w:val="left"/>
      <w:pPr>
        <w:tabs>
          <w:tab w:val="num" w:pos="360"/>
        </w:tabs>
      </w:pPr>
    </w:lvl>
    <w:lvl w:ilvl="2" w:tplc="F8543582" w:tentative="1">
      <w:start w:val="1"/>
      <w:numFmt w:val="bullet"/>
      <w:lvlText w:val="•"/>
      <w:lvlJc w:val="left"/>
      <w:pPr>
        <w:tabs>
          <w:tab w:val="num" w:pos="2160"/>
        </w:tabs>
        <w:ind w:left="2160" w:hanging="360"/>
      </w:pPr>
      <w:rPr>
        <w:rFonts w:ascii="Times New Roman" w:hAnsi="Times New Roman" w:hint="default"/>
      </w:rPr>
    </w:lvl>
    <w:lvl w:ilvl="3" w:tplc="364A4194" w:tentative="1">
      <w:start w:val="1"/>
      <w:numFmt w:val="bullet"/>
      <w:lvlText w:val="•"/>
      <w:lvlJc w:val="left"/>
      <w:pPr>
        <w:tabs>
          <w:tab w:val="num" w:pos="2880"/>
        </w:tabs>
        <w:ind w:left="2880" w:hanging="360"/>
      </w:pPr>
      <w:rPr>
        <w:rFonts w:ascii="Times New Roman" w:hAnsi="Times New Roman" w:hint="default"/>
      </w:rPr>
    </w:lvl>
    <w:lvl w:ilvl="4" w:tplc="38FEC80A" w:tentative="1">
      <w:start w:val="1"/>
      <w:numFmt w:val="bullet"/>
      <w:lvlText w:val="•"/>
      <w:lvlJc w:val="left"/>
      <w:pPr>
        <w:tabs>
          <w:tab w:val="num" w:pos="3600"/>
        </w:tabs>
        <w:ind w:left="3600" w:hanging="360"/>
      </w:pPr>
      <w:rPr>
        <w:rFonts w:ascii="Times New Roman" w:hAnsi="Times New Roman" w:hint="default"/>
      </w:rPr>
    </w:lvl>
    <w:lvl w:ilvl="5" w:tplc="C73A9C2A" w:tentative="1">
      <w:start w:val="1"/>
      <w:numFmt w:val="bullet"/>
      <w:lvlText w:val="•"/>
      <w:lvlJc w:val="left"/>
      <w:pPr>
        <w:tabs>
          <w:tab w:val="num" w:pos="4320"/>
        </w:tabs>
        <w:ind w:left="4320" w:hanging="360"/>
      </w:pPr>
      <w:rPr>
        <w:rFonts w:ascii="Times New Roman" w:hAnsi="Times New Roman" w:hint="default"/>
      </w:rPr>
    </w:lvl>
    <w:lvl w:ilvl="6" w:tplc="82CC3AC8" w:tentative="1">
      <w:start w:val="1"/>
      <w:numFmt w:val="bullet"/>
      <w:lvlText w:val="•"/>
      <w:lvlJc w:val="left"/>
      <w:pPr>
        <w:tabs>
          <w:tab w:val="num" w:pos="5040"/>
        </w:tabs>
        <w:ind w:left="5040" w:hanging="360"/>
      </w:pPr>
      <w:rPr>
        <w:rFonts w:ascii="Times New Roman" w:hAnsi="Times New Roman" w:hint="default"/>
      </w:rPr>
    </w:lvl>
    <w:lvl w:ilvl="7" w:tplc="6F34A18A" w:tentative="1">
      <w:start w:val="1"/>
      <w:numFmt w:val="bullet"/>
      <w:lvlText w:val="•"/>
      <w:lvlJc w:val="left"/>
      <w:pPr>
        <w:tabs>
          <w:tab w:val="num" w:pos="5760"/>
        </w:tabs>
        <w:ind w:left="5760" w:hanging="360"/>
      </w:pPr>
      <w:rPr>
        <w:rFonts w:ascii="Times New Roman" w:hAnsi="Times New Roman" w:hint="default"/>
      </w:rPr>
    </w:lvl>
    <w:lvl w:ilvl="8" w:tplc="C6F8ABC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3A64540"/>
    <w:multiLevelType w:val="hybridMultilevel"/>
    <w:tmpl w:val="F544F064"/>
    <w:lvl w:ilvl="0" w:tplc="F35A655E">
      <w:start w:val="1"/>
      <w:numFmt w:val="bullet"/>
      <w:lvlText w:val="•"/>
      <w:lvlJc w:val="left"/>
      <w:pPr>
        <w:tabs>
          <w:tab w:val="num" w:pos="720"/>
        </w:tabs>
        <w:ind w:left="720" w:hanging="360"/>
      </w:pPr>
      <w:rPr>
        <w:rFonts w:ascii="Times New Roman" w:hAnsi="Times New Roman" w:hint="default"/>
      </w:rPr>
    </w:lvl>
    <w:lvl w:ilvl="1" w:tplc="221606AC">
      <w:numFmt w:val="none"/>
      <w:lvlText w:val=""/>
      <w:lvlJc w:val="left"/>
      <w:pPr>
        <w:tabs>
          <w:tab w:val="num" w:pos="360"/>
        </w:tabs>
      </w:pPr>
    </w:lvl>
    <w:lvl w:ilvl="2" w:tplc="314479DA" w:tentative="1">
      <w:start w:val="1"/>
      <w:numFmt w:val="bullet"/>
      <w:lvlText w:val="•"/>
      <w:lvlJc w:val="left"/>
      <w:pPr>
        <w:tabs>
          <w:tab w:val="num" w:pos="2160"/>
        </w:tabs>
        <w:ind w:left="2160" w:hanging="360"/>
      </w:pPr>
      <w:rPr>
        <w:rFonts w:ascii="Times New Roman" w:hAnsi="Times New Roman" w:hint="default"/>
      </w:rPr>
    </w:lvl>
    <w:lvl w:ilvl="3" w:tplc="0158D5E6" w:tentative="1">
      <w:start w:val="1"/>
      <w:numFmt w:val="bullet"/>
      <w:lvlText w:val="•"/>
      <w:lvlJc w:val="left"/>
      <w:pPr>
        <w:tabs>
          <w:tab w:val="num" w:pos="2880"/>
        </w:tabs>
        <w:ind w:left="2880" w:hanging="360"/>
      </w:pPr>
      <w:rPr>
        <w:rFonts w:ascii="Times New Roman" w:hAnsi="Times New Roman" w:hint="default"/>
      </w:rPr>
    </w:lvl>
    <w:lvl w:ilvl="4" w:tplc="57EC7704" w:tentative="1">
      <w:start w:val="1"/>
      <w:numFmt w:val="bullet"/>
      <w:lvlText w:val="•"/>
      <w:lvlJc w:val="left"/>
      <w:pPr>
        <w:tabs>
          <w:tab w:val="num" w:pos="3600"/>
        </w:tabs>
        <w:ind w:left="3600" w:hanging="360"/>
      </w:pPr>
      <w:rPr>
        <w:rFonts w:ascii="Times New Roman" w:hAnsi="Times New Roman" w:hint="default"/>
      </w:rPr>
    </w:lvl>
    <w:lvl w:ilvl="5" w:tplc="75FCB24C" w:tentative="1">
      <w:start w:val="1"/>
      <w:numFmt w:val="bullet"/>
      <w:lvlText w:val="•"/>
      <w:lvlJc w:val="left"/>
      <w:pPr>
        <w:tabs>
          <w:tab w:val="num" w:pos="4320"/>
        </w:tabs>
        <w:ind w:left="4320" w:hanging="360"/>
      </w:pPr>
      <w:rPr>
        <w:rFonts w:ascii="Times New Roman" w:hAnsi="Times New Roman" w:hint="default"/>
      </w:rPr>
    </w:lvl>
    <w:lvl w:ilvl="6" w:tplc="82F43490" w:tentative="1">
      <w:start w:val="1"/>
      <w:numFmt w:val="bullet"/>
      <w:lvlText w:val="•"/>
      <w:lvlJc w:val="left"/>
      <w:pPr>
        <w:tabs>
          <w:tab w:val="num" w:pos="5040"/>
        </w:tabs>
        <w:ind w:left="5040" w:hanging="360"/>
      </w:pPr>
      <w:rPr>
        <w:rFonts w:ascii="Times New Roman" w:hAnsi="Times New Roman" w:hint="default"/>
      </w:rPr>
    </w:lvl>
    <w:lvl w:ilvl="7" w:tplc="F2B0D096" w:tentative="1">
      <w:start w:val="1"/>
      <w:numFmt w:val="bullet"/>
      <w:lvlText w:val="•"/>
      <w:lvlJc w:val="left"/>
      <w:pPr>
        <w:tabs>
          <w:tab w:val="num" w:pos="5760"/>
        </w:tabs>
        <w:ind w:left="5760" w:hanging="360"/>
      </w:pPr>
      <w:rPr>
        <w:rFonts w:ascii="Times New Roman" w:hAnsi="Times New Roman" w:hint="default"/>
      </w:rPr>
    </w:lvl>
    <w:lvl w:ilvl="8" w:tplc="B00A0CD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6E60F85"/>
    <w:multiLevelType w:val="hybridMultilevel"/>
    <w:tmpl w:val="153850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2632B69"/>
    <w:multiLevelType w:val="hybridMultilevel"/>
    <w:tmpl w:val="CD00F12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4B10B38"/>
    <w:multiLevelType w:val="multilevel"/>
    <w:tmpl w:val="2ABA9930"/>
    <w:lvl w:ilvl="0">
      <w:start w:val="5"/>
      <w:numFmt w:val="decimal"/>
      <w:lvlText w:val="%1."/>
      <w:lvlJc w:val="left"/>
      <w:pPr>
        <w:ind w:left="400" w:hanging="400"/>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534A76CD"/>
    <w:multiLevelType w:val="hybridMultilevel"/>
    <w:tmpl w:val="EB62A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D391405"/>
    <w:multiLevelType w:val="hybridMultilevel"/>
    <w:tmpl w:val="E20203AA"/>
    <w:lvl w:ilvl="0" w:tplc="240A0019">
      <w:start w:val="1"/>
      <w:numFmt w:val="lowerLetter"/>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4" w15:restartNumberingAfterBreak="0">
    <w:nsid w:val="65332CCA"/>
    <w:multiLevelType w:val="hybridMultilevel"/>
    <w:tmpl w:val="6836496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94E1D03"/>
    <w:multiLevelType w:val="hybridMultilevel"/>
    <w:tmpl w:val="893C22CE"/>
    <w:lvl w:ilvl="0" w:tplc="240A0001">
      <w:start w:val="1"/>
      <w:numFmt w:val="bullet"/>
      <w:lvlText w:val=""/>
      <w:lvlJc w:val="left"/>
      <w:pPr>
        <w:ind w:left="827" w:hanging="360"/>
      </w:pPr>
      <w:rPr>
        <w:rFonts w:ascii="Symbol" w:hAnsi="Symbol" w:hint="default"/>
      </w:rPr>
    </w:lvl>
    <w:lvl w:ilvl="1" w:tplc="240A0003" w:tentative="1">
      <w:start w:val="1"/>
      <w:numFmt w:val="bullet"/>
      <w:lvlText w:val="o"/>
      <w:lvlJc w:val="left"/>
      <w:pPr>
        <w:ind w:left="1547" w:hanging="360"/>
      </w:pPr>
      <w:rPr>
        <w:rFonts w:ascii="Courier New" w:hAnsi="Courier New" w:cs="Courier New" w:hint="default"/>
      </w:rPr>
    </w:lvl>
    <w:lvl w:ilvl="2" w:tplc="240A0005" w:tentative="1">
      <w:start w:val="1"/>
      <w:numFmt w:val="bullet"/>
      <w:lvlText w:val=""/>
      <w:lvlJc w:val="left"/>
      <w:pPr>
        <w:ind w:left="2267" w:hanging="360"/>
      </w:pPr>
      <w:rPr>
        <w:rFonts w:ascii="Wingdings" w:hAnsi="Wingdings" w:hint="default"/>
      </w:rPr>
    </w:lvl>
    <w:lvl w:ilvl="3" w:tplc="240A0001" w:tentative="1">
      <w:start w:val="1"/>
      <w:numFmt w:val="bullet"/>
      <w:lvlText w:val=""/>
      <w:lvlJc w:val="left"/>
      <w:pPr>
        <w:ind w:left="2987" w:hanging="360"/>
      </w:pPr>
      <w:rPr>
        <w:rFonts w:ascii="Symbol" w:hAnsi="Symbol" w:hint="default"/>
      </w:rPr>
    </w:lvl>
    <w:lvl w:ilvl="4" w:tplc="240A0003" w:tentative="1">
      <w:start w:val="1"/>
      <w:numFmt w:val="bullet"/>
      <w:lvlText w:val="o"/>
      <w:lvlJc w:val="left"/>
      <w:pPr>
        <w:ind w:left="3707" w:hanging="360"/>
      </w:pPr>
      <w:rPr>
        <w:rFonts w:ascii="Courier New" w:hAnsi="Courier New" w:cs="Courier New" w:hint="default"/>
      </w:rPr>
    </w:lvl>
    <w:lvl w:ilvl="5" w:tplc="240A0005" w:tentative="1">
      <w:start w:val="1"/>
      <w:numFmt w:val="bullet"/>
      <w:lvlText w:val=""/>
      <w:lvlJc w:val="left"/>
      <w:pPr>
        <w:ind w:left="4427" w:hanging="360"/>
      </w:pPr>
      <w:rPr>
        <w:rFonts w:ascii="Wingdings" w:hAnsi="Wingdings" w:hint="default"/>
      </w:rPr>
    </w:lvl>
    <w:lvl w:ilvl="6" w:tplc="240A0001" w:tentative="1">
      <w:start w:val="1"/>
      <w:numFmt w:val="bullet"/>
      <w:lvlText w:val=""/>
      <w:lvlJc w:val="left"/>
      <w:pPr>
        <w:ind w:left="5147" w:hanging="360"/>
      </w:pPr>
      <w:rPr>
        <w:rFonts w:ascii="Symbol" w:hAnsi="Symbol" w:hint="default"/>
      </w:rPr>
    </w:lvl>
    <w:lvl w:ilvl="7" w:tplc="240A0003" w:tentative="1">
      <w:start w:val="1"/>
      <w:numFmt w:val="bullet"/>
      <w:lvlText w:val="o"/>
      <w:lvlJc w:val="left"/>
      <w:pPr>
        <w:ind w:left="5867" w:hanging="360"/>
      </w:pPr>
      <w:rPr>
        <w:rFonts w:ascii="Courier New" w:hAnsi="Courier New" w:cs="Courier New" w:hint="default"/>
      </w:rPr>
    </w:lvl>
    <w:lvl w:ilvl="8" w:tplc="240A0005" w:tentative="1">
      <w:start w:val="1"/>
      <w:numFmt w:val="bullet"/>
      <w:lvlText w:val=""/>
      <w:lvlJc w:val="left"/>
      <w:pPr>
        <w:ind w:left="6587" w:hanging="360"/>
      </w:pPr>
      <w:rPr>
        <w:rFonts w:ascii="Wingdings" w:hAnsi="Wingdings" w:hint="default"/>
      </w:rPr>
    </w:lvl>
  </w:abstractNum>
  <w:num w:numId="1" w16cid:durableId="1822036655">
    <w:abstractNumId w:val="2"/>
  </w:num>
  <w:num w:numId="2" w16cid:durableId="138035880">
    <w:abstractNumId w:val="2"/>
  </w:num>
  <w:num w:numId="3" w16cid:durableId="1983002875">
    <w:abstractNumId w:val="2"/>
  </w:num>
  <w:num w:numId="4" w16cid:durableId="1012688389">
    <w:abstractNumId w:val="2"/>
  </w:num>
  <w:num w:numId="5" w16cid:durableId="165749666">
    <w:abstractNumId w:val="2"/>
  </w:num>
  <w:num w:numId="6" w16cid:durableId="1025013090">
    <w:abstractNumId w:val="2"/>
  </w:num>
  <w:num w:numId="7" w16cid:durableId="90320799">
    <w:abstractNumId w:val="15"/>
  </w:num>
  <w:num w:numId="8" w16cid:durableId="435491268">
    <w:abstractNumId w:val="9"/>
  </w:num>
  <w:num w:numId="9" w16cid:durableId="860777423">
    <w:abstractNumId w:val="1"/>
  </w:num>
  <w:num w:numId="10" w16cid:durableId="967853639">
    <w:abstractNumId w:val="12"/>
  </w:num>
  <w:num w:numId="11" w16cid:durableId="505561145">
    <w:abstractNumId w:val="8"/>
  </w:num>
  <w:num w:numId="12" w16cid:durableId="230433034">
    <w:abstractNumId w:val="7"/>
  </w:num>
  <w:num w:numId="13" w16cid:durableId="1615021070">
    <w:abstractNumId w:val="3"/>
  </w:num>
  <w:num w:numId="14" w16cid:durableId="396709298">
    <w:abstractNumId w:val="11"/>
  </w:num>
  <w:num w:numId="15" w16cid:durableId="106512438">
    <w:abstractNumId w:val="4"/>
  </w:num>
  <w:num w:numId="16" w16cid:durableId="107822067">
    <w:abstractNumId w:val="0"/>
  </w:num>
  <w:num w:numId="17" w16cid:durableId="1141073021">
    <w:abstractNumId w:val="6"/>
  </w:num>
  <w:num w:numId="18" w16cid:durableId="812063060">
    <w:abstractNumId w:val="13"/>
  </w:num>
  <w:num w:numId="19" w16cid:durableId="2015768149">
    <w:abstractNumId w:val="14"/>
  </w:num>
  <w:num w:numId="20" w16cid:durableId="1032725535">
    <w:abstractNumId w:val="5"/>
  </w:num>
  <w:num w:numId="21" w16cid:durableId="504368584">
    <w:abstractNumId w:val="10"/>
  </w:num>
  <w:num w:numId="22" w16cid:durableId="34729907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52"/>
    <w:rsid w:val="00002682"/>
    <w:rsid w:val="000118BB"/>
    <w:rsid w:val="000157C4"/>
    <w:rsid w:val="000169A5"/>
    <w:rsid w:val="00020441"/>
    <w:rsid w:val="000229DB"/>
    <w:rsid w:val="00027608"/>
    <w:rsid w:val="0003199E"/>
    <w:rsid w:val="00033313"/>
    <w:rsid w:val="00041EB7"/>
    <w:rsid w:val="0004308C"/>
    <w:rsid w:val="000472C5"/>
    <w:rsid w:val="00047492"/>
    <w:rsid w:val="00051908"/>
    <w:rsid w:val="00055B9E"/>
    <w:rsid w:val="00056DFC"/>
    <w:rsid w:val="00062EA3"/>
    <w:rsid w:val="00067324"/>
    <w:rsid w:val="00073A01"/>
    <w:rsid w:val="00074615"/>
    <w:rsid w:val="00074AF4"/>
    <w:rsid w:val="000750FB"/>
    <w:rsid w:val="000757E6"/>
    <w:rsid w:val="000806AF"/>
    <w:rsid w:val="00086370"/>
    <w:rsid w:val="0009018E"/>
    <w:rsid w:val="000908FF"/>
    <w:rsid w:val="00091CE1"/>
    <w:rsid w:val="00095A6E"/>
    <w:rsid w:val="000976BF"/>
    <w:rsid w:val="000A020D"/>
    <w:rsid w:val="000A15E5"/>
    <w:rsid w:val="000A2282"/>
    <w:rsid w:val="000A2501"/>
    <w:rsid w:val="000A34AF"/>
    <w:rsid w:val="000A4472"/>
    <w:rsid w:val="000A4709"/>
    <w:rsid w:val="000A5C98"/>
    <w:rsid w:val="000A7990"/>
    <w:rsid w:val="000B1F16"/>
    <w:rsid w:val="000B4869"/>
    <w:rsid w:val="000B4D11"/>
    <w:rsid w:val="000B6516"/>
    <w:rsid w:val="000B69D0"/>
    <w:rsid w:val="000B7076"/>
    <w:rsid w:val="000B7297"/>
    <w:rsid w:val="000C0B4C"/>
    <w:rsid w:val="000C6150"/>
    <w:rsid w:val="000D2065"/>
    <w:rsid w:val="000E2B62"/>
    <w:rsid w:val="000E63B4"/>
    <w:rsid w:val="000E6A0A"/>
    <w:rsid w:val="000E7FFA"/>
    <w:rsid w:val="000F4F09"/>
    <w:rsid w:val="000F6EE7"/>
    <w:rsid w:val="001004C2"/>
    <w:rsid w:val="001009FE"/>
    <w:rsid w:val="00100F80"/>
    <w:rsid w:val="00107A17"/>
    <w:rsid w:val="00122FEA"/>
    <w:rsid w:val="00125C15"/>
    <w:rsid w:val="001273A6"/>
    <w:rsid w:val="001305B2"/>
    <w:rsid w:val="001325F8"/>
    <w:rsid w:val="00132940"/>
    <w:rsid w:val="001329A0"/>
    <w:rsid w:val="00133027"/>
    <w:rsid w:val="001332E7"/>
    <w:rsid w:val="00135587"/>
    <w:rsid w:val="001363C6"/>
    <w:rsid w:val="00145CA6"/>
    <w:rsid w:val="00147C87"/>
    <w:rsid w:val="00155DB2"/>
    <w:rsid w:val="00156A56"/>
    <w:rsid w:val="001577CB"/>
    <w:rsid w:val="0016406D"/>
    <w:rsid w:val="001663D0"/>
    <w:rsid w:val="00172DD4"/>
    <w:rsid w:val="00174E58"/>
    <w:rsid w:val="00182034"/>
    <w:rsid w:val="001822F8"/>
    <w:rsid w:val="00190417"/>
    <w:rsid w:val="00196CFC"/>
    <w:rsid w:val="001A7841"/>
    <w:rsid w:val="001C400D"/>
    <w:rsid w:val="001C6690"/>
    <w:rsid w:val="001C69A2"/>
    <w:rsid w:val="001D193E"/>
    <w:rsid w:val="001D24F8"/>
    <w:rsid w:val="001D3D46"/>
    <w:rsid w:val="001D3E10"/>
    <w:rsid w:val="001D55A4"/>
    <w:rsid w:val="001D5C33"/>
    <w:rsid w:val="001E0123"/>
    <w:rsid w:val="001E077E"/>
    <w:rsid w:val="001E50E5"/>
    <w:rsid w:val="001E7F8E"/>
    <w:rsid w:val="001F1A23"/>
    <w:rsid w:val="001F2EF0"/>
    <w:rsid w:val="001F5982"/>
    <w:rsid w:val="0020136D"/>
    <w:rsid w:val="00203653"/>
    <w:rsid w:val="002079AE"/>
    <w:rsid w:val="00210BF0"/>
    <w:rsid w:val="00214119"/>
    <w:rsid w:val="002163F3"/>
    <w:rsid w:val="002228C1"/>
    <w:rsid w:val="0022342F"/>
    <w:rsid w:val="00223CB7"/>
    <w:rsid w:val="00225284"/>
    <w:rsid w:val="00225434"/>
    <w:rsid w:val="00225451"/>
    <w:rsid w:val="00226BFC"/>
    <w:rsid w:val="00227CD6"/>
    <w:rsid w:val="002330AE"/>
    <w:rsid w:val="0023379A"/>
    <w:rsid w:val="002400E6"/>
    <w:rsid w:val="002461FD"/>
    <w:rsid w:val="00246469"/>
    <w:rsid w:val="002467E5"/>
    <w:rsid w:val="00251D2E"/>
    <w:rsid w:val="00251F5B"/>
    <w:rsid w:val="002543C6"/>
    <w:rsid w:val="00255BF1"/>
    <w:rsid w:val="00257682"/>
    <w:rsid w:val="002613C3"/>
    <w:rsid w:val="0026240A"/>
    <w:rsid w:val="0026362D"/>
    <w:rsid w:val="00266CDC"/>
    <w:rsid w:val="00272B1A"/>
    <w:rsid w:val="002745AE"/>
    <w:rsid w:val="00277CDF"/>
    <w:rsid w:val="00277EBA"/>
    <w:rsid w:val="00281F7E"/>
    <w:rsid w:val="002825F3"/>
    <w:rsid w:val="00282B96"/>
    <w:rsid w:val="002838B5"/>
    <w:rsid w:val="00283CDC"/>
    <w:rsid w:val="00284051"/>
    <w:rsid w:val="00284789"/>
    <w:rsid w:val="00285638"/>
    <w:rsid w:val="002919EE"/>
    <w:rsid w:val="002932F8"/>
    <w:rsid w:val="002A2E62"/>
    <w:rsid w:val="002A54E1"/>
    <w:rsid w:val="002A7F49"/>
    <w:rsid w:val="002B36DE"/>
    <w:rsid w:val="002B5289"/>
    <w:rsid w:val="002B7F2D"/>
    <w:rsid w:val="002C04AD"/>
    <w:rsid w:val="002C71E2"/>
    <w:rsid w:val="002C7853"/>
    <w:rsid w:val="002C7C17"/>
    <w:rsid w:val="002D0D6B"/>
    <w:rsid w:val="002E0A27"/>
    <w:rsid w:val="002E2170"/>
    <w:rsid w:val="002E3158"/>
    <w:rsid w:val="002E61AD"/>
    <w:rsid w:val="002E71AD"/>
    <w:rsid w:val="002F30C9"/>
    <w:rsid w:val="002F3310"/>
    <w:rsid w:val="002F3467"/>
    <w:rsid w:val="002F464C"/>
    <w:rsid w:val="002F590C"/>
    <w:rsid w:val="003039D5"/>
    <w:rsid w:val="0030674A"/>
    <w:rsid w:val="00310122"/>
    <w:rsid w:val="00311067"/>
    <w:rsid w:val="00312325"/>
    <w:rsid w:val="003144DE"/>
    <w:rsid w:val="00314F83"/>
    <w:rsid w:val="003158CC"/>
    <w:rsid w:val="00317B85"/>
    <w:rsid w:val="00317DBE"/>
    <w:rsid w:val="003237A6"/>
    <w:rsid w:val="00324078"/>
    <w:rsid w:val="003269DD"/>
    <w:rsid w:val="003303B3"/>
    <w:rsid w:val="0033166C"/>
    <w:rsid w:val="003332BB"/>
    <w:rsid w:val="00334BA3"/>
    <w:rsid w:val="00334FF3"/>
    <w:rsid w:val="003359D3"/>
    <w:rsid w:val="0034108A"/>
    <w:rsid w:val="003424F3"/>
    <w:rsid w:val="003472BD"/>
    <w:rsid w:val="003507F4"/>
    <w:rsid w:val="00353BF3"/>
    <w:rsid w:val="00354060"/>
    <w:rsid w:val="003549CB"/>
    <w:rsid w:val="0035768C"/>
    <w:rsid w:val="00360453"/>
    <w:rsid w:val="00362099"/>
    <w:rsid w:val="00365739"/>
    <w:rsid w:val="003705C2"/>
    <w:rsid w:val="0037721A"/>
    <w:rsid w:val="00383709"/>
    <w:rsid w:val="0038594A"/>
    <w:rsid w:val="00387936"/>
    <w:rsid w:val="003941E9"/>
    <w:rsid w:val="003A0B90"/>
    <w:rsid w:val="003A692E"/>
    <w:rsid w:val="003A6B38"/>
    <w:rsid w:val="003B05A7"/>
    <w:rsid w:val="003B1C28"/>
    <w:rsid w:val="003B7CF7"/>
    <w:rsid w:val="003C455E"/>
    <w:rsid w:val="003C6669"/>
    <w:rsid w:val="003D599A"/>
    <w:rsid w:val="003D643F"/>
    <w:rsid w:val="003D695E"/>
    <w:rsid w:val="003E0B6D"/>
    <w:rsid w:val="003E0F74"/>
    <w:rsid w:val="003E21C6"/>
    <w:rsid w:val="003E260A"/>
    <w:rsid w:val="003E5361"/>
    <w:rsid w:val="003F6EF4"/>
    <w:rsid w:val="0040350A"/>
    <w:rsid w:val="00406352"/>
    <w:rsid w:val="00411F69"/>
    <w:rsid w:val="00414555"/>
    <w:rsid w:val="00415069"/>
    <w:rsid w:val="004162B7"/>
    <w:rsid w:val="00427A7D"/>
    <w:rsid w:val="004316E9"/>
    <w:rsid w:val="00434001"/>
    <w:rsid w:val="00441266"/>
    <w:rsid w:val="004416DC"/>
    <w:rsid w:val="0044266C"/>
    <w:rsid w:val="00443A5B"/>
    <w:rsid w:val="00444097"/>
    <w:rsid w:val="00446983"/>
    <w:rsid w:val="004475D3"/>
    <w:rsid w:val="0044760E"/>
    <w:rsid w:val="00447F24"/>
    <w:rsid w:val="00452F85"/>
    <w:rsid w:val="00461EF9"/>
    <w:rsid w:val="0046648E"/>
    <w:rsid w:val="00472ED5"/>
    <w:rsid w:val="004747D9"/>
    <w:rsid w:val="0047729B"/>
    <w:rsid w:val="00480596"/>
    <w:rsid w:val="0049059F"/>
    <w:rsid w:val="00494AC0"/>
    <w:rsid w:val="004A2014"/>
    <w:rsid w:val="004B2EEF"/>
    <w:rsid w:val="004B78DF"/>
    <w:rsid w:val="004C1144"/>
    <w:rsid w:val="004C1A86"/>
    <w:rsid w:val="004C23F9"/>
    <w:rsid w:val="004C4214"/>
    <w:rsid w:val="004E201C"/>
    <w:rsid w:val="004F2B00"/>
    <w:rsid w:val="004F3B60"/>
    <w:rsid w:val="004F6096"/>
    <w:rsid w:val="004F6713"/>
    <w:rsid w:val="004F7286"/>
    <w:rsid w:val="00500B8F"/>
    <w:rsid w:val="00500ED6"/>
    <w:rsid w:val="00504DBE"/>
    <w:rsid w:val="005074C3"/>
    <w:rsid w:val="00514A7A"/>
    <w:rsid w:val="0051659B"/>
    <w:rsid w:val="005230CB"/>
    <w:rsid w:val="005239F5"/>
    <w:rsid w:val="00523AC9"/>
    <w:rsid w:val="005252A6"/>
    <w:rsid w:val="00525B43"/>
    <w:rsid w:val="00530E71"/>
    <w:rsid w:val="00532B97"/>
    <w:rsid w:val="00536F2A"/>
    <w:rsid w:val="00537658"/>
    <w:rsid w:val="0054249C"/>
    <w:rsid w:val="005440F3"/>
    <w:rsid w:val="00552BF0"/>
    <w:rsid w:val="005533F1"/>
    <w:rsid w:val="005538F4"/>
    <w:rsid w:val="00556942"/>
    <w:rsid w:val="00561046"/>
    <w:rsid w:val="0056747A"/>
    <w:rsid w:val="00570871"/>
    <w:rsid w:val="005712EF"/>
    <w:rsid w:val="005802AE"/>
    <w:rsid w:val="0058052A"/>
    <w:rsid w:val="00596AB2"/>
    <w:rsid w:val="005A5388"/>
    <w:rsid w:val="005A7573"/>
    <w:rsid w:val="005B0A8B"/>
    <w:rsid w:val="005B12B9"/>
    <w:rsid w:val="005B28B4"/>
    <w:rsid w:val="005B3E3B"/>
    <w:rsid w:val="005B7E45"/>
    <w:rsid w:val="005C062A"/>
    <w:rsid w:val="005C1A21"/>
    <w:rsid w:val="005C5025"/>
    <w:rsid w:val="005C66C8"/>
    <w:rsid w:val="005C7A0E"/>
    <w:rsid w:val="005D1B14"/>
    <w:rsid w:val="005D3FFC"/>
    <w:rsid w:val="005D5B36"/>
    <w:rsid w:val="005E0B4E"/>
    <w:rsid w:val="005E1A4B"/>
    <w:rsid w:val="005E20A7"/>
    <w:rsid w:val="005E251F"/>
    <w:rsid w:val="005E3B88"/>
    <w:rsid w:val="005E3D4C"/>
    <w:rsid w:val="005F19A6"/>
    <w:rsid w:val="005F5FE9"/>
    <w:rsid w:val="005F746E"/>
    <w:rsid w:val="005F7501"/>
    <w:rsid w:val="00600327"/>
    <w:rsid w:val="00601773"/>
    <w:rsid w:val="00601C96"/>
    <w:rsid w:val="00601DA3"/>
    <w:rsid w:val="0060207B"/>
    <w:rsid w:val="00606D48"/>
    <w:rsid w:val="00610BA4"/>
    <w:rsid w:val="00614FC0"/>
    <w:rsid w:val="00616C37"/>
    <w:rsid w:val="00623425"/>
    <w:rsid w:val="006245BD"/>
    <w:rsid w:val="0062512C"/>
    <w:rsid w:val="00626D79"/>
    <w:rsid w:val="00627EA3"/>
    <w:rsid w:val="006318A5"/>
    <w:rsid w:val="006330CE"/>
    <w:rsid w:val="006364AF"/>
    <w:rsid w:val="00651E5A"/>
    <w:rsid w:val="00652DAF"/>
    <w:rsid w:val="00653392"/>
    <w:rsid w:val="00654A35"/>
    <w:rsid w:val="0066007C"/>
    <w:rsid w:val="00660273"/>
    <w:rsid w:val="00670B2A"/>
    <w:rsid w:val="006760C1"/>
    <w:rsid w:val="0068102B"/>
    <w:rsid w:val="00682F3A"/>
    <w:rsid w:val="006864E3"/>
    <w:rsid w:val="006935EE"/>
    <w:rsid w:val="00694DA2"/>
    <w:rsid w:val="006978E8"/>
    <w:rsid w:val="006A5B40"/>
    <w:rsid w:val="006A6016"/>
    <w:rsid w:val="006B34EA"/>
    <w:rsid w:val="006B6490"/>
    <w:rsid w:val="006C4448"/>
    <w:rsid w:val="006D0024"/>
    <w:rsid w:val="006D10FA"/>
    <w:rsid w:val="006D138B"/>
    <w:rsid w:val="006D1E69"/>
    <w:rsid w:val="006D20EA"/>
    <w:rsid w:val="006D2829"/>
    <w:rsid w:val="006D30DC"/>
    <w:rsid w:val="006D7356"/>
    <w:rsid w:val="006E1AB3"/>
    <w:rsid w:val="006E45F8"/>
    <w:rsid w:val="006E7D26"/>
    <w:rsid w:val="006F33DB"/>
    <w:rsid w:val="006F3ACF"/>
    <w:rsid w:val="006F6466"/>
    <w:rsid w:val="007032B7"/>
    <w:rsid w:val="00704358"/>
    <w:rsid w:val="0070683F"/>
    <w:rsid w:val="007069D7"/>
    <w:rsid w:val="00707914"/>
    <w:rsid w:val="00712CC9"/>
    <w:rsid w:val="00715803"/>
    <w:rsid w:val="00715BDD"/>
    <w:rsid w:val="00716E47"/>
    <w:rsid w:val="00717554"/>
    <w:rsid w:val="00717A80"/>
    <w:rsid w:val="00722933"/>
    <w:rsid w:val="00730D18"/>
    <w:rsid w:val="0073136B"/>
    <w:rsid w:val="00732B52"/>
    <w:rsid w:val="00733886"/>
    <w:rsid w:val="0073437F"/>
    <w:rsid w:val="00737556"/>
    <w:rsid w:val="0074293D"/>
    <w:rsid w:val="0074369A"/>
    <w:rsid w:val="00755B59"/>
    <w:rsid w:val="007618CE"/>
    <w:rsid w:val="007623B4"/>
    <w:rsid w:val="00764B8F"/>
    <w:rsid w:val="00770B90"/>
    <w:rsid w:val="0077100C"/>
    <w:rsid w:val="00771504"/>
    <w:rsid w:val="00772C4F"/>
    <w:rsid w:val="0077365B"/>
    <w:rsid w:val="00774961"/>
    <w:rsid w:val="007775DC"/>
    <w:rsid w:val="00777F88"/>
    <w:rsid w:val="00780E3B"/>
    <w:rsid w:val="0078176C"/>
    <w:rsid w:val="00785FAA"/>
    <w:rsid w:val="00791443"/>
    <w:rsid w:val="007941DA"/>
    <w:rsid w:val="00795294"/>
    <w:rsid w:val="00795445"/>
    <w:rsid w:val="007A02FC"/>
    <w:rsid w:val="007A4459"/>
    <w:rsid w:val="007B1E65"/>
    <w:rsid w:val="007B2168"/>
    <w:rsid w:val="007C1D77"/>
    <w:rsid w:val="007C2B78"/>
    <w:rsid w:val="007C7C95"/>
    <w:rsid w:val="007D171B"/>
    <w:rsid w:val="007D3D44"/>
    <w:rsid w:val="007D6A35"/>
    <w:rsid w:val="007D78C5"/>
    <w:rsid w:val="007E0A5E"/>
    <w:rsid w:val="007E122E"/>
    <w:rsid w:val="007E1B00"/>
    <w:rsid w:val="007E5794"/>
    <w:rsid w:val="007E59AF"/>
    <w:rsid w:val="007E63A2"/>
    <w:rsid w:val="007E70D7"/>
    <w:rsid w:val="007E78C5"/>
    <w:rsid w:val="007F3021"/>
    <w:rsid w:val="007F3E7E"/>
    <w:rsid w:val="007F3F4A"/>
    <w:rsid w:val="007F46DB"/>
    <w:rsid w:val="007F47E9"/>
    <w:rsid w:val="007F614C"/>
    <w:rsid w:val="00804E23"/>
    <w:rsid w:val="008061B1"/>
    <w:rsid w:val="00806B9D"/>
    <w:rsid w:val="008170F3"/>
    <w:rsid w:val="00823DDB"/>
    <w:rsid w:val="00826CBE"/>
    <w:rsid w:val="00843195"/>
    <w:rsid w:val="008507BA"/>
    <w:rsid w:val="008525C1"/>
    <w:rsid w:val="00854A78"/>
    <w:rsid w:val="0086222B"/>
    <w:rsid w:val="0086791C"/>
    <w:rsid w:val="00872DFB"/>
    <w:rsid w:val="00873B98"/>
    <w:rsid w:val="00874B11"/>
    <w:rsid w:val="0087638C"/>
    <w:rsid w:val="00892169"/>
    <w:rsid w:val="00892DC6"/>
    <w:rsid w:val="008A010F"/>
    <w:rsid w:val="008A6758"/>
    <w:rsid w:val="008B2598"/>
    <w:rsid w:val="008B363D"/>
    <w:rsid w:val="008B6A5C"/>
    <w:rsid w:val="008C2396"/>
    <w:rsid w:val="008C3783"/>
    <w:rsid w:val="008C74E7"/>
    <w:rsid w:val="008D1A0A"/>
    <w:rsid w:val="008D3229"/>
    <w:rsid w:val="008D346E"/>
    <w:rsid w:val="008D5885"/>
    <w:rsid w:val="008E1BE1"/>
    <w:rsid w:val="008E5F7A"/>
    <w:rsid w:val="008F2502"/>
    <w:rsid w:val="008F2C23"/>
    <w:rsid w:val="008F4372"/>
    <w:rsid w:val="008F476C"/>
    <w:rsid w:val="008F483D"/>
    <w:rsid w:val="008F5979"/>
    <w:rsid w:val="00911467"/>
    <w:rsid w:val="00912C38"/>
    <w:rsid w:val="00913395"/>
    <w:rsid w:val="00917563"/>
    <w:rsid w:val="009213EA"/>
    <w:rsid w:val="00923A8E"/>
    <w:rsid w:val="009266B8"/>
    <w:rsid w:val="00927141"/>
    <w:rsid w:val="009271B9"/>
    <w:rsid w:val="009306B6"/>
    <w:rsid w:val="00933566"/>
    <w:rsid w:val="00936038"/>
    <w:rsid w:val="00937367"/>
    <w:rsid w:val="0093768A"/>
    <w:rsid w:val="00942308"/>
    <w:rsid w:val="00943000"/>
    <w:rsid w:val="0094575F"/>
    <w:rsid w:val="00946AD0"/>
    <w:rsid w:val="00946DE6"/>
    <w:rsid w:val="00953DE7"/>
    <w:rsid w:val="009564F2"/>
    <w:rsid w:val="00957349"/>
    <w:rsid w:val="00960FA1"/>
    <w:rsid w:val="00962BE6"/>
    <w:rsid w:val="00971FA9"/>
    <w:rsid w:val="00973FFE"/>
    <w:rsid w:val="009744BF"/>
    <w:rsid w:val="00974EF2"/>
    <w:rsid w:val="00975DED"/>
    <w:rsid w:val="009762F5"/>
    <w:rsid w:val="00977C5F"/>
    <w:rsid w:val="00984AA1"/>
    <w:rsid w:val="009858B1"/>
    <w:rsid w:val="009865E5"/>
    <w:rsid w:val="009946D1"/>
    <w:rsid w:val="0099713E"/>
    <w:rsid w:val="009976C6"/>
    <w:rsid w:val="009A2946"/>
    <w:rsid w:val="009A3FA8"/>
    <w:rsid w:val="009A5ABD"/>
    <w:rsid w:val="009B370B"/>
    <w:rsid w:val="009B5E53"/>
    <w:rsid w:val="009C0E35"/>
    <w:rsid w:val="009C1D69"/>
    <w:rsid w:val="009C403B"/>
    <w:rsid w:val="009D1E41"/>
    <w:rsid w:val="009D43FE"/>
    <w:rsid w:val="009D56B6"/>
    <w:rsid w:val="009D72A9"/>
    <w:rsid w:val="009E0D2C"/>
    <w:rsid w:val="009E0F5C"/>
    <w:rsid w:val="009E1A97"/>
    <w:rsid w:val="009E48B7"/>
    <w:rsid w:val="009F20AC"/>
    <w:rsid w:val="009F69DC"/>
    <w:rsid w:val="00A00D67"/>
    <w:rsid w:val="00A017F1"/>
    <w:rsid w:val="00A044B4"/>
    <w:rsid w:val="00A10195"/>
    <w:rsid w:val="00A15852"/>
    <w:rsid w:val="00A15B73"/>
    <w:rsid w:val="00A21890"/>
    <w:rsid w:val="00A2276C"/>
    <w:rsid w:val="00A25A7F"/>
    <w:rsid w:val="00A343C9"/>
    <w:rsid w:val="00A35A07"/>
    <w:rsid w:val="00A35CCE"/>
    <w:rsid w:val="00A37011"/>
    <w:rsid w:val="00A37F88"/>
    <w:rsid w:val="00A42CBA"/>
    <w:rsid w:val="00A44FD3"/>
    <w:rsid w:val="00A51247"/>
    <w:rsid w:val="00A53E64"/>
    <w:rsid w:val="00A65F7D"/>
    <w:rsid w:val="00A7206F"/>
    <w:rsid w:val="00A72187"/>
    <w:rsid w:val="00A747ED"/>
    <w:rsid w:val="00A77971"/>
    <w:rsid w:val="00A81184"/>
    <w:rsid w:val="00A906BA"/>
    <w:rsid w:val="00A967E2"/>
    <w:rsid w:val="00A97D25"/>
    <w:rsid w:val="00AA1F91"/>
    <w:rsid w:val="00AA3A95"/>
    <w:rsid w:val="00AA668A"/>
    <w:rsid w:val="00AA7AA2"/>
    <w:rsid w:val="00AB2683"/>
    <w:rsid w:val="00AB372B"/>
    <w:rsid w:val="00AB4875"/>
    <w:rsid w:val="00AC3705"/>
    <w:rsid w:val="00AC3AA4"/>
    <w:rsid w:val="00AC491D"/>
    <w:rsid w:val="00AC5845"/>
    <w:rsid w:val="00AC7AB5"/>
    <w:rsid w:val="00AD3D7A"/>
    <w:rsid w:val="00AD41A0"/>
    <w:rsid w:val="00AD5B57"/>
    <w:rsid w:val="00AD7943"/>
    <w:rsid w:val="00AD7B66"/>
    <w:rsid w:val="00AE459B"/>
    <w:rsid w:val="00AE4628"/>
    <w:rsid w:val="00AE4DA4"/>
    <w:rsid w:val="00AF0067"/>
    <w:rsid w:val="00AF28ED"/>
    <w:rsid w:val="00AF357A"/>
    <w:rsid w:val="00AF5536"/>
    <w:rsid w:val="00B026E3"/>
    <w:rsid w:val="00B03CEF"/>
    <w:rsid w:val="00B100D7"/>
    <w:rsid w:val="00B13030"/>
    <w:rsid w:val="00B14B62"/>
    <w:rsid w:val="00B150FF"/>
    <w:rsid w:val="00B15959"/>
    <w:rsid w:val="00B17E86"/>
    <w:rsid w:val="00B229D2"/>
    <w:rsid w:val="00B24016"/>
    <w:rsid w:val="00B26BFA"/>
    <w:rsid w:val="00B329EC"/>
    <w:rsid w:val="00B35145"/>
    <w:rsid w:val="00B3709F"/>
    <w:rsid w:val="00B37DB4"/>
    <w:rsid w:val="00B40C5E"/>
    <w:rsid w:val="00B4557C"/>
    <w:rsid w:val="00B474B7"/>
    <w:rsid w:val="00B50C09"/>
    <w:rsid w:val="00B51387"/>
    <w:rsid w:val="00B56057"/>
    <w:rsid w:val="00B568E4"/>
    <w:rsid w:val="00B60AC7"/>
    <w:rsid w:val="00B60C56"/>
    <w:rsid w:val="00B619AF"/>
    <w:rsid w:val="00B61DAB"/>
    <w:rsid w:val="00B63720"/>
    <w:rsid w:val="00B63BFC"/>
    <w:rsid w:val="00B675FB"/>
    <w:rsid w:val="00B750DE"/>
    <w:rsid w:val="00B753C7"/>
    <w:rsid w:val="00B758B5"/>
    <w:rsid w:val="00B825E7"/>
    <w:rsid w:val="00B8309C"/>
    <w:rsid w:val="00B879C5"/>
    <w:rsid w:val="00B90F7C"/>
    <w:rsid w:val="00B932B0"/>
    <w:rsid w:val="00B94A58"/>
    <w:rsid w:val="00B94A6D"/>
    <w:rsid w:val="00B94CF0"/>
    <w:rsid w:val="00B9510B"/>
    <w:rsid w:val="00BA1561"/>
    <w:rsid w:val="00BA235E"/>
    <w:rsid w:val="00BA4EB0"/>
    <w:rsid w:val="00BA522D"/>
    <w:rsid w:val="00BB1F35"/>
    <w:rsid w:val="00BB1F44"/>
    <w:rsid w:val="00BB2C81"/>
    <w:rsid w:val="00BB3092"/>
    <w:rsid w:val="00BB7F12"/>
    <w:rsid w:val="00BC00F2"/>
    <w:rsid w:val="00BC27A8"/>
    <w:rsid w:val="00BC3E59"/>
    <w:rsid w:val="00BC74F8"/>
    <w:rsid w:val="00BC79FC"/>
    <w:rsid w:val="00BD7D27"/>
    <w:rsid w:val="00BE0629"/>
    <w:rsid w:val="00BE145A"/>
    <w:rsid w:val="00BE2040"/>
    <w:rsid w:val="00BE3671"/>
    <w:rsid w:val="00BE634A"/>
    <w:rsid w:val="00BF1F93"/>
    <w:rsid w:val="00C020C5"/>
    <w:rsid w:val="00C02BC2"/>
    <w:rsid w:val="00C02DBE"/>
    <w:rsid w:val="00C155DE"/>
    <w:rsid w:val="00C15EAF"/>
    <w:rsid w:val="00C23663"/>
    <w:rsid w:val="00C24D94"/>
    <w:rsid w:val="00C26325"/>
    <w:rsid w:val="00C26740"/>
    <w:rsid w:val="00C310C1"/>
    <w:rsid w:val="00C35BAD"/>
    <w:rsid w:val="00C37516"/>
    <w:rsid w:val="00C376B0"/>
    <w:rsid w:val="00C43F6B"/>
    <w:rsid w:val="00C449AA"/>
    <w:rsid w:val="00C46C6E"/>
    <w:rsid w:val="00C528CB"/>
    <w:rsid w:val="00C52E9A"/>
    <w:rsid w:val="00C53A4E"/>
    <w:rsid w:val="00C560C9"/>
    <w:rsid w:val="00C620E1"/>
    <w:rsid w:val="00C65D1D"/>
    <w:rsid w:val="00C8260C"/>
    <w:rsid w:val="00C90D0D"/>
    <w:rsid w:val="00C91A21"/>
    <w:rsid w:val="00C95A90"/>
    <w:rsid w:val="00C960A9"/>
    <w:rsid w:val="00C96DC0"/>
    <w:rsid w:val="00CA27F1"/>
    <w:rsid w:val="00CA291A"/>
    <w:rsid w:val="00CA3E7C"/>
    <w:rsid w:val="00CB2A53"/>
    <w:rsid w:val="00CB4A0B"/>
    <w:rsid w:val="00CB5362"/>
    <w:rsid w:val="00CB5A00"/>
    <w:rsid w:val="00CB62AC"/>
    <w:rsid w:val="00CB67B8"/>
    <w:rsid w:val="00CC1BB1"/>
    <w:rsid w:val="00CC4199"/>
    <w:rsid w:val="00CC75B2"/>
    <w:rsid w:val="00CD1083"/>
    <w:rsid w:val="00CD1A62"/>
    <w:rsid w:val="00CD258E"/>
    <w:rsid w:val="00CD61D5"/>
    <w:rsid w:val="00CE0D70"/>
    <w:rsid w:val="00CE43C1"/>
    <w:rsid w:val="00CE55A8"/>
    <w:rsid w:val="00CE72EE"/>
    <w:rsid w:val="00CF03D1"/>
    <w:rsid w:val="00CF0D58"/>
    <w:rsid w:val="00CF34D2"/>
    <w:rsid w:val="00CF60DE"/>
    <w:rsid w:val="00CF6285"/>
    <w:rsid w:val="00D0313B"/>
    <w:rsid w:val="00D072EE"/>
    <w:rsid w:val="00D07933"/>
    <w:rsid w:val="00D15CD1"/>
    <w:rsid w:val="00D1668E"/>
    <w:rsid w:val="00D22D46"/>
    <w:rsid w:val="00D23539"/>
    <w:rsid w:val="00D23C5A"/>
    <w:rsid w:val="00D31DC2"/>
    <w:rsid w:val="00D33F4E"/>
    <w:rsid w:val="00D3621F"/>
    <w:rsid w:val="00D405DB"/>
    <w:rsid w:val="00D440E7"/>
    <w:rsid w:val="00D458F3"/>
    <w:rsid w:val="00D54231"/>
    <w:rsid w:val="00D55662"/>
    <w:rsid w:val="00D637EC"/>
    <w:rsid w:val="00D7405B"/>
    <w:rsid w:val="00D7499F"/>
    <w:rsid w:val="00D751A7"/>
    <w:rsid w:val="00D81F9F"/>
    <w:rsid w:val="00D826FF"/>
    <w:rsid w:val="00D848A4"/>
    <w:rsid w:val="00D86EDB"/>
    <w:rsid w:val="00D90AA6"/>
    <w:rsid w:val="00D9123D"/>
    <w:rsid w:val="00D914C7"/>
    <w:rsid w:val="00D91A27"/>
    <w:rsid w:val="00D97FC5"/>
    <w:rsid w:val="00DA1C77"/>
    <w:rsid w:val="00DA1EE5"/>
    <w:rsid w:val="00DB29C5"/>
    <w:rsid w:val="00DB762C"/>
    <w:rsid w:val="00DB7D6C"/>
    <w:rsid w:val="00DC6794"/>
    <w:rsid w:val="00DD2DCE"/>
    <w:rsid w:val="00DD4159"/>
    <w:rsid w:val="00DD7C0A"/>
    <w:rsid w:val="00DE1E72"/>
    <w:rsid w:val="00DE21D7"/>
    <w:rsid w:val="00DE3AA9"/>
    <w:rsid w:val="00DF1FEC"/>
    <w:rsid w:val="00E00506"/>
    <w:rsid w:val="00E11DCB"/>
    <w:rsid w:val="00E162F4"/>
    <w:rsid w:val="00E2034D"/>
    <w:rsid w:val="00E253A0"/>
    <w:rsid w:val="00E2688C"/>
    <w:rsid w:val="00E27B35"/>
    <w:rsid w:val="00E305EF"/>
    <w:rsid w:val="00E334D2"/>
    <w:rsid w:val="00E35D1E"/>
    <w:rsid w:val="00E377A0"/>
    <w:rsid w:val="00E43762"/>
    <w:rsid w:val="00E472E0"/>
    <w:rsid w:val="00E50546"/>
    <w:rsid w:val="00E537DA"/>
    <w:rsid w:val="00E53DDD"/>
    <w:rsid w:val="00E558B7"/>
    <w:rsid w:val="00E61BBE"/>
    <w:rsid w:val="00E63145"/>
    <w:rsid w:val="00E63C0F"/>
    <w:rsid w:val="00E648FC"/>
    <w:rsid w:val="00E653CC"/>
    <w:rsid w:val="00E65B93"/>
    <w:rsid w:val="00E727A9"/>
    <w:rsid w:val="00E736C9"/>
    <w:rsid w:val="00E7790B"/>
    <w:rsid w:val="00E80CA4"/>
    <w:rsid w:val="00E8312A"/>
    <w:rsid w:val="00E8580A"/>
    <w:rsid w:val="00E863AE"/>
    <w:rsid w:val="00E909CB"/>
    <w:rsid w:val="00E922D1"/>
    <w:rsid w:val="00E92587"/>
    <w:rsid w:val="00E92DE2"/>
    <w:rsid w:val="00E94EDA"/>
    <w:rsid w:val="00E96BF6"/>
    <w:rsid w:val="00EA27DA"/>
    <w:rsid w:val="00EA2819"/>
    <w:rsid w:val="00EA3E6A"/>
    <w:rsid w:val="00EA424C"/>
    <w:rsid w:val="00EA62C8"/>
    <w:rsid w:val="00EA6A61"/>
    <w:rsid w:val="00EB2016"/>
    <w:rsid w:val="00EB3412"/>
    <w:rsid w:val="00EB5413"/>
    <w:rsid w:val="00EC1616"/>
    <w:rsid w:val="00EC3113"/>
    <w:rsid w:val="00EC51A6"/>
    <w:rsid w:val="00EC6A86"/>
    <w:rsid w:val="00ED5A95"/>
    <w:rsid w:val="00EE7C6A"/>
    <w:rsid w:val="00EF0889"/>
    <w:rsid w:val="00EF4877"/>
    <w:rsid w:val="00EF638D"/>
    <w:rsid w:val="00EF7184"/>
    <w:rsid w:val="00F031C4"/>
    <w:rsid w:val="00F03445"/>
    <w:rsid w:val="00F03DE5"/>
    <w:rsid w:val="00F111A2"/>
    <w:rsid w:val="00F14C7E"/>
    <w:rsid w:val="00F15945"/>
    <w:rsid w:val="00F231B3"/>
    <w:rsid w:val="00F2562A"/>
    <w:rsid w:val="00F264A6"/>
    <w:rsid w:val="00F337FF"/>
    <w:rsid w:val="00F338DC"/>
    <w:rsid w:val="00F368AE"/>
    <w:rsid w:val="00F41DD6"/>
    <w:rsid w:val="00F461BB"/>
    <w:rsid w:val="00F4700D"/>
    <w:rsid w:val="00F57113"/>
    <w:rsid w:val="00F603BD"/>
    <w:rsid w:val="00F611A6"/>
    <w:rsid w:val="00F62E73"/>
    <w:rsid w:val="00F6481F"/>
    <w:rsid w:val="00F65436"/>
    <w:rsid w:val="00F73084"/>
    <w:rsid w:val="00F773C6"/>
    <w:rsid w:val="00F82ED3"/>
    <w:rsid w:val="00F83BA5"/>
    <w:rsid w:val="00F95D19"/>
    <w:rsid w:val="00F97B68"/>
    <w:rsid w:val="00FA0009"/>
    <w:rsid w:val="00FA1E1A"/>
    <w:rsid w:val="00FA2A13"/>
    <w:rsid w:val="00FA61B5"/>
    <w:rsid w:val="00FB3588"/>
    <w:rsid w:val="00FC47D2"/>
    <w:rsid w:val="00FC5C51"/>
    <w:rsid w:val="00FD5626"/>
    <w:rsid w:val="00FD5B5D"/>
    <w:rsid w:val="00FD6E59"/>
    <w:rsid w:val="00FD783C"/>
    <w:rsid w:val="00FE066C"/>
    <w:rsid w:val="00FE3166"/>
    <w:rsid w:val="00FE4A25"/>
    <w:rsid w:val="00FE7DFE"/>
    <w:rsid w:val="00FF3014"/>
    <w:rsid w:val="00FF63A5"/>
    <w:rsid w:val="00FF75C1"/>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DB01D"/>
  <w15:chartTrackingRefBased/>
  <w15:docId w15:val="{D55C78BF-AD5F-49E9-B6E6-55180E8AB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sz w:val="24"/>
      <w:lang w:val="es-419" w:eastAsia="es-ES"/>
    </w:rPr>
  </w:style>
  <w:style w:type="paragraph" w:styleId="Ttulo1">
    <w:name w:val="heading 1"/>
    <w:basedOn w:val="Normal"/>
    <w:next w:val="Normal"/>
    <w:link w:val="Ttulo1Car"/>
    <w:qFormat/>
    <w:pPr>
      <w:keepNext/>
      <w:numPr>
        <w:numId w:val="3"/>
      </w:numPr>
      <w:suppressAutoHyphens/>
      <w:spacing w:after="240"/>
      <w:outlineLvl w:val="0"/>
    </w:pPr>
    <w:rPr>
      <w:b/>
    </w:rPr>
  </w:style>
  <w:style w:type="paragraph" w:styleId="Ttulo2">
    <w:name w:val="heading 2"/>
    <w:basedOn w:val="Normal"/>
    <w:next w:val="Normal"/>
    <w:link w:val="Ttulo2Car"/>
    <w:qFormat/>
    <w:pPr>
      <w:keepNext/>
      <w:numPr>
        <w:ilvl w:val="1"/>
        <w:numId w:val="2"/>
      </w:numPr>
      <w:spacing w:after="240"/>
      <w:outlineLvl w:val="1"/>
    </w:pPr>
    <w:rPr>
      <w:b/>
      <w:szCs w:val="24"/>
    </w:rPr>
  </w:style>
  <w:style w:type="paragraph" w:styleId="Ttulo3">
    <w:name w:val="heading 3"/>
    <w:basedOn w:val="Normal"/>
    <w:next w:val="Normal"/>
    <w:qFormat/>
    <w:pPr>
      <w:keepNext/>
      <w:numPr>
        <w:ilvl w:val="2"/>
        <w:numId w:val="4"/>
      </w:numPr>
      <w:tabs>
        <w:tab w:val="left" w:pos="0"/>
      </w:tabs>
      <w:suppressAutoHyphens/>
      <w:spacing w:after="240"/>
      <w:outlineLvl w:val="2"/>
    </w:pPr>
    <w:rPr>
      <w:b/>
      <w:lang w:val="es-ES"/>
    </w:rPr>
  </w:style>
  <w:style w:type="paragraph" w:styleId="Ttulo4">
    <w:name w:val="heading 4"/>
    <w:basedOn w:val="Normal"/>
    <w:next w:val="Normal"/>
    <w:qFormat/>
    <w:pPr>
      <w:keepNext/>
      <w:numPr>
        <w:ilvl w:val="3"/>
        <w:numId w:val="5"/>
      </w:numPr>
      <w:spacing w:after="240"/>
      <w:ind w:left="862" w:hanging="862"/>
      <w:outlineLvl w:val="3"/>
    </w:pPr>
    <w:rPr>
      <w:b/>
    </w:rPr>
  </w:style>
  <w:style w:type="paragraph" w:styleId="Ttulo5">
    <w:name w:val="heading 5"/>
    <w:basedOn w:val="Normal"/>
    <w:next w:val="Normal"/>
    <w:qFormat/>
    <w:pPr>
      <w:keepNext/>
      <w:numPr>
        <w:ilvl w:val="4"/>
        <w:numId w:val="6"/>
      </w:numPr>
      <w:spacing w:after="240"/>
      <w:ind w:left="1009" w:hanging="1009"/>
      <w:outlineLvl w:val="4"/>
    </w:pPr>
    <w:rPr>
      <w:sz w:val="22"/>
    </w:rPr>
  </w:style>
  <w:style w:type="paragraph" w:styleId="Ttulo6">
    <w:name w:val="heading 6"/>
    <w:basedOn w:val="Normal"/>
    <w:next w:val="Normal"/>
    <w:qFormat/>
    <w:pPr>
      <w:numPr>
        <w:ilvl w:val="5"/>
        <w:numId w:val="1"/>
      </w:numPr>
      <w:spacing w:before="240" w:after="60"/>
      <w:outlineLvl w:val="5"/>
    </w:pPr>
    <w:rPr>
      <w:rFonts w:ascii="Times New Roman" w:hAnsi="Times New Roman"/>
      <w:i/>
      <w:sz w:val="22"/>
    </w:rPr>
  </w:style>
  <w:style w:type="paragraph" w:styleId="Ttulo7">
    <w:name w:val="heading 7"/>
    <w:basedOn w:val="Normal"/>
    <w:next w:val="Normal"/>
    <w:qFormat/>
    <w:pPr>
      <w:numPr>
        <w:ilvl w:val="6"/>
        <w:numId w:val="1"/>
      </w:numPr>
      <w:spacing w:before="240" w:after="60"/>
      <w:outlineLvl w:val="6"/>
    </w:pPr>
    <w:rPr>
      <w:sz w:val="20"/>
    </w:rPr>
  </w:style>
  <w:style w:type="paragraph" w:styleId="Ttulo8">
    <w:name w:val="heading 8"/>
    <w:basedOn w:val="Normal"/>
    <w:next w:val="Normal"/>
    <w:qFormat/>
    <w:pPr>
      <w:numPr>
        <w:ilvl w:val="7"/>
        <w:numId w:val="1"/>
      </w:numPr>
      <w:spacing w:before="240" w:after="60"/>
      <w:outlineLvl w:val="7"/>
    </w:pPr>
    <w:rPr>
      <w:i/>
      <w:sz w:val="20"/>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rPr>
  </w:style>
  <w:style w:type="paragraph" w:styleId="TDC1">
    <w:name w:val="toc 1"/>
    <w:basedOn w:val="Normal"/>
    <w:next w:val="Normal"/>
    <w:autoRedefine/>
    <w:uiPriority w:val="39"/>
    <w:pPr>
      <w:tabs>
        <w:tab w:val="left" w:pos="480"/>
        <w:tab w:val="right" w:leader="dot" w:pos="8828"/>
      </w:tabs>
      <w:spacing w:before="120"/>
    </w:pPr>
    <w:rPr>
      <w:noProof/>
      <w:szCs w:val="24"/>
      <w:lang w:val="es-ES"/>
    </w:rPr>
  </w:style>
  <w:style w:type="paragraph" w:styleId="TDC2">
    <w:name w:val="toc 2"/>
    <w:basedOn w:val="Normal"/>
    <w:next w:val="Normal"/>
    <w:autoRedefine/>
    <w:uiPriority w:val="39"/>
    <w:pPr>
      <w:tabs>
        <w:tab w:val="left" w:pos="960"/>
        <w:tab w:val="right" w:leader="dot" w:pos="8820"/>
      </w:tabs>
      <w:ind w:left="960" w:right="378" w:hanging="720"/>
      <w:jc w:val="left"/>
    </w:pPr>
    <w:rPr>
      <w:noProof/>
      <w:szCs w:val="24"/>
      <w:lang w:val="es-ES"/>
    </w:rPr>
  </w:style>
  <w:style w:type="paragraph" w:styleId="TDC3">
    <w:name w:val="toc 3"/>
    <w:basedOn w:val="Normal"/>
    <w:next w:val="Normal"/>
    <w:autoRedefine/>
    <w:semiHidden/>
    <w:pPr>
      <w:ind w:left="480"/>
    </w:pPr>
    <w:rPr>
      <w:szCs w:val="24"/>
      <w:lang w:val="es-ES"/>
    </w:rPr>
  </w:style>
  <w:style w:type="paragraph" w:customStyle="1" w:styleId="Citas">
    <w:name w:val="Citas"/>
    <w:basedOn w:val="Normal"/>
    <w:next w:val="Normal"/>
    <w:pPr>
      <w:ind w:left="708" w:right="476"/>
    </w:pPr>
    <w:rPr>
      <w:rFonts w:ascii="Times New Roman" w:hAnsi="Times New Roman"/>
      <w:i/>
      <w:iCs/>
    </w:rPr>
  </w:style>
  <w:style w:type="paragraph" w:styleId="Piedepgina">
    <w:name w:val="footer"/>
    <w:basedOn w:val="Normal"/>
    <w:link w:val="PiedepginaCar"/>
    <w:uiPriority w:val="99"/>
    <w:pPr>
      <w:tabs>
        <w:tab w:val="center" w:pos="4252"/>
        <w:tab w:val="right" w:pos="8504"/>
      </w:tabs>
    </w:pPr>
  </w:style>
  <w:style w:type="paragraph" w:styleId="Textonotapie">
    <w:name w:val="footnote text"/>
    <w:aliases w:val="fn,footnote text,Footnote Text Char Char Char Char Char,Footnote Text Char Char Char Char,Footnote reference,FA Fu,Footnote Text Char Char Char,Footnote Text Cha,FA Fußnotentext,FA Fuﬂnotentext,Footnote Text Char Char,texto de nota al p"/>
    <w:basedOn w:val="Normal"/>
    <w:link w:val="TextonotapieCar"/>
    <w:uiPriority w:val="99"/>
    <w:rPr>
      <w:sz w:val="20"/>
    </w:rPr>
  </w:style>
  <w:style w:type="paragraph" w:customStyle="1" w:styleId="Epgrafe">
    <w:name w:val="Epígrafe"/>
    <w:basedOn w:val="Normal"/>
    <w:next w:val="Normal"/>
    <w:qFormat/>
    <w:pPr>
      <w:spacing w:before="120" w:after="120"/>
    </w:pPr>
    <w:rPr>
      <w:b/>
    </w:rPr>
  </w:style>
  <w:style w:type="paragraph" w:styleId="Sangra2detindependiente">
    <w:name w:val="Body Text Indent 2"/>
    <w:basedOn w:val="Normal"/>
    <w:semiHidden/>
    <w:pPr>
      <w:ind w:left="567" w:hanging="567"/>
      <w:outlineLvl w:val="0"/>
    </w:pPr>
    <w:rPr>
      <w:b/>
      <w:sz w:val="20"/>
      <w:szCs w:val="24"/>
      <w:lang w:val="es-CO"/>
    </w:rPr>
  </w:style>
  <w:style w:type="paragraph" w:styleId="Textoindependiente">
    <w:name w:val="Body Text"/>
    <w:basedOn w:val="Normal"/>
    <w:semiHidden/>
    <w:pPr>
      <w:jc w:val="center"/>
    </w:pPr>
    <w:rPr>
      <w:b/>
      <w:sz w:val="48"/>
    </w:r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character" w:styleId="Nmerodepgina">
    <w:name w:val="page number"/>
    <w:basedOn w:val="Fuentedeprrafopredeter"/>
    <w:semiHidden/>
  </w:style>
  <w:style w:type="paragraph" w:styleId="Encabezado">
    <w:name w:val="header"/>
    <w:basedOn w:val="Normal"/>
    <w:semiHidden/>
    <w:pPr>
      <w:tabs>
        <w:tab w:val="center" w:pos="4252"/>
        <w:tab w:val="right" w:pos="8504"/>
      </w:tabs>
    </w:pPr>
  </w:style>
  <w:style w:type="character" w:styleId="Refdenotaalpie">
    <w:name w:val="footnote reference"/>
    <w:aliases w:val="Ref. de nota al pie 2,Texto de nota al pie,Pie de Página,FC,Appel note de bas de page,Footnotes refss,Footnote number,referencia nota al pie,BVI fnr,f,4_G,16 Point,Superscript 6 Point,Texto nota al pie,Texto de nota al pi,fr,o"/>
    <w:uiPriority w:val="99"/>
    <w:rPr>
      <w:vertAlign w:val="superscript"/>
    </w:rPr>
  </w:style>
  <w:style w:type="paragraph" w:styleId="Textoindependiente2">
    <w:name w:val="Body Text 2"/>
    <w:basedOn w:val="Normal"/>
    <w:semiHidden/>
    <w:pPr>
      <w:tabs>
        <w:tab w:val="left" w:pos="-720"/>
        <w:tab w:val="left" w:pos="0"/>
      </w:tabs>
      <w:suppressAutoHyphens/>
    </w:pPr>
    <w:rPr>
      <w:color w:val="000000"/>
      <w:spacing w:val="-3"/>
    </w:rPr>
  </w:style>
  <w:style w:type="paragraph" w:styleId="Textoindependiente3">
    <w:name w:val="Body Text 3"/>
    <w:basedOn w:val="Normal"/>
    <w:semiHidden/>
    <w:pPr>
      <w:jc w:val="center"/>
    </w:pPr>
    <w:rPr>
      <w:b/>
      <w:bCs/>
      <w:sz w:val="22"/>
    </w:rPr>
  </w:style>
  <w:style w:type="paragraph" w:styleId="Textodebloque">
    <w:name w:val="Block Text"/>
    <w:basedOn w:val="Normal"/>
    <w:semiHidden/>
    <w:pPr>
      <w:ind w:left="709" w:right="901"/>
      <w:jc w:val="center"/>
    </w:pPr>
    <w:rPr>
      <w:rFonts w:ascii="Bookman Old Style" w:hAnsi="Bookman Old Style"/>
      <w:sz w:val="22"/>
      <w:szCs w:val="24"/>
    </w:rPr>
  </w:style>
  <w:style w:type="paragraph" w:styleId="Tabladeilustraciones">
    <w:name w:val="table of figures"/>
    <w:basedOn w:val="Normal"/>
    <w:next w:val="Normal"/>
    <w:semiHidden/>
    <w:pPr>
      <w:tabs>
        <w:tab w:val="right" w:leader="dot" w:pos="8828"/>
      </w:tabs>
      <w:ind w:left="480" w:hanging="480"/>
    </w:pPr>
    <w:rPr>
      <w:noProof/>
    </w:rPr>
  </w:style>
  <w:style w:type="character" w:styleId="Refdecomentario">
    <w:name w:val="annotation reference"/>
    <w:semiHidden/>
    <w:rPr>
      <w:sz w:val="16"/>
      <w:szCs w:val="16"/>
    </w:rPr>
  </w:style>
  <w:style w:type="paragraph" w:styleId="Textocomentario">
    <w:name w:val="annotation text"/>
    <w:basedOn w:val="Normal"/>
    <w:link w:val="TextocomentarioCar"/>
    <w:semiHidden/>
    <w:rPr>
      <w:sz w:val="20"/>
    </w:rPr>
  </w:style>
  <w:style w:type="paragraph" w:styleId="Mapadeldocumento">
    <w:name w:val="Document Map"/>
    <w:basedOn w:val="Normal"/>
    <w:semiHidden/>
    <w:pPr>
      <w:shd w:val="clear" w:color="auto" w:fill="000080"/>
    </w:pPr>
    <w:rPr>
      <w:rFonts w:ascii="Tahoma" w:hAnsi="Tahoma" w:cs="Tahoma"/>
    </w:rPr>
  </w:style>
  <w:style w:type="character" w:customStyle="1" w:styleId="eacep1">
    <w:name w:val="eacep1"/>
    <w:rPr>
      <w:color w:val="000000"/>
    </w:rPr>
  </w:style>
  <w:style w:type="character" w:customStyle="1" w:styleId="PiedepginaCar">
    <w:name w:val="Pie de página Car"/>
    <w:link w:val="Piedepgina"/>
    <w:uiPriority w:val="99"/>
    <w:rsid w:val="0077100C"/>
    <w:rPr>
      <w:rFonts w:ascii="Arial" w:hAnsi="Arial"/>
      <w:sz w:val="24"/>
      <w:lang w:val="es-ES_tradnl" w:eastAsia="es-ES"/>
    </w:rPr>
  </w:style>
  <w:style w:type="table" w:customStyle="1" w:styleId="NormalTable0">
    <w:name w:val="Normal Table0"/>
    <w:uiPriority w:val="2"/>
    <w:semiHidden/>
    <w:unhideWhenUsed/>
    <w:qFormat/>
    <w:rsid w:val="000757E6"/>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757E6"/>
    <w:pPr>
      <w:widowControl w:val="0"/>
      <w:autoSpaceDE w:val="0"/>
      <w:autoSpaceDN w:val="0"/>
      <w:jc w:val="left"/>
    </w:pPr>
    <w:rPr>
      <w:rFonts w:ascii="Arial MT" w:eastAsia="Arial MT" w:hAnsi="Arial MT" w:cs="Arial MT"/>
      <w:sz w:val="22"/>
      <w:szCs w:val="22"/>
      <w:lang w:val="es-ES" w:eastAsia="en-US"/>
    </w:rPr>
  </w:style>
  <w:style w:type="character" w:customStyle="1" w:styleId="TextonotapieCar">
    <w:name w:val="Texto nota pie Car"/>
    <w:aliases w:val="fn Car,footnote text Car,Footnote Text Char Char Char Char Char Car,Footnote Text Char Char Char Char Car,Footnote reference Car,FA Fu Car,Footnote Text Char Char Char Car,Footnote Text Cha Car,FA Fußnotentext Car,FA Fuﬂnotentext Car"/>
    <w:basedOn w:val="Fuentedeprrafopredeter"/>
    <w:link w:val="Textonotapie"/>
    <w:uiPriority w:val="99"/>
    <w:rsid w:val="002A2E62"/>
    <w:rPr>
      <w:rFonts w:ascii="Arial" w:hAnsi="Arial"/>
      <w:lang w:val="es-ES_tradnl" w:eastAsia="es-ES"/>
    </w:rPr>
  </w:style>
  <w:style w:type="paragraph" w:styleId="Prrafodelista">
    <w:name w:val="List Paragraph"/>
    <w:basedOn w:val="Normal"/>
    <w:uiPriority w:val="34"/>
    <w:qFormat/>
    <w:rsid w:val="00E27B35"/>
    <w:pPr>
      <w:spacing w:after="160" w:line="278" w:lineRule="auto"/>
      <w:ind w:left="720"/>
      <w:contextualSpacing/>
      <w:jc w:val="left"/>
    </w:pPr>
    <w:rPr>
      <w:rFonts w:asciiTheme="minorHAnsi" w:eastAsiaTheme="minorHAnsi" w:hAnsiTheme="minorHAnsi" w:cstheme="minorBidi"/>
      <w:kern w:val="2"/>
      <w:szCs w:val="24"/>
      <w:lang w:eastAsia="en-US"/>
      <w14:ligatures w14:val="standardContextual"/>
    </w:rPr>
  </w:style>
  <w:style w:type="paragraph" w:styleId="NormalWeb">
    <w:name w:val="Normal (Web)"/>
    <w:basedOn w:val="Normal"/>
    <w:uiPriority w:val="99"/>
    <w:semiHidden/>
    <w:unhideWhenUsed/>
    <w:rsid w:val="00D3621F"/>
    <w:pPr>
      <w:spacing w:before="100" w:beforeAutospacing="1" w:after="100" w:afterAutospacing="1"/>
      <w:jc w:val="left"/>
    </w:pPr>
    <w:rPr>
      <w:rFonts w:ascii="Times New Roman" w:hAnsi="Times New Roman"/>
      <w:szCs w:val="24"/>
      <w:lang w:val="es-CO" w:eastAsia="es-CO"/>
    </w:rPr>
  </w:style>
  <w:style w:type="paragraph" w:styleId="Revisin">
    <w:name w:val="Revision"/>
    <w:hidden/>
    <w:uiPriority w:val="99"/>
    <w:semiHidden/>
    <w:rsid w:val="00B50C09"/>
    <w:rPr>
      <w:rFonts w:ascii="Arial" w:hAnsi="Arial"/>
      <w:sz w:val="24"/>
      <w:lang w:val="es-ES_tradnl" w:eastAsia="es-ES"/>
    </w:rPr>
  </w:style>
  <w:style w:type="table" w:styleId="Tablaconcuadrcula">
    <w:name w:val="Table Grid"/>
    <w:basedOn w:val="Tablanormal"/>
    <w:uiPriority w:val="59"/>
    <w:rsid w:val="00F23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A5ABD"/>
    <w:pPr>
      <w:keepLines/>
      <w:numPr>
        <w:numId w:val="0"/>
      </w:numPr>
      <w:suppressAutoHyphens w:val="0"/>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s-CO" w:eastAsia="zh-CN"/>
    </w:rPr>
  </w:style>
  <w:style w:type="paragraph" w:styleId="Descripcin">
    <w:name w:val="caption"/>
    <w:basedOn w:val="Normal"/>
    <w:next w:val="Normal"/>
    <w:uiPriority w:val="35"/>
    <w:qFormat/>
    <w:rsid w:val="004F3B60"/>
    <w:pPr>
      <w:spacing w:after="200"/>
    </w:pPr>
    <w:rPr>
      <w:i/>
      <w:iCs/>
      <w:color w:val="44546A" w:themeColor="text2"/>
      <w:sz w:val="18"/>
      <w:szCs w:val="18"/>
    </w:rPr>
  </w:style>
  <w:style w:type="character" w:styleId="Mencinsinresolver">
    <w:name w:val="Unresolved Mention"/>
    <w:basedOn w:val="Fuentedeprrafopredeter"/>
    <w:uiPriority w:val="99"/>
    <w:semiHidden/>
    <w:unhideWhenUsed/>
    <w:rsid w:val="00B40C5E"/>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B9510B"/>
    <w:rPr>
      <w:b/>
      <w:bCs/>
    </w:rPr>
  </w:style>
  <w:style w:type="character" w:customStyle="1" w:styleId="TextocomentarioCar">
    <w:name w:val="Texto comentario Car"/>
    <w:basedOn w:val="Fuentedeprrafopredeter"/>
    <w:link w:val="Textocomentario"/>
    <w:semiHidden/>
    <w:rsid w:val="00B9510B"/>
    <w:rPr>
      <w:rFonts w:ascii="Arial" w:hAnsi="Arial"/>
      <w:lang w:val="es-ES_tradnl" w:eastAsia="es-ES"/>
    </w:rPr>
  </w:style>
  <w:style w:type="character" w:customStyle="1" w:styleId="AsuntodelcomentarioCar">
    <w:name w:val="Asunto del comentario Car"/>
    <w:basedOn w:val="TextocomentarioCar"/>
    <w:link w:val="Asuntodelcomentario"/>
    <w:uiPriority w:val="99"/>
    <w:semiHidden/>
    <w:rsid w:val="00B9510B"/>
    <w:rPr>
      <w:rFonts w:ascii="Arial" w:hAnsi="Arial"/>
      <w:b/>
      <w:bCs/>
      <w:lang w:val="es-ES_tradnl" w:eastAsia="es-ES"/>
    </w:rPr>
  </w:style>
  <w:style w:type="character" w:customStyle="1" w:styleId="Ttulo1Car">
    <w:name w:val="Título 1 Car"/>
    <w:basedOn w:val="Fuentedeprrafopredeter"/>
    <w:link w:val="Ttulo1"/>
    <w:rsid w:val="001E7F8E"/>
    <w:rPr>
      <w:rFonts w:ascii="Arial" w:hAnsi="Arial"/>
      <w:b/>
      <w:sz w:val="24"/>
      <w:lang w:val="es-ES_tradnl" w:eastAsia="es-ES"/>
    </w:rPr>
  </w:style>
  <w:style w:type="character" w:customStyle="1" w:styleId="Ttulo2Car">
    <w:name w:val="Título 2 Car"/>
    <w:basedOn w:val="Fuentedeprrafopredeter"/>
    <w:link w:val="Ttulo2"/>
    <w:rsid w:val="00B026E3"/>
    <w:rPr>
      <w:rFonts w:ascii="Arial" w:hAnsi="Arial"/>
      <w:b/>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9867">
      <w:bodyDiv w:val="1"/>
      <w:marLeft w:val="0"/>
      <w:marRight w:val="0"/>
      <w:marTop w:val="0"/>
      <w:marBottom w:val="0"/>
      <w:divBdr>
        <w:top w:val="none" w:sz="0" w:space="0" w:color="auto"/>
        <w:left w:val="none" w:sz="0" w:space="0" w:color="auto"/>
        <w:bottom w:val="none" w:sz="0" w:space="0" w:color="auto"/>
        <w:right w:val="none" w:sz="0" w:space="0" w:color="auto"/>
      </w:divBdr>
    </w:div>
    <w:div w:id="57166156">
      <w:bodyDiv w:val="1"/>
      <w:marLeft w:val="0"/>
      <w:marRight w:val="0"/>
      <w:marTop w:val="0"/>
      <w:marBottom w:val="0"/>
      <w:divBdr>
        <w:top w:val="none" w:sz="0" w:space="0" w:color="auto"/>
        <w:left w:val="none" w:sz="0" w:space="0" w:color="auto"/>
        <w:bottom w:val="none" w:sz="0" w:space="0" w:color="auto"/>
        <w:right w:val="none" w:sz="0" w:space="0" w:color="auto"/>
      </w:divBdr>
    </w:div>
    <w:div w:id="445120591">
      <w:bodyDiv w:val="1"/>
      <w:marLeft w:val="0"/>
      <w:marRight w:val="0"/>
      <w:marTop w:val="0"/>
      <w:marBottom w:val="0"/>
      <w:divBdr>
        <w:top w:val="none" w:sz="0" w:space="0" w:color="auto"/>
        <w:left w:val="none" w:sz="0" w:space="0" w:color="auto"/>
        <w:bottom w:val="none" w:sz="0" w:space="0" w:color="auto"/>
        <w:right w:val="none" w:sz="0" w:space="0" w:color="auto"/>
      </w:divBdr>
    </w:div>
    <w:div w:id="1856309653">
      <w:bodyDiv w:val="1"/>
      <w:marLeft w:val="0"/>
      <w:marRight w:val="0"/>
      <w:marTop w:val="0"/>
      <w:marBottom w:val="0"/>
      <w:divBdr>
        <w:top w:val="none" w:sz="0" w:space="0" w:color="auto"/>
        <w:left w:val="none" w:sz="0" w:space="0" w:color="auto"/>
        <w:bottom w:val="none" w:sz="0" w:space="0" w:color="auto"/>
        <w:right w:val="none" w:sz="0" w:space="0" w:color="auto"/>
      </w:divBdr>
    </w:div>
    <w:div w:id="1958488358">
      <w:bodyDiv w:val="1"/>
      <w:marLeft w:val="0"/>
      <w:marRight w:val="0"/>
      <w:marTop w:val="0"/>
      <w:marBottom w:val="0"/>
      <w:divBdr>
        <w:top w:val="none" w:sz="0" w:space="0" w:color="auto"/>
        <w:left w:val="none" w:sz="0" w:space="0" w:color="auto"/>
        <w:bottom w:val="none" w:sz="0" w:space="0" w:color="auto"/>
        <w:right w:val="none" w:sz="0" w:space="0" w:color="auto"/>
      </w:divBdr>
    </w:div>
    <w:div w:id="196649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3.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sic.gov.co/sites/default/files/files/2021/Versi%C3%B3n%202_0_%20Gu%C3%ADa%20elaboraci%C3%B3n%20estudios%20t%C3%A9cnico-econ%C3%B3micos%20-%20con%20cambios%20Superintendente.pdf" TargetMode="External"/><Relationship Id="rId2" Type="http://schemas.openxmlformats.org/officeDocument/2006/relationships/hyperlink" Target="https://www.sic.gov.co/sites/default/files/files/cartillaabogacia.pdf" TargetMode="External"/><Relationship Id="rId1" Type="http://schemas.openxmlformats.org/officeDocument/2006/relationships/hyperlink" Target="https://www.oecd.org/daf/competition/98765433.pdf"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creggov.sharepoint.com/sites/Regulacin-Energa-EE-AGyGD/Documentos%20compartidos/EE-AGyGD/Ajustes%20CREG%20174%202025%20Comunidades/Transici&#243;n%20y%20Excedentes%20negativos/FORMATO%20T9%20(21-07-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reggov.sharepoint.com/sites/Regulacin-Energa-EE-AGyGD/Documentos%20compartidos/EE-AGyGD/Ajustes%20CREG%20174%202025%20Comunidades/Transici&#243;n%20y%20Excedentes%20negativos/FORMATO%20T9%20(21-07-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reggov.sharepoint.com/sites/Regulacin-Energa-EE-AGyGD/Documentos%20compartidos/EE-AGyGD/Ajustes%20CREG%20174%202025%20Comunidades/Transici&#243;n%20y%20Excedentes%20negativos/FORMATO%20T9%20(21-07-2025).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0"/>
          <c:order val="0"/>
          <c:tx>
            <c:strRef>
              <c:f>Hoja2!$D$2</c:f>
              <c:strCache>
                <c:ptCount val="1"/>
                <c:pt idx="0">
                  <c:v>Gtr NEU ENERGY</c:v>
                </c:pt>
              </c:strCache>
              <c:extLst xmlns:c15="http://schemas.microsoft.com/office/drawing/2012/chart"/>
            </c:strRef>
          </c:tx>
          <c:spPr>
            <a:ln w="28575" cap="rnd">
              <a:solidFill>
                <a:schemeClr val="accent1"/>
              </a:solidFill>
              <a:round/>
            </a:ln>
            <a:effectLst/>
          </c:spPr>
          <c:marker>
            <c:symbol val="none"/>
          </c:marker>
          <c:cat>
            <c:strRef>
              <c:f>Hoja2!$C$3:$C$19</c:f>
              <c:strCache>
                <c:ptCount val="17"/>
                <c:pt idx="0">
                  <c:v>2024-1</c:v>
                </c:pt>
                <c:pt idx="1">
                  <c:v>2024-2</c:v>
                </c:pt>
                <c:pt idx="2">
                  <c:v>2024-3</c:v>
                </c:pt>
                <c:pt idx="3">
                  <c:v>2024-4</c:v>
                </c:pt>
                <c:pt idx="4">
                  <c:v>2024-5</c:v>
                </c:pt>
                <c:pt idx="5">
                  <c:v>2024-6</c:v>
                </c:pt>
                <c:pt idx="6">
                  <c:v>2024-7</c:v>
                </c:pt>
                <c:pt idx="7">
                  <c:v>2024-8</c:v>
                </c:pt>
                <c:pt idx="8">
                  <c:v>2024-9</c:v>
                </c:pt>
                <c:pt idx="9">
                  <c:v>2024-10</c:v>
                </c:pt>
                <c:pt idx="10">
                  <c:v>2024-11</c:v>
                </c:pt>
                <c:pt idx="11">
                  <c:v>2024-12</c:v>
                </c:pt>
                <c:pt idx="12">
                  <c:v>2025-1</c:v>
                </c:pt>
                <c:pt idx="13">
                  <c:v>2025-2</c:v>
                </c:pt>
                <c:pt idx="14">
                  <c:v>2025-3</c:v>
                </c:pt>
                <c:pt idx="15">
                  <c:v>2025-4</c:v>
                </c:pt>
                <c:pt idx="16">
                  <c:v>2025-5</c:v>
                </c:pt>
              </c:strCache>
              <c:extLst xmlns:c15="http://schemas.microsoft.com/office/drawing/2012/chart"/>
            </c:strRef>
          </c:cat>
          <c:val>
            <c:numRef>
              <c:f>Hoja2!$D$3:$D$19</c:f>
              <c:numCache>
                <c:formatCode>0.00</c:formatCode>
                <c:ptCount val="17"/>
                <c:pt idx="0">
                  <c:v>5.5857100000000024</c:v>
                </c:pt>
                <c:pt idx="1">
                  <c:v>5.6261599999999996</c:v>
                </c:pt>
                <c:pt idx="2">
                  <c:v>3.8600000000000003</c:v>
                </c:pt>
                <c:pt idx="3">
                  <c:v>4.5100000000000007</c:v>
                </c:pt>
                <c:pt idx="4">
                  <c:v>3.9000000000000004</c:v>
                </c:pt>
                <c:pt idx="5">
                  <c:v>4.2485099999999978</c:v>
                </c:pt>
                <c:pt idx="6">
                  <c:v>3.5257000000000001</c:v>
                </c:pt>
                <c:pt idx="7">
                  <c:v>3.2606200000000016</c:v>
                </c:pt>
                <c:pt idx="8">
                  <c:v>3.7691499999999976</c:v>
                </c:pt>
                <c:pt idx="9">
                  <c:v>3.7840699999999998</c:v>
                </c:pt>
                <c:pt idx="10">
                  <c:v>4.1929700000000016</c:v>
                </c:pt>
                <c:pt idx="11">
                  <c:v>3.753559999999998</c:v>
                </c:pt>
                <c:pt idx="12">
                  <c:v>4.3749799999999981</c:v>
                </c:pt>
                <c:pt idx="13">
                  <c:v>5.1378899999999996</c:v>
                </c:pt>
                <c:pt idx="14">
                  <c:v>5.1650900000000028</c:v>
                </c:pt>
                <c:pt idx="15">
                  <c:v>6.6749300000000007</c:v>
                </c:pt>
                <c:pt idx="16">
                  <c:v>15.510820000000002</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0-29F2-4CD8-9652-5518637A347C}"/>
            </c:ext>
          </c:extLst>
        </c:ser>
        <c:dLbls>
          <c:showLegendKey val="0"/>
          <c:showVal val="0"/>
          <c:showCatName val="0"/>
          <c:showSerName val="0"/>
          <c:showPercent val="0"/>
          <c:showBubbleSize val="0"/>
        </c:dLbls>
        <c:smooth val="0"/>
        <c:axId val="817554784"/>
        <c:axId val="524090544"/>
        <c:extLst>
          <c:ext xmlns:c15="http://schemas.microsoft.com/office/drawing/2012/chart" uri="{02D57815-91ED-43cb-92C2-25804820EDAC}">
            <c15:filteredLineSeries>
              <c15:ser>
                <c:idx val="1"/>
                <c:order val="1"/>
                <c:tx>
                  <c:strRef>
                    <c:extLst>
                      <c:ext uri="{02D57815-91ED-43cb-92C2-25804820EDAC}">
                        <c15:formulaRef>
                          <c15:sqref>Hoja2!$E$2</c15:sqref>
                        </c15:formulaRef>
                      </c:ext>
                    </c:extLst>
                    <c:strCache>
                      <c:ptCount val="1"/>
                      <c:pt idx="0">
                        <c:v>Gtr Sol y Cielo Aire</c:v>
                      </c:pt>
                    </c:strCache>
                  </c:strRef>
                </c:tx>
                <c:spPr>
                  <a:ln w="28575" cap="rnd">
                    <a:solidFill>
                      <a:schemeClr val="accent2"/>
                    </a:solidFill>
                    <a:round/>
                  </a:ln>
                  <a:effectLst/>
                </c:spPr>
                <c:marker>
                  <c:symbol val="none"/>
                </c:marker>
                <c:val>
                  <c:numRef>
                    <c:extLst>
                      <c:ext uri="{02D57815-91ED-43cb-92C2-25804820EDAC}">
                        <c15:formulaRef>
                          <c15:sqref>Hoja2!$E$3:$E$19</c15:sqref>
                        </c15:formulaRef>
                      </c:ext>
                    </c:extLst>
                    <c:numCache>
                      <c:formatCode>General</c:formatCode>
                      <c:ptCount val="17"/>
                      <c:pt idx="7" formatCode="0.00">
                        <c:v>108.93219999999999</c:v>
                      </c:pt>
                      <c:pt idx="8" formatCode="0.00">
                        <c:v>108.93219999999999</c:v>
                      </c:pt>
                      <c:pt idx="9" formatCode="0.00">
                        <c:v>321.02370999999999</c:v>
                      </c:pt>
                      <c:pt idx="10" formatCode="0.00">
                        <c:v>365.78253000000001</c:v>
                      </c:pt>
                      <c:pt idx="11" formatCode="0.00">
                        <c:v>392.86943000000002</c:v>
                      </c:pt>
                      <c:pt idx="12" formatCode="0.00">
                        <c:v>470.39657999999997</c:v>
                      </c:pt>
                      <c:pt idx="13" formatCode="0.00">
                        <c:v>229</c:v>
                      </c:pt>
                      <c:pt idx="14" formatCode="0.00">
                        <c:v>258</c:v>
                      </c:pt>
                    </c:numCache>
                  </c:numRef>
                </c:val>
                <c:smooth val="0"/>
                <c:extLst>
                  <c:ext xmlns:c16="http://schemas.microsoft.com/office/drawing/2014/chart" uri="{C3380CC4-5D6E-409C-BE32-E72D297353CC}">
                    <c16:uniqueId val="{00000001-29F2-4CD8-9652-5518637A347C}"/>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Hoja2!$F$2</c15:sqref>
                        </c15:formulaRef>
                      </c:ext>
                    </c:extLst>
                    <c:strCache>
                      <c:ptCount val="1"/>
                      <c:pt idx="0">
                        <c:v>Gtr Sol y Cielo Afinia</c:v>
                      </c:pt>
                    </c:strCache>
                  </c:strRef>
                </c:tx>
                <c:spPr>
                  <a:ln w="28575" cap="rnd">
                    <a:solidFill>
                      <a:schemeClr val="accent3"/>
                    </a:solidFill>
                    <a:round/>
                  </a:ln>
                  <a:effectLst/>
                </c:spPr>
                <c:marker>
                  <c:symbol val="none"/>
                </c:marker>
                <c:val>
                  <c:numRef>
                    <c:extLst xmlns:c15="http://schemas.microsoft.com/office/drawing/2012/chart">
                      <c:ext xmlns:c15="http://schemas.microsoft.com/office/drawing/2012/chart" uri="{02D57815-91ED-43cb-92C2-25804820EDAC}">
                        <c15:formulaRef>
                          <c15:sqref>Hoja2!$F$3:$F$19</c15:sqref>
                        </c15:formulaRef>
                      </c:ext>
                    </c:extLst>
                    <c:numCache>
                      <c:formatCode>0.00</c:formatCode>
                      <c:ptCount val="17"/>
                      <c:pt idx="0">
                        <c:v>100</c:v>
                      </c:pt>
                      <c:pt idx="1">
                        <c:v>154.16254000000001</c:v>
                      </c:pt>
                      <c:pt idx="2">
                        <c:v>150.20974000000001</c:v>
                      </c:pt>
                      <c:pt idx="3">
                        <c:v>199.20144999999999</c:v>
                      </c:pt>
                      <c:pt idx="4">
                        <c:v>189.71247</c:v>
                      </c:pt>
                      <c:pt idx="5">
                        <c:v>197.68917999999999</c:v>
                      </c:pt>
                      <c:pt idx="6">
                        <c:v>279.23739999999998</c:v>
                      </c:pt>
                      <c:pt idx="7">
                        <c:v>271.55239999999998</c:v>
                      </c:pt>
                      <c:pt idx="8">
                        <c:v>271.55239999999998</c:v>
                      </c:pt>
                      <c:pt idx="9">
                        <c:v>233.39121</c:v>
                      </c:pt>
                      <c:pt idx="10">
                        <c:v>321.02370999999999</c:v>
                      </c:pt>
                      <c:pt idx="11">
                        <c:v>365.78253000000001</c:v>
                      </c:pt>
                      <c:pt idx="12">
                        <c:v>392.86943000000002</c:v>
                      </c:pt>
                      <c:pt idx="13">
                        <c:v>470</c:v>
                      </c:pt>
                      <c:pt idx="14">
                        <c:v>229</c:v>
                      </c:pt>
                    </c:numCache>
                  </c:numRef>
                </c:val>
                <c:smooth val="0"/>
                <c:extLst xmlns:c15="http://schemas.microsoft.com/office/drawing/2012/chart">
                  <c:ext xmlns:c16="http://schemas.microsoft.com/office/drawing/2014/chart" uri="{C3380CC4-5D6E-409C-BE32-E72D297353CC}">
                    <c16:uniqueId val="{00000002-29F2-4CD8-9652-5518637A347C}"/>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Hoja2!$G$2</c15:sqref>
                        </c15:formulaRef>
                      </c:ext>
                    </c:extLst>
                    <c:strCache>
                      <c:ptCount val="1"/>
                      <c:pt idx="0">
                        <c:v>Gtr Terpel Energía</c:v>
                      </c:pt>
                    </c:strCache>
                  </c:strRef>
                </c:tx>
                <c:spPr>
                  <a:ln w="28575" cap="rnd">
                    <a:solidFill>
                      <a:schemeClr val="accent4"/>
                    </a:solidFill>
                    <a:round/>
                  </a:ln>
                  <a:effectLst/>
                </c:spPr>
                <c:marker>
                  <c:symbol val="none"/>
                </c:marker>
                <c:val>
                  <c:numRef>
                    <c:extLst xmlns:c15="http://schemas.microsoft.com/office/drawing/2012/chart">
                      <c:ext xmlns:c15="http://schemas.microsoft.com/office/drawing/2012/chart" uri="{02D57815-91ED-43cb-92C2-25804820EDAC}">
                        <c15:formulaRef>
                          <c15:sqref>Hoja2!$G$3:$G$19</c15:sqref>
                        </c15:formulaRef>
                      </c:ext>
                    </c:extLst>
                    <c:numCache>
                      <c:formatCode>0.00</c:formatCode>
                      <c:ptCount val="17"/>
                      <c:pt idx="0">
                        <c:v>0</c:v>
                      </c:pt>
                      <c:pt idx="1">
                        <c:v>0</c:v>
                      </c:pt>
                      <c:pt idx="2">
                        <c:v>0</c:v>
                      </c:pt>
                      <c:pt idx="3">
                        <c:v>2461.69</c:v>
                      </c:pt>
                      <c:pt idx="4">
                        <c:v>0</c:v>
                      </c:pt>
                      <c:pt idx="5">
                        <c:v>0</c:v>
                      </c:pt>
                      <c:pt idx="6">
                        <c:v>0</c:v>
                      </c:pt>
                      <c:pt idx="7">
                        <c:v>2496.14</c:v>
                      </c:pt>
                      <c:pt idx="8">
                        <c:v>2265.2600000000007</c:v>
                      </c:pt>
                    </c:numCache>
                  </c:numRef>
                </c:val>
                <c:smooth val="0"/>
                <c:extLst xmlns:c15="http://schemas.microsoft.com/office/drawing/2012/chart">
                  <c:ext xmlns:c16="http://schemas.microsoft.com/office/drawing/2014/chart" uri="{C3380CC4-5D6E-409C-BE32-E72D297353CC}">
                    <c16:uniqueId val="{00000003-29F2-4CD8-9652-5518637A347C}"/>
                  </c:ext>
                </c:extLst>
              </c15:ser>
            </c15:filteredLineSeries>
          </c:ext>
        </c:extLst>
      </c:lineChart>
      <c:catAx>
        <c:axId val="817554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crossAx val="524090544"/>
        <c:crosses val="autoZero"/>
        <c:auto val="1"/>
        <c:lblAlgn val="ctr"/>
        <c:lblOffset val="100"/>
        <c:noMultiLvlLbl val="0"/>
      </c:catAx>
      <c:valAx>
        <c:axId val="524090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s-CO" sz="1050" b="1"/>
                  <a:t>$/kWh</a:t>
                </a:r>
              </a:p>
            </c:rich>
          </c:tx>
          <c:overlay val="0"/>
          <c:spPr>
            <a:noFill/>
            <a:ln>
              <a:noFill/>
            </a:ln>
            <a:effectLst/>
          </c:spPr>
          <c:txPr>
            <a:bodyPr rot="-54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crossAx val="8175547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1"/>
          <c:tx>
            <c:strRef>
              <c:f>Hoja2!$E$2</c:f>
              <c:strCache>
                <c:ptCount val="1"/>
                <c:pt idx="0">
                  <c:v>Gtr Sol y Cielo Aire</c:v>
                </c:pt>
              </c:strCache>
              <c:extLst xmlns:c15="http://schemas.microsoft.com/office/drawing/2012/chart"/>
            </c:strRef>
          </c:tx>
          <c:spPr>
            <a:ln w="28575" cap="rnd">
              <a:solidFill>
                <a:schemeClr val="accent2"/>
              </a:solidFill>
              <a:round/>
            </a:ln>
            <a:effectLst/>
          </c:spPr>
          <c:marker>
            <c:symbol val="none"/>
          </c:marker>
          <c:cat>
            <c:strRef>
              <c:f>Hoja2!$C$3:$C$19</c:f>
              <c:strCache>
                <c:ptCount val="17"/>
                <c:pt idx="0">
                  <c:v>2024-1</c:v>
                </c:pt>
                <c:pt idx="1">
                  <c:v>2024-2</c:v>
                </c:pt>
                <c:pt idx="2">
                  <c:v>2024-3</c:v>
                </c:pt>
                <c:pt idx="3">
                  <c:v>2024-4</c:v>
                </c:pt>
                <c:pt idx="4">
                  <c:v>2024-5</c:v>
                </c:pt>
                <c:pt idx="5">
                  <c:v>2024-6</c:v>
                </c:pt>
                <c:pt idx="6">
                  <c:v>2024-7</c:v>
                </c:pt>
                <c:pt idx="7">
                  <c:v>2024-8</c:v>
                </c:pt>
                <c:pt idx="8">
                  <c:v>2024-9</c:v>
                </c:pt>
                <c:pt idx="9">
                  <c:v>2024-10</c:v>
                </c:pt>
                <c:pt idx="10">
                  <c:v>2024-11</c:v>
                </c:pt>
                <c:pt idx="11">
                  <c:v>2024-12</c:v>
                </c:pt>
                <c:pt idx="12">
                  <c:v>2025-1</c:v>
                </c:pt>
                <c:pt idx="13">
                  <c:v>2025-2</c:v>
                </c:pt>
                <c:pt idx="14">
                  <c:v>2025-3</c:v>
                </c:pt>
                <c:pt idx="15">
                  <c:v>2025-4</c:v>
                </c:pt>
                <c:pt idx="16">
                  <c:v>2025-5</c:v>
                </c:pt>
              </c:strCache>
            </c:strRef>
          </c:cat>
          <c:val>
            <c:numRef>
              <c:f>Hoja2!$E$3:$E$19</c:f>
              <c:numCache>
                <c:formatCode>General</c:formatCode>
                <c:ptCount val="17"/>
                <c:pt idx="7" formatCode="0.00">
                  <c:v>108.93219999999999</c:v>
                </c:pt>
                <c:pt idx="8" formatCode="0.00">
                  <c:v>108.93219999999999</c:v>
                </c:pt>
                <c:pt idx="9" formatCode="0.00">
                  <c:v>321.02370999999999</c:v>
                </c:pt>
                <c:pt idx="10" formatCode="0.00">
                  <c:v>365.78253000000001</c:v>
                </c:pt>
                <c:pt idx="11" formatCode="0.00">
                  <c:v>392.86943000000002</c:v>
                </c:pt>
                <c:pt idx="12" formatCode="0.00">
                  <c:v>470.39657999999997</c:v>
                </c:pt>
                <c:pt idx="13" formatCode="0.00">
                  <c:v>229</c:v>
                </c:pt>
                <c:pt idx="14" formatCode="0.00">
                  <c:v>258</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0-8BBC-4FD3-9C62-385CAE9C685D}"/>
            </c:ext>
          </c:extLst>
        </c:ser>
        <c:ser>
          <c:idx val="2"/>
          <c:order val="2"/>
          <c:tx>
            <c:strRef>
              <c:f>Hoja2!$F$2</c:f>
              <c:strCache>
                <c:ptCount val="1"/>
                <c:pt idx="0">
                  <c:v>Gtr Sol y Cielo Afinia</c:v>
                </c:pt>
              </c:strCache>
              <c:extLst xmlns:c15="http://schemas.microsoft.com/office/drawing/2012/chart"/>
            </c:strRef>
          </c:tx>
          <c:spPr>
            <a:ln w="28575" cap="rnd">
              <a:solidFill>
                <a:schemeClr val="accent3"/>
              </a:solidFill>
              <a:round/>
            </a:ln>
            <a:effectLst/>
          </c:spPr>
          <c:marker>
            <c:symbol val="none"/>
          </c:marker>
          <c:cat>
            <c:strRef>
              <c:f>Hoja2!$C$3:$C$19</c:f>
              <c:strCache>
                <c:ptCount val="17"/>
                <c:pt idx="0">
                  <c:v>2024-1</c:v>
                </c:pt>
                <c:pt idx="1">
                  <c:v>2024-2</c:v>
                </c:pt>
                <c:pt idx="2">
                  <c:v>2024-3</c:v>
                </c:pt>
                <c:pt idx="3">
                  <c:v>2024-4</c:v>
                </c:pt>
                <c:pt idx="4">
                  <c:v>2024-5</c:v>
                </c:pt>
                <c:pt idx="5">
                  <c:v>2024-6</c:v>
                </c:pt>
                <c:pt idx="6">
                  <c:v>2024-7</c:v>
                </c:pt>
                <c:pt idx="7">
                  <c:v>2024-8</c:v>
                </c:pt>
                <c:pt idx="8">
                  <c:v>2024-9</c:v>
                </c:pt>
                <c:pt idx="9">
                  <c:v>2024-10</c:v>
                </c:pt>
                <c:pt idx="10">
                  <c:v>2024-11</c:v>
                </c:pt>
                <c:pt idx="11">
                  <c:v>2024-12</c:v>
                </c:pt>
                <c:pt idx="12">
                  <c:v>2025-1</c:v>
                </c:pt>
                <c:pt idx="13">
                  <c:v>2025-2</c:v>
                </c:pt>
                <c:pt idx="14">
                  <c:v>2025-3</c:v>
                </c:pt>
                <c:pt idx="15">
                  <c:v>2025-4</c:v>
                </c:pt>
                <c:pt idx="16">
                  <c:v>2025-5</c:v>
                </c:pt>
              </c:strCache>
            </c:strRef>
          </c:cat>
          <c:val>
            <c:numRef>
              <c:f>Hoja2!$F$3:$F$19</c:f>
              <c:numCache>
                <c:formatCode>0.00</c:formatCode>
                <c:ptCount val="17"/>
                <c:pt idx="0">
                  <c:v>100</c:v>
                </c:pt>
                <c:pt idx="1">
                  <c:v>154.16254000000001</c:v>
                </c:pt>
                <c:pt idx="2">
                  <c:v>150.20974000000001</c:v>
                </c:pt>
                <c:pt idx="3">
                  <c:v>199.20144999999999</c:v>
                </c:pt>
                <c:pt idx="4">
                  <c:v>189.71247</c:v>
                </c:pt>
                <c:pt idx="5">
                  <c:v>197.68917999999999</c:v>
                </c:pt>
                <c:pt idx="6">
                  <c:v>279.23739999999998</c:v>
                </c:pt>
                <c:pt idx="7">
                  <c:v>271.55239999999998</c:v>
                </c:pt>
                <c:pt idx="8">
                  <c:v>271.55239999999998</c:v>
                </c:pt>
                <c:pt idx="9">
                  <c:v>233.39121</c:v>
                </c:pt>
                <c:pt idx="10">
                  <c:v>321.02370999999999</c:v>
                </c:pt>
                <c:pt idx="11">
                  <c:v>365.78253000000001</c:v>
                </c:pt>
                <c:pt idx="12">
                  <c:v>392.86943000000002</c:v>
                </c:pt>
                <c:pt idx="13">
                  <c:v>470</c:v>
                </c:pt>
                <c:pt idx="14">
                  <c:v>229</c:v>
                </c:pt>
              </c:numCache>
              <c:extLst xmlns:c15="http://schemas.microsoft.com/office/drawing/2012/chart"/>
            </c:numRef>
          </c:val>
          <c:smooth val="0"/>
          <c:extLst xmlns:c15="http://schemas.microsoft.com/office/drawing/2012/chart">
            <c:ext xmlns:c16="http://schemas.microsoft.com/office/drawing/2014/chart" uri="{C3380CC4-5D6E-409C-BE32-E72D297353CC}">
              <c16:uniqueId val="{00000001-8BBC-4FD3-9C62-385CAE9C685D}"/>
            </c:ext>
          </c:extLst>
        </c:ser>
        <c:dLbls>
          <c:showLegendKey val="0"/>
          <c:showVal val="0"/>
          <c:showCatName val="0"/>
          <c:showSerName val="0"/>
          <c:showPercent val="0"/>
          <c:showBubbleSize val="0"/>
        </c:dLbls>
        <c:smooth val="0"/>
        <c:axId val="817554784"/>
        <c:axId val="524090544"/>
        <c:extLst>
          <c:ext xmlns:c15="http://schemas.microsoft.com/office/drawing/2012/chart" uri="{02D57815-91ED-43cb-92C2-25804820EDAC}">
            <c15:filteredLineSeries>
              <c15:ser>
                <c:idx val="0"/>
                <c:order val="0"/>
                <c:tx>
                  <c:strRef>
                    <c:extLst>
                      <c:ext uri="{02D57815-91ED-43cb-92C2-25804820EDAC}">
                        <c15:formulaRef>
                          <c15:sqref>Hoja2!$D$2</c15:sqref>
                        </c15:formulaRef>
                      </c:ext>
                    </c:extLst>
                    <c:strCache>
                      <c:ptCount val="1"/>
                      <c:pt idx="0">
                        <c:v>Gtr NEU ENERGY</c:v>
                      </c:pt>
                    </c:strCache>
                  </c:strRef>
                </c:tx>
                <c:spPr>
                  <a:ln w="28575" cap="rnd">
                    <a:solidFill>
                      <a:schemeClr val="accent1"/>
                    </a:solidFill>
                    <a:round/>
                  </a:ln>
                  <a:effectLst/>
                </c:spPr>
                <c:marker>
                  <c:symbol val="none"/>
                </c:marker>
                <c:cat>
                  <c:strRef>
                    <c:extLst>
                      <c:ext uri="{02D57815-91ED-43cb-92C2-25804820EDAC}">
                        <c15:formulaRef>
                          <c15:sqref>Hoja2!$C$3:$C$19</c15:sqref>
                        </c15:formulaRef>
                      </c:ext>
                    </c:extLst>
                    <c:strCache>
                      <c:ptCount val="17"/>
                      <c:pt idx="0">
                        <c:v>2024-1</c:v>
                      </c:pt>
                      <c:pt idx="1">
                        <c:v>2024-2</c:v>
                      </c:pt>
                      <c:pt idx="2">
                        <c:v>2024-3</c:v>
                      </c:pt>
                      <c:pt idx="3">
                        <c:v>2024-4</c:v>
                      </c:pt>
                      <c:pt idx="4">
                        <c:v>2024-5</c:v>
                      </c:pt>
                      <c:pt idx="5">
                        <c:v>2024-6</c:v>
                      </c:pt>
                      <c:pt idx="6">
                        <c:v>2024-7</c:v>
                      </c:pt>
                      <c:pt idx="7">
                        <c:v>2024-8</c:v>
                      </c:pt>
                      <c:pt idx="8">
                        <c:v>2024-9</c:v>
                      </c:pt>
                      <c:pt idx="9">
                        <c:v>2024-10</c:v>
                      </c:pt>
                      <c:pt idx="10">
                        <c:v>2024-11</c:v>
                      </c:pt>
                      <c:pt idx="11">
                        <c:v>2024-12</c:v>
                      </c:pt>
                      <c:pt idx="12">
                        <c:v>2025-1</c:v>
                      </c:pt>
                      <c:pt idx="13">
                        <c:v>2025-2</c:v>
                      </c:pt>
                      <c:pt idx="14">
                        <c:v>2025-3</c:v>
                      </c:pt>
                      <c:pt idx="15">
                        <c:v>2025-4</c:v>
                      </c:pt>
                      <c:pt idx="16">
                        <c:v>2025-5</c:v>
                      </c:pt>
                    </c:strCache>
                  </c:strRef>
                </c:cat>
                <c:val>
                  <c:numRef>
                    <c:extLst>
                      <c:ext uri="{02D57815-91ED-43cb-92C2-25804820EDAC}">
                        <c15:formulaRef>
                          <c15:sqref>Hoja2!$D$3:$D$19</c15:sqref>
                        </c15:formulaRef>
                      </c:ext>
                    </c:extLst>
                    <c:numCache>
                      <c:formatCode>0.00</c:formatCode>
                      <c:ptCount val="17"/>
                      <c:pt idx="0">
                        <c:v>5.5857100000000024</c:v>
                      </c:pt>
                      <c:pt idx="1">
                        <c:v>5.6261599999999996</c:v>
                      </c:pt>
                      <c:pt idx="2">
                        <c:v>3.8600000000000003</c:v>
                      </c:pt>
                      <c:pt idx="3">
                        <c:v>4.5100000000000007</c:v>
                      </c:pt>
                      <c:pt idx="4">
                        <c:v>3.9000000000000004</c:v>
                      </c:pt>
                      <c:pt idx="5">
                        <c:v>4.2485099999999978</c:v>
                      </c:pt>
                      <c:pt idx="6">
                        <c:v>3.5257000000000001</c:v>
                      </c:pt>
                      <c:pt idx="7">
                        <c:v>3.2606200000000016</c:v>
                      </c:pt>
                      <c:pt idx="8">
                        <c:v>3.7691499999999976</c:v>
                      </c:pt>
                      <c:pt idx="9">
                        <c:v>3.7840699999999998</c:v>
                      </c:pt>
                      <c:pt idx="10">
                        <c:v>4.1929700000000016</c:v>
                      </c:pt>
                      <c:pt idx="11">
                        <c:v>3.753559999999998</c:v>
                      </c:pt>
                      <c:pt idx="12">
                        <c:v>4.3749799999999981</c:v>
                      </c:pt>
                      <c:pt idx="13">
                        <c:v>5.1378899999999996</c:v>
                      </c:pt>
                      <c:pt idx="14">
                        <c:v>5.1650900000000028</c:v>
                      </c:pt>
                      <c:pt idx="15">
                        <c:v>6.6749300000000007</c:v>
                      </c:pt>
                      <c:pt idx="16">
                        <c:v>15.510820000000002</c:v>
                      </c:pt>
                    </c:numCache>
                  </c:numRef>
                </c:val>
                <c:smooth val="0"/>
                <c:extLst>
                  <c:ext xmlns:c16="http://schemas.microsoft.com/office/drawing/2014/chart" uri="{C3380CC4-5D6E-409C-BE32-E72D297353CC}">
                    <c16:uniqueId val="{00000002-8BBC-4FD3-9C62-385CAE9C685D}"/>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Hoja2!$G$2</c15:sqref>
                        </c15:formulaRef>
                      </c:ext>
                    </c:extLst>
                    <c:strCache>
                      <c:ptCount val="1"/>
                      <c:pt idx="0">
                        <c:v>Gtr Terpel Energía</c:v>
                      </c:pt>
                    </c:strCache>
                  </c:strRef>
                </c:tx>
                <c:spPr>
                  <a:ln w="28575" cap="rnd">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Hoja2!$C$3:$C$19</c15:sqref>
                        </c15:formulaRef>
                      </c:ext>
                    </c:extLst>
                    <c:strCache>
                      <c:ptCount val="17"/>
                      <c:pt idx="0">
                        <c:v>2024-1</c:v>
                      </c:pt>
                      <c:pt idx="1">
                        <c:v>2024-2</c:v>
                      </c:pt>
                      <c:pt idx="2">
                        <c:v>2024-3</c:v>
                      </c:pt>
                      <c:pt idx="3">
                        <c:v>2024-4</c:v>
                      </c:pt>
                      <c:pt idx="4">
                        <c:v>2024-5</c:v>
                      </c:pt>
                      <c:pt idx="5">
                        <c:v>2024-6</c:v>
                      </c:pt>
                      <c:pt idx="6">
                        <c:v>2024-7</c:v>
                      </c:pt>
                      <c:pt idx="7">
                        <c:v>2024-8</c:v>
                      </c:pt>
                      <c:pt idx="8">
                        <c:v>2024-9</c:v>
                      </c:pt>
                      <c:pt idx="9">
                        <c:v>2024-10</c:v>
                      </c:pt>
                      <c:pt idx="10">
                        <c:v>2024-11</c:v>
                      </c:pt>
                      <c:pt idx="11">
                        <c:v>2024-12</c:v>
                      </c:pt>
                      <c:pt idx="12">
                        <c:v>2025-1</c:v>
                      </c:pt>
                      <c:pt idx="13">
                        <c:v>2025-2</c:v>
                      </c:pt>
                      <c:pt idx="14">
                        <c:v>2025-3</c:v>
                      </c:pt>
                      <c:pt idx="15">
                        <c:v>2025-4</c:v>
                      </c:pt>
                      <c:pt idx="16">
                        <c:v>2025-5</c:v>
                      </c:pt>
                    </c:strCache>
                  </c:strRef>
                </c:cat>
                <c:val>
                  <c:numRef>
                    <c:extLst xmlns:c15="http://schemas.microsoft.com/office/drawing/2012/chart">
                      <c:ext xmlns:c15="http://schemas.microsoft.com/office/drawing/2012/chart" uri="{02D57815-91ED-43cb-92C2-25804820EDAC}">
                        <c15:formulaRef>
                          <c15:sqref>Hoja2!$G$3:$G$19</c15:sqref>
                        </c15:formulaRef>
                      </c:ext>
                    </c:extLst>
                    <c:numCache>
                      <c:formatCode>0.00</c:formatCode>
                      <c:ptCount val="17"/>
                      <c:pt idx="0">
                        <c:v>0</c:v>
                      </c:pt>
                      <c:pt idx="1">
                        <c:v>0</c:v>
                      </c:pt>
                      <c:pt idx="2">
                        <c:v>0</c:v>
                      </c:pt>
                      <c:pt idx="3">
                        <c:v>2461.69</c:v>
                      </c:pt>
                      <c:pt idx="4">
                        <c:v>0</c:v>
                      </c:pt>
                      <c:pt idx="5">
                        <c:v>0</c:v>
                      </c:pt>
                      <c:pt idx="6">
                        <c:v>0</c:v>
                      </c:pt>
                      <c:pt idx="7">
                        <c:v>2496.14</c:v>
                      </c:pt>
                      <c:pt idx="8">
                        <c:v>2265.2600000000007</c:v>
                      </c:pt>
                    </c:numCache>
                  </c:numRef>
                </c:val>
                <c:smooth val="0"/>
                <c:extLst xmlns:c15="http://schemas.microsoft.com/office/drawing/2012/chart">
                  <c:ext xmlns:c16="http://schemas.microsoft.com/office/drawing/2014/chart" uri="{C3380CC4-5D6E-409C-BE32-E72D297353CC}">
                    <c16:uniqueId val="{00000003-8BBC-4FD3-9C62-385CAE9C685D}"/>
                  </c:ext>
                </c:extLst>
              </c15:ser>
            </c15:filteredLineSeries>
          </c:ext>
        </c:extLst>
      </c:lineChart>
      <c:catAx>
        <c:axId val="817554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crossAx val="524090544"/>
        <c:crosses val="autoZero"/>
        <c:auto val="1"/>
        <c:lblAlgn val="ctr"/>
        <c:lblOffset val="100"/>
        <c:noMultiLvlLbl val="0"/>
      </c:catAx>
      <c:valAx>
        <c:axId val="524090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s-CO" sz="1050" b="1"/>
                  <a:t>$/kWh</a:t>
                </a:r>
              </a:p>
            </c:rich>
          </c:tx>
          <c:overlay val="0"/>
          <c:spPr>
            <a:noFill/>
            <a:ln>
              <a:noFill/>
            </a:ln>
            <a:effectLst/>
          </c:spPr>
          <c:txPr>
            <a:bodyPr rot="-54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crossAx val="817554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3"/>
          <c:order val="3"/>
          <c:tx>
            <c:strRef>
              <c:f>Hoja2!$G$2</c:f>
              <c:strCache>
                <c:ptCount val="1"/>
                <c:pt idx="0">
                  <c:v>Gtr Terpel Energía</c:v>
                </c:pt>
              </c:strCache>
            </c:strRef>
          </c:tx>
          <c:spPr>
            <a:ln w="28575" cap="rnd">
              <a:solidFill>
                <a:schemeClr val="accent4"/>
              </a:solidFill>
              <a:round/>
            </a:ln>
            <a:effectLst/>
          </c:spPr>
          <c:marker>
            <c:symbol val="none"/>
          </c:marker>
          <c:cat>
            <c:strRef>
              <c:f>Hoja2!$C$3:$C$19</c:f>
              <c:strCache>
                <c:ptCount val="17"/>
                <c:pt idx="0">
                  <c:v>2024-1</c:v>
                </c:pt>
                <c:pt idx="1">
                  <c:v>2024-2</c:v>
                </c:pt>
                <c:pt idx="2">
                  <c:v>2024-3</c:v>
                </c:pt>
                <c:pt idx="3">
                  <c:v>2024-4</c:v>
                </c:pt>
                <c:pt idx="4">
                  <c:v>2024-5</c:v>
                </c:pt>
                <c:pt idx="5">
                  <c:v>2024-6</c:v>
                </c:pt>
                <c:pt idx="6">
                  <c:v>2024-7</c:v>
                </c:pt>
                <c:pt idx="7">
                  <c:v>2024-8</c:v>
                </c:pt>
                <c:pt idx="8">
                  <c:v>2024-9</c:v>
                </c:pt>
                <c:pt idx="9">
                  <c:v>2024-10</c:v>
                </c:pt>
                <c:pt idx="10">
                  <c:v>2024-11</c:v>
                </c:pt>
                <c:pt idx="11">
                  <c:v>2024-12</c:v>
                </c:pt>
                <c:pt idx="12">
                  <c:v>2025-1</c:v>
                </c:pt>
                <c:pt idx="13">
                  <c:v>2025-2</c:v>
                </c:pt>
                <c:pt idx="14">
                  <c:v>2025-3</c:v>
                </c:pt>
                <c:pt idx="15">
                  <c:v>2025-4</c:v>
                </c:pt>
                <c:pt idx="16">
                  <c:v>2025-5</c:v>
                </c:pt>
              </c:strCache>
            </c:strRef>
          </c:cat>
          <c:val>
            <c:numRef>
              <c:f>Hoja2!$G$3:$G$19</c:f>
              <c:numCache>
                <c:formatCode>0.00</c:formatCode>
                <c:ptCount val="17"/>
                <c:pt idx="0">
                  <c:v>0</c:v>
                </c:pt>
                <c:pt idx="1">
                  <c:v>0</c:v>
                </c:pt>
                <c:pt idx="2">
                  <c:v>0</c:v>
                </c:pt>
                <c:pt idx="3">
                  <c:v>2461.69</c:v>
                </c:pt>
                <c:pt idx="4">
                  <c:v>0</c:v>
                </c:pt>
                <c:pt idx="5">
                  <c:v>0</c:v>
                </c:pt>
                <c:pt idx="6">
                  <c:v>0</c:v>
                </c:pt>
                <c:pt idx="7">
                  <c:v>2496.14</c:v>
                </c:pt>
                <c:pt idx="8">
                  <c:v>2265.2600000000007</c:v>
                </c:pt>
              </c:numCache>
            </c:numRef>
          </c:val>
          <c:smooth val="0"/>
          <c:extLst>
            <c:ext xmlns:c16="http://schemas.microsoft.com/office/drawing/2014/chart" uri="{C3380CC4-5D6E-409C-BE32-E72D297353CC}">
              <c16:uniqueId val="{00000000-3A70-4161-B17D-12DBA36D3681}"/>
            </c:ext>
          </c:extLst>
        </c:ser>
        <c:dLbls>
          <c:showLegendKey val="0"/>
          <c:showVal val="0"/>
          <c:showCatName val="0"/>
          <c:showSerName val="0"/>
          <c:showPercent val="0"/>
          <c:showBubbleSize val="0"/>
        </c:dLbls>
        <c:smooth val="0"/>
        <c:axId val="817554784"/>
        <c:axId val="524090544"/>
        <c:extLst>
          <c:ext xmlns:c15="http://schemas.microsoft.com/office/drawing/2012/chart" uri="{02D57815-91ED-43cb-92C2-25804820EDAC}">
            <c15:filteredLineSeries>
              <c15:ser>
                <c:idx val="0"/>
                <c:order val="0"/>
                <c:tx>
                  <c:strRef>
                    <c:extLst>
                      <c:ext uri="{02D57815-91ED-43cb-92C2-25804820EDAC}">
                        <c15:formulaRef>
                          <c15:sqref>Hoja2!$D$2</c15:sqref>
                        </c15:formulaRef>
                      </c:ext>
                    </c:extLst>
                    <c:strCache>
                      <c:ptCount val="1"/>
                      <c:pt idx="0">
                        <c:v>Gtr NEU ENERGY</c:v>
                      </c:pt>
                    </c:strCache>
                  </c:strRef>
                </c:tx>
                <c:spPr>
                  <a:ln w="28575" cap="rnd">
                    <a:solidFill>
                      <a:schemeClr val="accent1"/>
                    </a:solidFill>
                    <a:round/>
                  </a:ln>
                  <a:effectLst/>
                </c:spPr>
                <c:marker>
                  <c:symbol val="none"/>
                </c:marker>
                <c:cat>
                  <c:strRef>
                    <c:extLst>
                      <c:ext uri="{02D57815-91ED-43cb-92C2-25804820EDAC}">
                        <c15:formulaRef>
                          <c15:sqref>Hoja2!$C$3:$C$19</c15:sqref>
                        </c15:formulaRef>
                      </c:ext>
                    </c:extLst>
                    <c:strCache>
                      <c:ptCount val="17"/>
                      <c:pt idx="0">
                        <c:v>2024-1</c:v>
                      </c:pt>
                      <c:pt idx="1">
                        <c:v>2024-2</c:v>
                      </c:pt>
                      <c:pt idx="2">
                        <c:v>2024-3</c:v>
                      </c:pt>
                      <c:pt idx="3">
                        <c:v>2024-4</c:v>
                      </c:pt>
                      <c:pt idx="4">
                        <c:v>2024-5</c:v>
                      </c:pt>
                      <c:pt idx="5">
                        <c:v>2024-6</c:v>
                      </c:pt>
                      <c:pt idx="6">
                        <c:v>2024-7</c:v>
                      </c:pt>
                      <c:pt idx="7">
                        <c:v>2024-8</c:v>
                      </c:pt>
                      <c:pt idx="8">
                        <c:v>2024-9</c:v>
                      </c:pt>
                      <c:pt idx="9">
                        <c:v>2024-10</c:v>
                      </c:pt>
                      <c:pt idx="10">
                        <c:v>2024-11</c:v>
                      </c:pt>
                      <c:pt idx="11">
                        <c:v>2024-12</c:v>
                      </c:pt>
                      <c:pt idx="12">
                        <c:v>2025-1</c:v>
                      </c:pt>
                      <c:pt idx="13">
                        <c:v>2025-2</c:v>
                      </c:pt>
                      <c:pt idx="14">
                        <c:v>2025-3</c:v>
                      </c:pt>
                      <c:pt idx="15">
                        <c:v>2025-4</c:v>
                      </c:pt>
                      <c:pt idx="16">
                        <c:v>2025-5</c:v>
                      </c:pt>
                    </c:strCache>
                  </c:strRef>
                </c:cat>
                <c:val>
                  <c:numRef>
                    <c:extLst>
                      <c:ext uri="{02D57815-91ED-43cb-92C2-25804820EDAC}">
                        <c15:formulaRef>
                          <c15:sqref>Hoja2!$D$3:$D$19</c15:sqref>
                        </c15:formulaRef>
                      </c:ext>
                    </c:extLst>
                    <c:numCache>
                      <c:formatCode>0.00</c:formatCode>
                      <c:ptCount val="17"/>
                      <c:pt idx="0">
                        <c:v>5.5857100000000024</c:v>
                      </c:pt>
                      <c:pt idx="1">
                        <c:v>5.6261599999999996</c:v>
                      </c:pt>
                      <c:pt idx="2">
                        <c:v>3.8600000000000003</c:v>
                      </c:pt>
                      <c:pt idx="3">
                        <c:v>4.5100000000000007</c:v>
                      </c:pt>
                      <c:pt idx="4">
                        <c:v>3.9000000000000004</c:v>
                      </c:pt>
                      <c:pt idx="5">
                        <c:v>4.2485099999999978</c:v>
                      </c:pt>
                      <c:pt idx="6">
                        <c:v>3.5257000000000001</c:v>
                      </c:pt>
                      <c:pt idx="7">
                        <c:v>3.2606200000000016</c:v>
                      </c:pt>
                      <c:pt idx="8">
                        <c:v>3.7691499999999976</c:v>
                      </c:pt>
                      <c:pt idx="9">
                        <c:v>3.7840699999999998</c:v>
                      </c:pt>
                      <c:pt idx="10">
                        <c:v>4.1929700000000016</c:v>
                      </c:pt>
                      <c:pt idx="11">
                        <c:v>3.753559999999998</c:v>
                      </c:pt>
                      <c:pt idx="12">
                        <c:v>4.3749799999999981</c:v>
                      </c:pt>
                      <c:pt idx="13">
                        <c:v>5.1378899999999996</c:v>
                      </c:pt>
                      <c:pt idx="14">
                        <c:v>5.1650900000000028</c:v>
                      </c:pt>
                      <c:pt idx="15">
                        <c:v>6.6749300000000007</c:v>
                      </c:pt>
                      <c:pt idx="16">
                        <c:v>15.510820000000002</c:v>
                      </c:pt>
                    </c:numCache>
                  </c:numRef>
                </c:val>
                <c:smooth val="0"/>
                <c:extLst>
                  <c:ext xmlns:c16="http://schemas.microsoft.com/office/drawing/2014/chart" uri="{C3380CC4-5D6E-409C-BE32-E72D297353CC}">
                    <c16:uniqueId val="{00000001-3A70-4161-B17D-12DBA36D3681}"/>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Hoja2!$E$2</c15:sqref>
                        </c15:formulaRef>
                      </c:ext>
                    </c:extLst>
                    <c:strCache>
                      <c:ptCount val="1"/>
                      <c:pt idx="0">
                        <c:v>Gtr Sol y Cielo Aire</c:v>
                      </c:pt>
                    </c:strCache>
                  </c:strRef>
                </c:tx>
                <c:spPr>
                  <a:ln w="28575" cap="rnd">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Hoja2!$C$3:$C$19</c15:sqref>
                        </c15:formulaRef>
                      </c:ext>
                    </c:extLst>
                    <c:strCache>
                      <c:ptCount val="17"/>
                      <c:pt idx="0">
                        <c:v>2024-1</c:v>
                      </c:pt>
                      <c:pt idx="1">
                        <c:v>2024-2</c:v>
                      </c:pt>
                      <c:pt idx="2">
                        <c:v>2024-3</c:v>
                      </c:pt>
                      <c:pt idx="3">
                        <c:v>2024-4</c:v>
                      </c:pt>
                      <c:pt idx="4">
                        <c:v>2024-5</c:v>
                      </c:pt>
                      <c:pt idx="5">
                        <c:v>2024-6</c:v>
                      </c:pt>
                      <c:pt idx="6">
                        <c:v>2024-7</c:v>
                      </c:pt>
                      <c:pt idx="7">
                        <c:v>2024-8</c:v>
                      </c:pt>
                      <c:pt idx="8">
                        <c:v>2024-9</c:v>
                      </c:pt>
                      <c:pt idx="9">
                        <c:v>2024-10</c:v>
                      </c:pt>
                      <c:pt idx="10">
                        <c:v>2024-11</c:v>
                      </c:pt>
                      <c:pt idx="11">
                        <c:v>2024-12</c:v>
                      </c:pt>
                      <c:pt idx="12">
                        <c:v>2025-1</c:v>
                      </c:pt>
                      <c:pt idx="13">
                        <c:v>2025-2</c:v>
                      </c:pt>
                      <c:pt idx="14">
                        <c:v>2025-3</c:v>
                      </c:pt>
                      <c:pt idx="15">
                        <c:v>2025-4</c:v>
                      </c:pt>
                      <c:pt idx="16">
                        <c:v>2025-5</c:v>
                      </c:pt>
                    </c:strCache>
                  </c:strRef>
                </c:cat>
                <c:val>
                  <c:numRef>
                    <c:extLst xmlns:c15="http://schemas.microsoft.com/office/drawing/2012/chart">
                      <c:ext xmlns:c15="http://schemas.microsoft.com/office/drawing/2012/chart" uri="{02D57815-91ED-43cb-92C2-25804820EDAC}">
                        <c15:formulaRef>
                          <c15:sqref>Hoja2!$E$3:$E$19</c15:sqref>
                        </c15:formulaRef>
                      </c:ext>
                    </c:extLst>
                    <c:numCache>
                      <c:formatCode>General</c:formatCode>
                      <c:ptCount val="17"/>
                      <c:pt idx="7" formatCode="0.00">
                        <c:v>108.93219999999999</c:v>
                      </c:pt>
                      <c:pt idx="8" formatCode="0.00">
                        <c:v>108.93219999999999</c:v>
                      </c:pt>
                      <c:pt idx="9" formatCode="0.00">
                        <c:v>321.02370999999999</c:v>
                      </c:pt>
                      <c:pt idx="10" formatCode="0.00">
                        <c:v>365.78253000000001</c:v>
                      </c:pt>
                      <c:pt idx="11" formatCode="0.00">
                        <c:v>392.86943000000002</c:v>
                      </c:pt>
                      <c:pt idx="12" formatCode="0.00">
                        <c:v>470.39657999999997</c:v>
                      </c:pt>
                      <c:pt idx="13" formatCode="0.00">
                        <c:v>229</c:v>
                      </c:pt>
                      <c:pt idx="14" formatCode="0.00">
                        <c:v>258</c:v>
                      </c:pt>
                    </c:numCache>
                  </c:numRef>
                </c:val>
                <c:smooth val="0"/>
                <c:extLst xmlns:c15="http://schemas.microsoft.com/office/drawing/2012/chart">
                  <c:ext xmlns:c16="http://schemas.microsoft.com/office/drawing/2014/chart" uri="{C3380CC4-5D6E-409C-BE32-E72D297353CC}">
                    <c16:uniqueId val="{00000002-3A70-4161-B17D-12DBA36D3681}"/>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Hoja2!$F$2</c15:sqref>
                        </c15:formulaRef>
                      </c:ext>
                    </c:extLst>
                    <c:strCache>
                      <c:ptCount val="1"/>
                      <c:pt idx="0">
                        <c:v>Gtr Sol y Cielo Afinia</c:v>
                      </c:pt>
                    </c:strCache>
                  </c:strRef>
                </c:tx>
                <c:spPr>
                  <a:ln w="28575" cap="rnd">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Hoja2!$C$3:$C$19</c15:sqref>
                        </c15:formulaRef>
                      </c:ext>
                    </c:extLst>
                    <c:strCache>
                      <c:ptCount val="17"/>
                      <c:pt idx="0">
                        <c:v>2024-1</c:v>
                      </c:pt>
                      <c:pt idx="1">
                        <c:v>2024-2</c:v>
                      </c:pt>
                      <c:pt idx="2">
                        <c:v>2024-3</c:v>
                      </c:pt>
                      <c:pt idx="3">
                        <c:v>2024-4</c:v>
                      </c:pt>
                      <c:pt idx="4">
                        <c:v>2024-5</c:v>
                      </c:pt>
                      <c:pt idx="5">
                        <c:v>2024-6</c:v>
                      </c:pt>
                      <c:pt idx="6">
                        <c:v>2024-7</c:v>
                      </c:pt>
                      <c:pt idx="7">
                        <c:v>2024-8</c:v>
                      </c:pt>
                      <c:pt idx="8">
                        <c:v>2024-9</c:v>
                      </c:pt>
                      <c:pt idx="9">
                        <c:v>2024-10</c:v>
                      </c:pt>
                      <c:pt idx="10">
                        <c:v>2024-11</c:v>
                      </c:pt>
                      <c:pt idx="11">
                        <c:v>2024-12</c:v>
                      </c:pt>
                      <c:pt idx="12">
                        <c:v>2025-1</c:v>
                      </c:pt>
                      <c:pt idx="13">
                        <c:v>2025-2</c:v>
                      </c:pt>
                      <c:pt idx="14">
                        <c:v>2025-3</c:v>
                      </c:pt>
                      <c:pt idx="15">
                        <c:v>2025-4</c:v>
                      </c:pt>
                      <c:pt idx="16">
                        <c:v>2025-5</c:v>
                      </c:pt>
                    </c:strCache>
                  </c:strRef>
                </c:cat>
                <c:val>
                  <c:numRef>
                    <c:extLst xmlns:c15="http://schemas.microsoft.com/office/drawing/2012/chart">
                      <c:ext xmlns:c15="http://schemas.microsoft.com/office/drawing/2012/chart" uri="{02D57815-91ED-43cb-92C2-25804820EDAC}">
                        <c15:formulaRef>
                          <c15:sqref>Hoja2!$F$3:$F$19</c15:sqref>
                        </c15:formulaRef>
                      </c:ext>
                    </c:extLst>
                    <c:numCache>
                      <c:formatCode>0.00</c:formatCode>
                      <c:ptCount val="17"/>
                      <c:pt idx="0">
                        <c:v>100</c:v>
                      </c:pt>
                      <c:pt idx="1">
                        <c:v>154.16254000000001</c:v>
                      </c:pt>
                      <c:pt idx="2">
                        <c:v>150.20974000000001</c:v>
                      </c:pt>
                      <c:pt idx="3">
                        <c:v>199.20144999999999</c:v>
                      </c:pt>
                      <c:pt idx="4">
                        <c:v>189.71247</c:v>
                      </c:pt>
                      <c:pt idx="5">
                        <c:v>197.68917999999999</c:v>
                      </c:pt>
                      <c:pt idx="6">
                        <c:v>279.23739999999998</c:v>
                      </c:pt>
                      <c:pt idx="7">
                        <c:v>271.55239999999998</c:v>
                      </c:pt>
                      <c:pt idx="8">
                        <c:v>271.55239999999998</c:v>
                      </c:pt>
                      <c:pt idx="9">
                        <c:v>233.39121</c:v>
                      </c:pt>
                      <c:pt idx="10">
                        <c:v>321.02370999999999</c:v>
                      </c:pt>
                      <c:pt idx="11">
                        <c:v>365.78253000000001</c:v>
                      </c:pt>
                      <c:pt idx="12">
                        <c:v>392.86943000000002</c:v>
                      </c:pt>
                      <c:pt idx="13">
                        <c:v>470</c:v>
                      </c:pt>
                      <c:pt idx="14">
                        <c:v>229</c:v>
                      </c:pt>
                    </c:numCache>
                  </c:numRef>
                </c:val>
                <c:smooth val="0"/>
                <c:extLst xmlns:c15="http://schemas.microsoft.com/office/drawing/2012/chart">
                  <c:ext xmlns:c16="http://schemas.microsoft.com/office/drawing/2014/chart" uri="{C3380CC4-5D6E-409C-BE32-E72D297353CC}">
                    <c16:uniqueId val="{00000003-3A70-4161-B17D-12DBA36D3681}"/>
                  </c:ext>
                </c:extLst>
              </c15:ser>
            </c15:filteredLineSeries>
          </c:ext>
        </c:extLst>
      </c:lineChart>
      <c:catAx>
        <c:axId val="817554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crossAx val="524090544"/>
        <c:crosses val="autoZero"/>
        <c:auto val="1"/>
        <c:lblAlgn val="ctr"/>
        <c:lblOffset val="100"/>
        <c:noMultiLvlLbl val="0"/>
      </c:catAx>
      <c:valAx>
        <c:axId val="524090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r>
                  <a:rPr lang="es-CO" sz="1050" b="1"/>
                  <a:t>$/kWh</a:t>
                </a:r>
              </a:p>
            </c:rich>
          </c:tx>
          <c:overlay val="0"/>
          <c:spPr>
            <a:noFill/>
            <a:ln>
              <a:noFill/>
            </a:ln>
            <a:effectLst/>
          </c:spPr>
          <c:txPr>
            <a:bodyPr rot="-54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crossAx val="817554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510A72ED46FD94880385BEF5E5CCBA7" ma:contentTypeVersion="17" ma:contentTypeDescription="Crear nuevo documento." ma:contentTypeScope="" ma:versionID="f3aeb440df9a30f8a20c68c704a6f12a">
  <xsd:schema xmlns:xsd="http://www.w3.org/2001/XMLSchema" xmlns:xs="http://www.w3.org/2001/XMLSchema" xmlns:p="http://schemas.microsoft.com/office/2006/metadata/properties" xmlns:ns2="bc750290-6f29-436d-a4a5-e0a82e9a917a" xmlns:ns3="dadef118-b79a-4aa6-824b-68945323e18f" targetNamespace="http://schemas.microsoft.com/office/2006/metadata/properties" ma:root="true" ma:fieldsID="9ec99a2dd9a84c03639b9bf8b88a8352" ns2:_="" ns3:_="">
    <xsd:import namespace="bc750290-6f29-436d-a4a5-e0a82e9a917a"/>
    <xsd:import namespace="dadef118-b79a-4aa6-824b-68945323e1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50290-6f29-436d-a4a5-e0a82e9a91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42cdfcee-ca2d-46b2-8159-5b17d2d80cf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def118-b79a-4aa6-824b-68945323e18f"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8618beb4-f23c-43c7-8b08-bfdfa3cb48b0}" ma:internalName="TaxCatchAll" ma:showField="CatchAllData" ma:web="dadef118-b79a-4aa6-824b-68945323e1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adef118-b79a-4aa6-824b-68945323e18f" xsi:nil="true"/>
    <lcf76f155ced4ddcb4097134ff3c332f xmlns="bc750290-6f29-436d-a4a5-e0a82e9a91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B6B10A-B433-49C6-B2BB-0F854EC6711C}">
  <ds:schemaRefs>
    <ds:schemaRef ds:uri="http://schemas.openxmlformats.org/officeDocument/2006/bibliography"/>
  </ds:schemaRefs>
</ds:datastoreItem>
</file>

<file path=customXml/itemProps2.xml><?xml version="1.0" encoding="utf-8"?>
<ds:datastoreItem xmlns:ds="http://schemas.openxmlformats.org/officeDocument/2006/customXml" ds:itemID="{FFC99064-929F-442A-A3F5-6ACE22093EB9}">
  <ds:schemaRefs>
    <ds:schemaRef ds:uri="http://schemas.microsoft.com/sharepoint/v3/contenttype/forms"/>
  </ds:schemaRefs>
</ds:datastoreItem>
</file>

<file path=customXml/itemProps3.xml><?xml version="1.0" encoding="utf-8"?>
<ds:datastoreItem xmlns:ds="http://schemas.openxmlformats.org/officeDocument/2006/customXml" ds:itemID="{9C93EC75-9F60-4DBD-9DC2-B02EF30D8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750290-6f29-436d-a4a5-e0a82e9a917a"/>
    <ds:schemaRef ds:uri="dadef118-b79a-4aa6-824b-68945323e1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CB5FA1-C5BF-4E9A-8198-8B360306AE38}">
  <ds:schemaRefs>
    <ds:schemaRef ds:uri="http://schemas.microsoft.com/office/2006/metadata/properties"/>
    <ds:schemaRef ds:uri="http://schemas.microsoft.com/office/infopath/2007/PartnerControls"/>
    <ds:schemaRef ds:uri="dadef118-b79a-4aa6-824b-68945323e18f"/>
    <ds:schemaRef ds:uri="bc750290-6f29-436d-a4a5-e0a82e9a917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77</Pages>
  <Words>26630</Words>
  <Characters>139545</Characters>
  <Application>Microsoft Office Word</Application>
  <DocSecurity>0</DocSecurity>
  <Lines>4104</Lines>
  <Paragraphs>995</Paragraphs>
  <ScaleCrop>false</ScaleCrop>
  <HeadingPairs>
    <vt:vector size="2" baseType="variant">
      <vt:variant>
        <vt:lpstr>Título</vt:lpstr>
      </vt:variant>
      <vt:variant>
        <vt:i4>1</vt:i4>
      </vt:variant>
    </vt:vector>
  </HeadingPairs>
  <TitlesOfParts>
    <vt:vector size="1" baseType="lpstr">
      <vt:lpstr>3 espacios (Interlineado sencillo)</vt:lpstr>
    </vt:vector>
  </TitlesOfParts>
  <Company>CREG</Company>
  <LinksUpToDate>false</LinksUpToDate>
  <CharactersWithSpaces>165180</CharactersWithSpaces>
  <SharedDoc>false</SharedDoc>
  <HLinks>
    <vt:vector size="108" baseType="variant">
      <vt:variant>
        <vt:i4>1572914</vt:i4>
      </vt:variant>
      <vt:variant>
        <vt:i4>110</vt:i4>
      </vt:variant>
      <vt:variant>
        <vt:i4>0</vt:i4>
      </vt:variant>
      <vt:variant>
        <vt:i4>5</vt:i4>
      </vt:variant>
      <vt:variant>
        <vt:lpwstr/>
      </vt:variant>
      <vt:variant>
        <vt:lpwstr>_Toc204532781</vt:lpwstr>
      </vt:variant>
      <vt:variant>
        <vt:i4>1572914</vt:i4>
      </vt:variant>
      <vt:variant>
        <vt:i4>104</vt:i4>
      </vt:variant>
      <vt:variant>
        <vt:i4>0</vt:i4>
      </vt:variant>
      <vt:variant>
        <vt:i4>5</vt:i4>
      </vt:variant>
      <vt:variant>
        <vt:lpwstr/>
      </vt:variant>
      <vt:variant>
        <vt:lpwstr>_Toc204532780</vt:lpwstr>
      </vt:variant>
      <vt:variant>
        <vt:i4>1507378</vt:i4>
      </vt:variant>
      <vt:variant>
        <vt:i4>98</vt:i4>
      </vt:variant>
      <vt:variant>
        <vt:i4>0</vt:i4>
      </vt:variant>
      <vt:variant>
        <vt:i4>5</vt:i4>
      </vt:variant>
      <vt:variant>
        <vt:lpwstr/>
      </vt:variant>
      <vt:variant>
        <vt:lpwstr>_Toc204532779</vt:lpwstr>
      </vt:variant>
      <vt:variant>
        <vt:i4>1507378</vt:i4>
      </vt:variant>
      <vt:variant>
        <vt:i4>92</vt:i4>
      </vt:variant>
      <vt:variant>
        <vt:i4>0</vt:i4>
      </vt:variant>
      <vt:variant>
        <vt:i4>5</vt:i4>
      </vt:variant>
      <vt:variant>
        <vt:lpwstr/>
      </vt:variant>
      <vt:variant>
        <vt:lpwstr>_Toc204532778</vt:lpwstr>
      </vt:variant>
      <vt:variant>
        <vt:i4>1507378</vt:i4>
      </vt:variant>
      <vt:variant>
        <vt:i4>86</vt:i4>
      </vt:variant>
      <vt:variant>
        <vt:i4>0</vt:i4>
      </vt:variant>
      <vt:variant>
        <vt:i4>5</vt:i4>
      </vt:variant>
      <vt:variant>
        <vt:lpwstr/>
      </vt:variant>
      <vt:variant>
        <vt:lpwstr>_Toc204532777</vt:lpwstr>
      </vt:variant>
      <vt:variant>
        <vt:i4>1507378</vt:i4>
      </vt:variant>
      <vt:variant>
        <vt:i4>80</vt:i4>
      </vt:variant>
      <vt:variant>
        <vt:i4>0</vt:i4>
      </vt:variant>
      <vt:variant>
        <vt:i4>5</vt:i4>
      </vt:variant>
      <vt:variant>
        <vt:lpwstr/>
      </vt:variant>
      <vt:variant>
        <vt:lpwstr>_Toc204532776</vt:lpwstr>
      </vt:variant>
      <vt:variant>
        <vt:i4>1507378</vt:i4>
      </vt:variant>
      <vt:variant>
        <vt:i4>74</vt:i4>
      </vt:variant>
      <vt:variant>
        <vt:i4>0</vt:i4>
      </vt:variant>
      <vt:variant>
        <vt:i4>5</vt:i4>
      </vt:variant>
      <vt:variant>
        <vt:lpwstr/>
      </vt:variant>
      <vt:variant>
        <vt:lpwstr>_Toc204532775</vt:lpwstr>
      </vt:variant>
      <vt:variant>
        <vt:i4>1507378</vt:i4>
      </vt:variant>
      <vt:variant>
        <vt:i4>68</vt:i4>
      </vt:variant>
      <vt:variant>
        <vt:i4>0</vt:i4>
      </vt:variant>
      <vt:variant>
        <vt:i4>5</vt:i4>
      </vt:variant>
      <vt:variant>
        <vt:lpwstr/>
      </vt:variant>
      <vt:variant>
        <vt:lpwstr>_Toc204532774</vt:lpwstr>
      </vt:variant>
      <vt:variant>
        <vt:i4>1507378</vt:i4>
      </vt:variant>
      <vt:variant>
        <vt:i4>62</vt:i4>
      </vt:variant>
      <vt:variant>
        <vt:i4>0</vt:i4>
      </vt:variant>
      <vt:variant>
        <vt:i4>5</vt:i4>
      </vt:variant>
      <vt:variant>
        <vt:lpwstr/>
      </vt:variant>
      <vt:variant>
        <vt:lpwstr>_Toc204532773</vt:lpwstr>
      </vt:variant>
      <vt:variant>
        <vt:i4>1507378</vt:i4>
      </vt:variant>
      <vt:variant>
        <vt:i4>56</vt:i4>
      </vt:variant>
      <vt:variant>
        <vt:i4>0</vt:i4>
      </vt:variant>
      <vt:variant>
        <vt:i4>5</vt:i4>
      </vt:variant>
      <vt:variant>
        <vt:lpwstr/>
      </vt:variant>
      <vt:variant>
        <vt:lpwstr>_Toc204532772</vt:lpwstr>
      </vt:variant>
      <vt:variant>
        <vt:i4>1507378</vt:i4>
      </vt:variant>
      <vt:variant>
        <vt:i4>50</vt:i4>
      </vt:variant>
      <vt:variant>
        <vt:i4>0</vt:i4>
      </vt:variant>
      <vt:variant>
        <vt:i4>5</vt:i4>
      </vt:variant>
      <vt:variant>
        <vt:lpwstr/>
      </vt:variant>
      <vt:variant>
        <vt:lpwstr>_Toc204532771</vt:lpwstr>
      </vt:variant>
      <vt:variant>
        <vt:i4>1507378</vt:i4>
      </vt:variant>
      <vt:variant>
        <vt:i4>44</vt:i4>
      </vt:variant>
      <vt:variant>
        <vt:i4>0</vt:i4>
      </vt:variant>
      <vt:variant>
        <vt:i4>5</vt:i4>
      </vt:variant>
      <vt:variant>
        <vt:lpwstr/>
      </vt:variant>
      <vt:variant>
        <vt:lpwstr>_Toc204532770</vt:lpwstr>
      </vt:variant>
      <vt:variant>
        <vt:i4>1441842</vt:i4>
      </vt:variant>
      <vt:variant>
        <vt:i4>38</vt:i4>
      </vt:variant>
      <vt:variant>
        <vt:i4>0</vt:i4>
      </vt:variant>
      <vt:variant>
        <vt:i4>5</vt:i4>
      </vt:variant>
      <vt:variant>
        <vt:lpwstr/>
      </vt:variant>
      <vt:variant>
        <vt:lpwstr>_Toc204532769</vt:lpwstr>
      </vt:variant>
      <vt:variant>
        <vt:i4>1441842</vt:i4>
      </vt:variant>
      <vt:variant>
        <vt:i4>32</vt:i4>
      </vt:variant>
      <vt:variant>
        <vt:i4>0</vt:i4>
      </vt:variant>
      <vt:variant>
        <vt:i4>5</vt:i4>
      </vt:variant>
      <vt:variant>
        <vt:lpwstr/>
      </vt:variant>
      <vt:variant>
        <vt:lpwstr>_Toc204532768</vt:lpwstr>
      </vt:variant>
      <vt:variant>
        <vt:i4>1441842</vt:i4>
      </vt:variant>
      <vt:variant>
        <vt:i4>26</vt:i4>
      </vt:variant>
      <vt:variant>
        <vt:i4>0</vt:i4>
      </vt:variant>
      <vt:variant>
        <vt:i4>5</vt:i4>
      </vt:variant>
      <vt:variant>
        <vt:lpwstr/>
      </vt:variant>
      <vt:variant>
        <vt:lpwstr>_Toc204532767</vt:lpwstr>
      </vt:variant>
      <vt:variant>
        <vt:i4>1441842</vt:i4>
      </vt:variant>
      <vt:variant>
        <vt:i4>20</vt:i4>
      </vt:variant>
      <vt:variant>
        <vt:i4>0</vt:i4>
      </vt:variant>
      <vt:variant>
        <vt:i4>5</vt:i4>
      </vt:variant>
      <vt:variant>
        <vt:lpwstr/>
      </vt:variant>
      <vt:variant>
        <vt:lpwstr>_Toc204532766</vt:lpwstr>
      </vt:variant>
      <vt:variant>
        <vt:i4>1441842</vt:i4>
      </vt:variant>
      <vt:variant>
        <vt:i4>14</vt:i4>
      </vt:variant>
      <vt:variant>
        <vt:i4>0</vt:i4>
      </vt:variant>
      <vt:variant>
        <vt:i4>5</vt:i4>
      </vt:variant>
      <vt:variant>
        <vt:lpwstr/>
      </vt:variant>
      <vt:variant>
        <vt:lpwstr>_Toc204532765</vt:lpwstr>
      </vt:variant>
      <vt:variant>
        <vt:i4>1441842</vt:i4>
      </vt:variant>
      <vt:variant>
        <vt:i4>8</vt:i4>
      </vt:variant>
      <vt:variant>
        <vt:i4>0</vt:i4>
      </vt:variant>
      <vt:variant>
        <vt:i4>5</vt:i4>
      </vt:variant>
      <vt:variant>
        <vt:lpwstr/>
      </vt:variant>
      <vt:variant>
        <vt:lpwstr>_Toc204532764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espacios (Interlineado sencillo)</dc:title>
  <dc:subject/>
  <dc:creator>Creg189</dc:creator>
  <cp:keywords/>
  <cp:lastModifiedBy>Paola Andrea Suarez Poveda</cp:lastModifiedBy>
  <cp:revision>3</cp:revision>
  <cp:lastPrinted>2004-01-15T04:05:00Z</cp:lastPrinted>
  <dcterms:created xsi:type="dcterms:W3CDTF">2025-10-30T20:17:00Z</dcterms:created>
  <dcterms:modified xsi:type="dcterms:W3CDTF">2025-12-09T20:30:00Z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0x0101004510A72ED46FD94880385BEF5E5CCBA7</vt:lpwstr>
  </property>
  <property fmtid="{D5CDD505-2E9C-101B-9397-08002B2CF9AE}" pid="3" name="MediaServiceImageTags">
    <vt:lpwstr/>
  </property>
</Properties>
</file>