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44"/>
        </w:rPr>
        <w:t>Technical Review of Branch and Stem Flexibility Modeling</w:t>
      </w:r>
    </w:p>
    <w:p>
      <w:pPr>
        <w:jc w:val="center"/>
      </w:pPr>
      <w:r>
        <w:rPr>
          <w:i/>
          <w:sz w:val="24"/>
        </w:rPr>
        <w:t>autotom_digital_twin — OpenUSD / PhysX D6 Joint Discretization</w:t>
      </w:r>
    </w:p>
    <w:p>
      <w:pPr>
        <w:jc w:val="center"/>
      </w:pPr>
      <w:r>
        <w:rPr>
          <w:sz w:val="20"/>
        </w:rPr>
        <w:t>Physics, biomechanics, discretization invariance, and proposed implementation</w:t>
      </w:r>
    </w:p>
    <w:p>
      <w:pPr>
        <w:pStyle w:val="Small"/>
        <w:jc w:val="center"/>
      </w:pPr>
      <w:r>
        <w:t>Prepared 10 August 2026 • Repository reviewed: aledevv/autotom_digital_twin • Analysis based on current main-branch code surfaced by GitHub connector</w:t>
      </w:r>
    </w:p>
    <w:p/>
    <w:p>
      <w:pPr>
        <w:pStyle w:val="Heading1"/>
      </w:pPr>
      <w:r>
        <w:t>Executive conclusion</w:t>
      </w:r>
    </w:p>
    <w:p>
      <w:r>
        <w:rPr>
          <w:b/>
        </w:rPr>
        <w:t xml:space="preserve">The present rigid-link + D6-joint architecture is defensible as a reduced-order model of a plant stem or branch, </w:t>
      </w:r>
      <w:r>
        <w:t>but the current spring constants are not discretization-invariant and some unit assumptions are inconsistent with USD’s angular-drive schema. Therefore, changing the number of links/joints can change the apparent mechanical properties even when the intended biological organ is unchanged.</w:t>
      </w:r>
    </w:p>
    <w:p>
      <w:pPr>
        <w:pStyle w:val="ListBullet"/>
        <w:spacing w:after="40"/>
      </w:pPr>
      <w:r>
        <w:t>For an Euler–Bernoulli-like branch with flexural rigidity EI, a hinge representing a control length ℓ should have rotational stiffness kθ,rad ≈ EI/ℓ (N·m/rad).</w:t>
      </w:r>
    </w:p>
    <w:p>
      <w:pPr>
        <w:pStyle w:val="ListBullet"/>
        <w:spacing w:after="40"/>
      </w:pPr>
      <w:r>
        <w:t>For N equal links spanning fixed length L, the per-joint stiffness must therefore scale approximately as N: kθ,rad ≈ EI·N/L. A constant per-joint stiffness does not represent the same branch as N changes.</w:t>
      </w:r>
    </w:p>
    <w:p>
      <w:pPr>
        <w:pStyle w:val="ListBullet"/>
        <w:spacing w:after="40"/>
      </w:pPr>
      <w:r>
        <w:t>USD Physics angular drive positions are expressed in degrees. A physically derived stiffness in N·m/rad must be converted before writing it to UsdPhysics.DriveAPI: kUSD = krad·π/180. The same conversion applies to rotational damping.</w:t>
      </w:r>
    </w:p>
    <w:p>
      <w:pPr>
        <w:pStyle w:val="ListBullet"/>
        <w:spacing w:after="40"/>
      </w:pPr>
      <w:r>
        <w:t>The experimental subbranch generator is not a valid 3-vs-10 discretization test: increasing n_links also increases total branch length and total mass because each link retains fixed HEIGHT and MASS.</w:t>
      </w:r>
    </w:p>
    <w:p>
      <w:pPr>
        <w:pStyle w:val="ListBullet"/>
        <w:spacing w:after="40"/>
      </w:pPr>
      <w:r>
        <w:t>The production stem exporter holds overall internode length approximately fixed when increasing segmentation, but it assigns one stiffness value to all joints inside an internode and does not derive stiffness from local diameter, segment length, or a measured flexural rigidity.</w:t>
      </w:r>
    </w:p>
    <w:p>
      <w:pPr>
        <w:pStyle w:val="ListBullet"/>
        <w:spacing w:after="40"/>
      </w:pPr>
      <w:r>
        <w:t>The most robust correction is to treat EI (or E plus cross-sectional geometry) as the biological parameter, derive each D6 joint’s stiffness from its local control length, and calibrate damping separately from free-decay data.</w:t>
      </w:r>
    </w:p>
    <w:p>
      <w:pPr>
        <w:pStyle w:val="ListBullet"/>
        <w:spacing w:after="40"/>
      </w:pPr>
      <w:r>
        <w:t>A convergence test should keep physical length, diameter profile, density, material parameters, loads, and boundary conditions fixed while only changing discretization. Tip deflection and low-frequency dynamics should converge rather than change systematically with joint count.</w:t>
      </w:r>
    </w:p>
    <w:p>
      <w:pPr>
        <w:pStyle w:val="Heading1"/>
      </w:pPr>
      <w:r>
        <w:t>1. Scope and question</w:t>
      </w:r>
    </w:p>
    <w:p>
      <w:r>
        <w:t>The practical observation motivating this review is that a branch/stem discretized with approximately three joints appears more flexible, whereas a version with approximately ten joints appears harder or stiffer. The objective is to determine whether that behavior is biologically and mechanically correct, identify implementation effects that can explain it, and formulate a physically grounded modification suitable for implementation in the digital twin.</w:t>
      </w:r>
    </w:p>
    <w:p>
      <w:pPr>
        <w:pStyle w:val="Heading1"/>
      </w:pPr>
      <w:r>
        <w:t>2. Current implementation in the repository</w:t>
      </w:r>
    </w:p>
    <w:p>
      <w:pPr>
        <w:pStyle w:val="Heading2"/>
      </w:pPr>
      <w:r>
        <w:t>2.1 Production stem exporter</w:t>
      </w:r>
    </w:p>
    <w:p>
      <w:r>
        <w:t>The production V2 stem model constructs the main stem as a chain of rigid cylindrical links. All translations are locked at each generic USD joint, rotZ is locked, and rotX/rotY are limited and driven toward zero using force-type spring-damper drives. The relevant functions are _configure_bend_drive(), _create_bend_joint(), and _build_stem_chain() in src/plant_model/usd_exporter_v2.py.</w:t>
      </w:r>
    </w:p>
    <w:p>
      <w:pPr>
        <w:pStyle w:val="CodeBlock"/>
      </w:pPr>
      <w:r>
        <w:t>for axis in ("rotX", "rotY"):</w:t>
        <w:br/>
        <w:t xml:space="preserve">    limit = UsdPhysics.LimitAPI.Apply(joint.GetPrim(), axis)</w:t>
        <w:br/>
        <w:t xml:space="preserve">    limit.CreateLowAttr().Set(-bend_limit_deg)</w:t>
        <w:br/>
        <w:t xml:space="preserve">    limit.CreateHighAttr().Set(bend_limit_deg)</w:t>
        <w:br/>
        <w:br/>
        <w:t xml:space="preserve">    drive = UsdPhysics.DriveAPI.Apply(joint.GetPrim(), axis)</w:t>
        <w:br/>
        <w:t xml:space="preserve">    drive.CreateTypeAttr().Set("force")</w:t>
        <w:br/>
        <w:t xml:space="preserve">    drive.CreateStiffnessAttr().Set(stiffness)</w:t>
        <w:br/>
        <w:t xml:space="preserve">    drive.CreateDampingAttr().Set(damping)</w:t>
        <w:br/>
        <w:t xml:space="preserve">    drive.CreateTargetPositionAttr().Set(0.0)</w:t>
      </w:r>
    </w:p>
    <w:p>
      <w:r>
        <w:t>The stiffness used for every joint within an internode is interpolated from a base value to a tip value using the internode index, not the individual segment/joint position:</w:t>
      </w:r>
    </w:p>
    <w:p>
      <w:pPr>
        <w:pStyle w:val="CodeBlock"/>
      </w:pPr>
      <w:r>
        <w:t>t = i / max(n_internodes - 1, 1)</w:t>
        <w:br/>
        <w:t>stiffness = (</w:t>
        <w:br/>
        <w:t xml:space="preserve">    STEM_JOINT_STIFFNESS_BASE</w:t>
        <w:br/>
        <w:t xml:space="preserve">    + t * (STEM_JOINT_STIFFNESS_TIP - STEM_JOINT_STIFFNESS_BASE)</w:t>
        <w:br/>
        <w:t>) * (GLOBAL_SCALE ** 5)</w:t>
        <w:br/>
        <w:br/>
        <w:t>damping = STEM_JOINT_DAMPING * (GLOBAL_SCALE ** 5)</w:t>
      </w:r>
    </w:p>
    <w:tbl>
      <w:tblPr>
        <w:tblStyle w:val="TableGrid"/>
        <w:tblW w:type="auto" w:w="0"/>
        <w:jc w:val="center"/>
        <w:tblLook w:firstColumn="1" w:firstRow="1" w:lastColumn="0" w:lastRow="0" w:noHBand="0" w:noVBand="1" w:val="04A0"/>
      </w:tblPr>
      <w:tblGrid>
        <w:gridCol w:w="3360"/>
        <w:gridCol w:w="3360"/>
        <w:gridCol w:w="3360"/>
      </w:tblGrid>
      <w:tr>
        <w:tc>
          <w:tcPr>
            <w:tcW w:type="dxa" w:w="3168"/>
            <w:vAlign w:val="center"/>
            <w:shd w:fill="D9EAF7"/>
          </w:tcPr>
          <w:p>
            <w:r/>
            <w:r>
              <w:rPr>
                <w:rFonts w:ascii="Aptos" w:hAnsi="Aptos"/>
                <w:b/>
                <w:sz w:val="16"/>
              </w:rPr>
              <w:t>Current parameter</w:t>
            </w:r>
          </w:p>
        </w:tc>
        <w:tc>
          <w:tcPr>
            <w:tcW w:type="dxa" w:w="1728"/>
            <w:vAlign w:val="center"/>
            <w:shd w:fill="D9EAF7"/>
          </w:tcPr>
          <w:p>
            <w:r/>
            <w:r>
              <w:rPr>
                <w:rFonts w:ascii="Aptos" w:hAnsi="Aptos"/>
                <w:b/>
                <w:sz w:val="16"/>
              </w:rPr>
              <w:t>Repository value</w:t>
            </w:r>
          </w:p>
        </w:tc>
        <w:tc>
          <w:tcPr>
            <w:tcW w:type="dxa" w:w="4320"/>
            <w:vAlign w:val="center"/>
            <w:shd w:fill="D9EAF7"/>
          </w:tcPr>
          <w:p>
            <w:r/>
            <w:r>
              <w:rPr>
                <w:rFonts w:ascii="Aptos" w:hAnsi="Aptos"/>
                <w:b/>
                <w:sz w:val="16"/>
              </w:rPr>
              <w:t>Current stated interpretation</w:t>
            </w:r>
          </w:p>
        </w:tc>
      </w:tr>
      <w:tr>
        <w:tc>
          <w:tcPr>
            <w:tcW w:type="dxa" w:w="3168"/>
            <w:vAlign w:val="center"/>
          </w:tcPr>
          <w:p>
            <w:r/>
            <w:r>
              <w:rPr>
                <w:rFonts w:ascii="Aptos" w:hAnsi="Aptos"/>
                <w:b w:val="0"/>
                <w:sz w:val="15"/>
              </w:rPr>
              <w:t>STEM_JOINT_STIFFNESS_BASE</w:t>
            </w:r>
          </w:p>
        </w:tc>
        <w:tc>
          <w:tcPr>
            <w:tcW w:type="dxa" w:w="1728"/>
            <w:vAlign w:val="center"/>
          </w:tcPr>
          <w:p>
            <w:r/>
            <w:r>
              <w:rPr>
                <w:rFonts w:ascii="Aptos" w:hAnsi="Aptos"/>
                <w:b w:val="0"/>
                <w:sz w:val="15"/>
              </w:rPr>
              <w:t>80,000</w:t>
            </w:r>
          </w:p>
        </w:tc>
        <w:tc>
          <w:tcPr>
            <w:tcW w:type="dxa" w:w="4320"/>
            <w:vAlign w:val="center"/>
          </w:tcPr>
          <w:p>
            <w:r/>
            <w:r>
              <w:rPr>
                <w:rFonts w:ascii="Aptos" w:hAnsi="Aptos"/>
                <w:b w:val="0"/>
                <w:sz w:val="15"/>
              </w:rPr>
              <w:t>base rotational stiffness</w:t>
            </w:r>
          </w:p>
        </w:tc>
      </w:tr>
      <w:tr>
        <w:tc>
          <w:tcPr>
            <w:tcW w:type="dxa" w:w="3168"/>
            <w:vAlign w:val="center"/>
          </w:tcPr>
          <w:p>
            <w:r/>
            <w:r>
              <w:rPr>
                <w:rFonts w:ascii="Aptos" w:hAnsi="Aptos"/>
                <w:b w:val="0"/>
                <w:sz w:val="15"/>
              </w:rPr>
              <w:t>STEM_JOINT_STIFFNESS_TIP</w:t>
            </w:r>
          </w:p>
        </w:tc>
        <w:tc>
          <w:tcPr>
            <w:tcW w:type="dxa" w:w="1728"/>
            <w:vAlign w:val="center"/>
          </w:tcPr>
          <w:p>
            <w:r/>
            <w:r>
              <w:rPr>
                <w:rFonts w:ascii="Aptos" w:hAnsi="Aptos"/>
                <w:b w:val="0"/>
                <w:sz w:val="15"/>
              </w:rPr>
              <w:t>200</w:t>
            </w:r>
          </w:p>
        </w:tc>
        <w:tc>
          <w:tcPr>
            <w:tcW w:type="dxa" w:w="4320"/>
            <w:vAlign w:val="center"/>
          </w:tcPr>
          <w:p>
            <w:r/>
            <w:r>
              <w:rPr>
                <w:rFonts w:ascii="Aptos" w:hAnsi="Aptos"/>
                <w:b w:val="0"/>
                <w:sz w:val="15"/>
              </w:rPr>
              <w:t>tip rotational stiffness</w:t>
            </w:r>
          </w:p>
        </w:tc>
      </w:tr>
      <w:tr>
        <w:tc>
          <w:tcPr>
            <w:tcW w:type="dxa" w:w="3168"/>
            <w:vAlign w:val="center"/>
          </w:tcPr>
          <w:p>
            <w:r/>
            <w:r>
              <w:rPr>
                <w:rFonts w:ascii="Aptos" w:hAnsi="Aptos"/>
                <w:b w:val="0"/>
                <w:sz w:val="15"/>
              </w:rPr>
              <w:t>STEM_JOINT_DAMPING</w:t>
            </w:r>
          </w:p>
        </w:tc>
        <w:tc>
          <w:tcPr>
            <w:tcW w:type="dxa" w:w="1728"/>
            <w:vAlign w:val="center"/>
          </w:tcPr>
          <w:p>
            <w:r/>
            <w:r>
              <w:rPr>
                <w:rFonts w:ascii="Aptos" w:hAnsi="Aptos"/>
                <w:b w:val="0"/>
                <w:sz w:val="15"/>
              </w:rPr>
              <w:t>0.80</w:t>
            </w:r>
          </w:p>
        </w:tc>
        <w:tc>
          <w:tcPr>
            <w:tcW w:type="dxa" w:w="4320"/>
            <w:vAlign w:val="center"/>
          </w:tcPr>
          <w:p>
            <w:r/>
            <w:r>
              <w:rPr>
                <w:rFonts w:ascii="Aptos" w:hAnsi="Aptos"/>
                <w:b w:val="0"/>
                <w:sz w:val="15"/>
              </w:rPr>
              <w:t>rotational damping</w:t>
            </w:r>
          </w:p>
        </w:tc>
      </w:tr>
      <w:tr>
        <w:tc>
          <w:tcPr>
            <w:tcW w:type="dxa" w:w="3168"/>
            <w:vAlign w:val="center"/>
          </w:tcPr>
          <w:p>
            <w:r/>
            <w:r>
              <w:rPr>
                <w:rFonts w:ascii="Aptos" w:hAnsi="Aptos"/>
                <w:b w:val="0"/>
                <w:sz w:val="15"/>
              </w:rPr>
              <w:t>STEM_JOINT_BEND_LIMIT_DEG</w:t>
            </w:r>
          </w:p>
        </w:tc>
        <w:tc>
          <w:tcPr>
            <w:tcW w:type="dxa" w:w="1728"/>
            <w:vAlign w:val="center"/>
          </w:tcPr>
          <w:p>
            <w:r/>
            <w:r>
              <w:rPr>
                <w:rFonts w:ascii="Aptos" w:hAnsi="Aptos"/>
                <w:b w:val="0"/>
                <w:sz w:val="15"/>
              </w:rPr>
              <w:t>20°</w:t>
            </w:r>
          </w:p>
        </w:tc>
        <w:tc>
          <w:tcPr>
            <w:tcW w:type="dxa" w:w="4320"/>
            <w:vAlign w:val="center"/>
          </w:tcPr>
          <w:p>
            <w:r/>
            <w:r>
              <w:rPr>
                <w:rFonts w:ascii="Aptos" w:hAnsi="Aptos"/>
                <w:b w:val="0"/>
                <w:sz w:val="15"/>
              </w:rPr>
              <w:t>per-joint rotX/rotY limit</w:t>
            </w:r>
          </w:p>
        </w:tc>
      </w:tr>
      <w:tr>
        <w:tc>
          <w:tcPr>
            <w:tcW w:type="dxa" w:w="3168"/>
            <w:vAlign w:val="center"/>
          </w:tcPr>
          <w:p>
            <w:r/>
            <w:r>
              <w:rPr>
                <w:rFonts w:ascii="Aptos" w:hAnsi="Aptos"/>
                <w:b w:val="0"/>
                <w:sz w:val="15"/>
              </w:rPr>
              <w:t>GLOBAL_SCALE</w:t>
            </w:r>
          </w:p>
        </w:tc>
        <w:tc>
          <w:tcPr>
            <w:tcW w:type="dxa" w:w="1728"/>
            <w:vAlign w:val="center"/>
          </w:tcPr>
          <w:p>
            <w:r/>
            <w:r>
              <w:rPr>
                <w:rFonts w:ascii="Aptos" w:hAnsi="Aptos"/>
                <w:b w:val="0"/>
                <w:sz w:val="15"/>
              </w:rPr>
              <w:t>1.0</w:t>
            </w:r>
          </w:p>
        </w:tc>
        <w:tc>
          <w:tcPr>
            <w:tcW w:type="dxa" w:w="4320"/>
            <w:vAlign w:val="center"/>
          </w:tcPr>
          <w:p>
            <w:r/>
            <w:r>
              <w:rPr>
                <w:rFonts w:ascii="Aptos" w:hAnsi="Aptos"/>
                <w:b w:val="0"/>
                <w:sz w:val="15"/>
              </w:rPr>
              <w:t>geometry scale</w:t>
            </w:r>
          </w:p>
        </w:tc>
      </w:tr>
      <w:tr>
        <w:tc>
          <w:tcPr>
            <w:tcW w:type="dxa" w:w="3168"/>
            <w:vAlign w:val="center"/>
          </w:tcPr>
          <w:p>
            <w:r/>
            <w:r>
              <w:rPr>
                <w:rFonts w:ascii="Aptos" w:hAnsi="Aptos"/>
                <w:b w:val="0"/>
                <w:sz w:val="15"/>
              </w:rPr>
              <w:t>SEGMENT_TARGET_LENGTH_M</w:t>
            </w:r>
          </w:p>
        </w:tc>
        <w:tc>
          <w:tcPr>
            <w:tcW w:type="dxa" w:w="1728"/>
            <w:vAlign w:val="center"/>
          </w:tcPr>
          <w:p>
            <w:r/>
            <w:r>
              <w:rPr>
                <w:rFonts w:ascii="Aptos" w:hAnsi="Aptos"/>
                <w:b w:val="0"/>
                <w:sz w:val="15"/>
              </w:rPr>
              <w:t>0.01 m</w:t>
            </w:r>
          </w:p>
        </w:tc>
        <w:tc>
          <w:tcPr>
            <w:tcW w:type="dxa" w:w="4320"/>
            <w:vAlign w:val="center"/>
          </w:tcPr>
          <w:p>
            <w:r/>
            <w:r>
              <w:rPr>
                <w:rFonts w:ascii="Aptos" w:hAnsi="Aptos"/>
                <w:b w:val="0"/>
                <w:sz w:val="15"/>
              </w:rPr>
              <w:t>target rigid-link length</w:t>
            </w:r>
          </w:p>
        </w:tc>
      </w:tr>
      <w:tr>
        <w:tc>
          <w:tcPr>
            <w:tcW w:type="dxa" w:w="3168"/>
            <w:vAlign w:val="center"/>
          </w:tcPr>
          <w:p>
            <w:r/>
            <w:r>
              <w:rPr>
                <w:rFonts w:ascii="Aptos" w:hAnsi="Aptos"/>
                <w:b w:val="0"/>
                <w:sz w:val="15"/>
              </w:rPr>
              <w:t>MAX_TOTAL_SEGMENTS</w:t>
            </w:r>
          </w:p>
        </w:tc>
        <w:tc>
          <w:tcPr>
            <w:tcW w:type="dxa" w:w="1728"/>
            <w:vAlign w:val="center"/>
          </w:tcPr>
          <w:p>
            <w:r/>
            <w:r>
              <w:rPr>
                <w:rFonts w:ascii="Aptos" w:hAnsi="Aptos"/>
                <w:b w:val="0"/>
                <w:sz w:val="15"/>
              </w:rPr>
              <w:t>50</w:t>
            </w:r>
          </w:p>
        </w:tc>
        <w:tc>
          <w:tcPr>
            <w:tcW w:type="dxa" w:w="4320"/>
            <w:vAlign w:val="center"/>
          </w:tcPr>
          <w:p>
            <w:r/>
            <w:r>
              <w:rPr>
                <w:rFonts w:ascii="Aptos" w:hAnsi="Aptos"/>
                <w:b w:val="0"/>
                <w:sz w:val="15"/>
              </w:rPr>
              <w:t>global segment budget</w:t>
            </w:r>
          </w:p>
        </w:tc>
      </w:tr>
    </w:tbl>
    <w:p>
      <w:pPr>
        <w:pStyle w:val="Small"/>
      </w:pPr>
    </w:p>
    <w:p>
      <w:r>
        <w:t>A positive feature of the V2 exporter is that each internode is subdivided while approximately preserving its physical length. However, the spring coefficient does not depend on the actual segment/control length. Consequently, changing the number of segments changes the continuum stiffness represented by the chain.</w:t>
      </w:r>
    </w:p>
    <w:p>
      <w:pPr>
        <w:pStyle w:val="Heading2"/>
      </w:pPr>
      <w:r>
        <w:t>2.2 Experimental subbranch generator</w:t>
      </w:r>
    </w:p>
    <w:p>
      <w:r>
        <w:t>The repository also contains src/experiments/articulation_subbranch/generate_articulation_usda.py. This is especially relevant to a manual 3-vs-10 link test. In this file BranchConfig.HEIGHT and BranchConfig.MASS are fixed per link, while create_sub_branch(..., n_links=...) simply creates more or fewer links.</w:t>
      </w:r>
    </w:p>
    <w:p>
      <w:pPr>
        <w:pStyle w:val="CodeBlock"/>
      </w:pPr>
      <w:r>
        <w:t>class BranchConfig:</w:t>
        <w:br/>
        <w:t xml:space="preserve">    RADIUS = 0.04 * GLOBAL_SCALE</w:t>
        <w:br/>
        <w:t xml:space="preserve">    HEIGHT = 0.15 * GLOBAL_SCALE</w:t>
        <w:br/>
        <w:t xml:space="preserve">    MASS = 0.2 * (GLOBAL_SCALE ** 3)</w:t>
        <w:br/>
        <w:t xml:space="preserve">    STIFFNESS_XY = 300.0 * (GLOBAL_SCALE ** 5)</w:t>
        <w:br/>
        <w:t xml:space="preserve">    DAMPING_XY = 50.0 * (GLOBAL_SCALE ** 5)</w:t>
        <w:br/>
        <w:br/>
        <w:t>def create_sub_branch(..., n_links=3, ...):</w:t>
        <w:br/>
        <w:t xml:space="preserve">    for i in range(n_links):</w:t>
        <w:br/>
        <w:t xml:space="preserve">        ...</w:t>
      </w:r>
    </w:p>
    <w:p>
      <w:r>
        <w:t>Therefore, n_links = 3 and n_links = 10 do not describe the same physical branch in this experimental script. Ignoring the small gaps, they correspond to approximately 0.45 m and 1.50 m of modeled branch length respectively, and the assigned branch-link mass increases from approximately 0.6 kg to 2.0 kg. Any apparent stiffness comparison is confounded by geometry and mass changes.</w:t>
      </w:r>
    </w:p>
    <w:p>
      <w:pPr>
        <w:pStyle w:val="Heading2"/>
      </w:pPr>
      <w:r>
        <w:t>2.3 Stage-unit issue in the experimental script</w:t>
      </w:r>
    </w:p>
    <w:p>
      <w:r>
        <w:t>The production V2 exporter explicitly authors metersPerUnit = 1.0. The experimental subbranch generator shown above sets the up axis but does not explicitly author metersPerUnit. OpenUSD falls back to 0.01 m per unit (centimeters) when metersPerUnit is unauthored, and NVIDIA recommends authoring physical units explicitly for physics assets. This should be corrected in any quantitative experiment.</w:t>
      </w:r>
    </w:p>
    <w:p>
      <w:pPr>
        <w:pStyle w:val="CodeBlock"/>
      </w:pPr>
      <w:r>
        <w:t>UsdGeom.SetStageMetersPerUnit(stage, 1.0)</w:t>
        <w:br/>
        <w:t># Also author the intended mass unit (kg/unit = 1.0) in the physics stage metadata.</w:t>
      </w:r>
    </w:p>
    <w:p>
      <w:pPr>
        <w:pStyle w:val="Heading1"/>
      </w:pPr>
      <w:r>
        <w:t>3. Mechanical interpretation: why joint count must matter unless stiffness is rescaled</w:t>
      </w:r>
    </w:p>
    <w:p>
      <w:pPr>
        <w:pStyle w:val="Heading2"/>
      </w:pPr>
      <w:r>
        <w:t>3.1 Continuum beam model</w:t>
      </w:r>
    </w:p>
    <w:p>
      <w:r>
        <w:t>For small-to-moderate bending of a slender stem, a standard first approximation is Euler–Bernoulli beam theory. The local bending moment M is related to curvature κ by the flexural rigidity EI:</w:t>
      </w:r>
    </w:p>
    <w:p>
      <w:pPr>
        <w:pStyle w:val="Equation"/>
      </w:pPr>
      <w:r>
        <w:t>M(s) = E(s) I(s) κ(s)</w:t>
      </w:r>
    </w:p>
    <w:p>
      <w:r>
        <w:t>Plant biomechanics literature routinely characterizes stems using flexural rigidity EI, structural Young’s modulus E, and the second moment of area I. Tomato stems have specifically been analyzed using beam theory under controlled bending, including spatial distributions of curvature, moment, strain, and stress.</w:t>
      </w:r>
    </w:p>
    <w:p>
      <w:pPr>
        <w:pStyle w:val="Heading2"/>
      </w:pPr>
      <w:r>
        <w:t>3.2 Geometry matters strongly</w:t>
      </w:r>
    </w:p>
    <w:p>
      <w:r>
        <w:t>For an ideal solid circular cross-section:</w:t>
      </w:r>
    </w:p>
    <w:p>
      <w:pPr>
        <w:pStyle w:val="Equation"/>
      </w:pPr>
      <w:r>
        <w:t>I = π d⁴ / 64</w:t>
      </w:r>
    </w:p>
    <w:p>
      <w:r>
        <w:t>Thus, even if E were spatially constant, local diameter has a fourth-power influence on flexural rigidity. A model that changes joint stiffness only with height/index but ignores diameter can easily miss the dominant geometric contribution. For hollow/subcircular plant stems, I should be computed from the measured/estimated cross-section rather than forced to a solid circle.</w:t>
      </w:r>
    </w:p>
    <w:p>
      <w:pPr>
        <w:pStyle w:val="Heading2"/>
      </w:pPr>
      <w:r>
        <w:t>3.3 Derivation of the equivalent hinge stiffness</w:t>
      </w:r>
    </w:p>
    <w:p>
      <w:r>
        <w:t>Consider a rigid-link discretization where a joint carries the change in tangent angle Δθ over a control length ℓv. Approximating κ ≈ Δθ/ℓv, the continuum bending energy over that control volume is:</w:t>
      </w:r>
    </w:p>
    <w:p>
      <w:pPr>
        <w:pStyle w:val="Equation"/>
      </w:pPr>
      <w:r>
        <w:t>Ub ≈ ½ EI (Δθ/ℓv)² ℓv = ½ (EI/ℓv) Δθ²</w:t>
      </w:r>
    </w:p>
    <w:p>
      <w:r>
        <w:t>A rotational spring has energy Us = ½ kθ Δθ². Equating the two gives:</w:t>
      </w:r>
    </w:p>
    <w:p>
      <w:pPr>
        <w:pStyle w:val="Equation"/>
      </w:pPr>
      <w:r>
        <w:t>kθ,rad = EI / ℓv</w:t>
      </w:r>
    </w:p>
    <w:p>
      <w:r>
        <w:t>For equal links spanning fixed physical length L with characteristic control length ℓv ≈ L/N:</w:t>
      </w:r>
    </w:p>
    <w:p>
      <w:pPr>
        <w:pStyle w:val="Equation"/>
      </w:pPr>
      <w:r>
        <w:t>kθ,rad ≈ EI · N / L</w:t>
      </w:r>
    </w:p>
    <w:p>
      <w:r>
        <w:rPr>
          <w:b/>
        </w:rPr>
        <w:t xml:space="preserve">Key implication: </w:t>
      </w:r>
      <w:r>
        <w:t>if N is increased while kθ is kept numerically constant, the represented continuum EI changes. The discretization is then not mesh/discretization invariant.</w:t>
      </w:r>
    </w:p>
    <w:p>
      <w:pPr>
        <w:pStyle w:val="Heading2"/>
      </w:pPr>
      <w:r>
        <w:t>3.4 Non-uniform diameter or material properties</w:t>
      </w:r>
    </w:p>
    <w:p>
      <w:r>
        <w:t>At a joint between two segments with different flexural rigidities, a compliance-based interface formula is preferable. If the joint represents half of the left segment and half of the right segment, the rotational compliance is the integral of ds/EI. A practical two-segment expression is:</w:t>
      </w:r>
    </w:p>
    <w:p>
      <w:pPr>
        <w:pStyle w:val="Equation"/>
      </w:pPr>
      <w:r>
        <w:t>kθ,rad = 1 / [ ℓL/(2 ELI ILI) + ℓR/(2 ERI IRI) ]</w:t>
      </w:r>
    </w:p>
    <w:p>
      <w:r>
        <w:t>where the notation means ℓL/(2·EI_L) + ℓR/(2·EI_R). In code this is simply the reciprocal of the summed bending compliance. For equal EI and equal lengths, it reduces to EI/ℓ.</w:t>
      </w:r>
    </w:p>
    <w:p>
      <w:pPr>
        <w:pStyle w:val="Heading1"/>
      </w:pPr>
      <w:r>
        <w:t>4. Critical USD/PhysX unit correction</w:t>
      </w:r>
    </w:p>
    <w:p>
      <w:r>
        <w:t>OpenUSD’s UsdPhysicsDriveAPI defines angular target position in degrees, angular target velocity in degrees/s, angular stiffness in torque per degree, and angular damping in torque per (degree/s). The drive law is an implicit damped spring of the form:</w:t>
      </w:r>
    </w:p>
    <w:p>
      <w:pPr>
        <w:pStyle w:val="Equation"/>
      </w:pPr>
      <w:r>
        <w:t>τ = kUSD (θtarget − θ) + cUSD (ωtarget − ω)</w:t>
      </w:r>
    </w:p>
    <w:p>
      <w:r>
        <w:t>If beam mechanics produces a stiffness in N·m/rad, it must be converted before assignment:</w:t>
      </w:r>
    </w:p>
    <w:p>
      <w:pPr>
        <w:pStyle w:val="Equation"/>
      </w:pPr>
      <w:r>
        <w:t>kUSD [N·m/deg] = kθ,rad [N·m/rad] · π/180</w:t>
      </w:r>
    </w:p>
    <w:p>
      <w:pPr>
        <w:pStyle w:val="Equation"/>
      </w:pPr>
      <w:r>
        <w:t>cUSD [N·m·s/deg] = cθ,rad [N·m·s/rad] · π/180</w:t>
      </w:r>
    </w:p>
    <w:p>
      <w:r>
        <w:rPr>
          <w:b/>
        </w:rPr>
        <w:t xml:space="preserve">This is a factor of 57.2958. </w:t>
      </w:r>
      <w:r>
        <w:t>Writing a value intended as N·m/rad directly into a USD angular drive makes the physical angular spring approximately 57.3 times stronger than intended when interpreted in SI/radian mechanics.</w:t>
      </w:r>
    </w:p>
    <w:p>
      <w:r>
        <w:t>The current constants.py comments label stem stiffness/damping as N·m/rad and N·m·s/rad, while those numbers are written directly to DriveAPI. The comments and implementation therefore do not currently describe the same units.</w:t>
      </w:r>
    </w:p>
    <w:p>
      <w:pPr>
        <w:pStyle w:val="Heading1"/>
      </w:pPr>
      <w:r>
        <w:t>5. Biological plausibility</w:t>
      </w:r>
    </w:p>
    <w:p>
      <w:pPr>
        <w:pStyle w:val="Heading2"/>
      </w:pPr>
      <w:r>
        <w:t>5.1 What is biologically reasonable</w:t>
      </w:r>
    </w:p>
    <w:p>
      <w:pPr>
        <w:pStyle w:val="ListBullet"/>
        <w:spacing w:after="40"/>
      </w:pPr>
      <w:r>
        <w:t>Representing a stem as a tapered, distributed bending structure is biologically reasonable at the organ scale.</w:t>
      </w:r>
    </w:p>
    <w:p>
      <w:pPr>
        <w:pStyle w:val="ListBullet"/>
        <w:spacing w:after="40"/>
      </w:pPr>
      <w:r>
        <w:t>Flexural rigidity generally varies axially because both cross-sectional geometry and tissue structure change along the plant.</w:t>
      </w:r>
    </w:p>
    <w:p>
      <w:pPr>
        <w:pStyle w:val="ListBullet"/>
        <w:spacing w:after="40"/>
      </w:pPr>
      <w:r>
        <w:t>Older/lignified regions can become mechanically stronger or stiffer, while young elongating tissue has different mechanical behavior; however, a simple linear base-to-tip E gradient should be treated as a modeling hypothesis, not a universal law.</w:t>
      </w:r>
    </w:p>
    <w:p>
      <w:pPr>
        <w:pStyle w:val="ListBullet"/>
        <w:spacing w:after="40"/>
      </w:pPr>
      <w:r>
        <w:t>Tomato responds to repeated bending mechanically and developmentally (thigmomorphogenesis), so measured mechanical parameters can depend on growth history.</w:t>
      </w:r>
    </w:p>
    <w:p>
      <w:r>
        <w:t>A 2024 experimental study on harvested tomato stalks reported a mean stalk diameter of 11.1 mm, density of about 770 kg/m³, and bending-derived elastic modulus of 50.64 ± 2.42 MPa for its tested material. These values are useful as an order-of-magnitude reference, but should not be treated as universal constants for a living greenhouse tomato digital twin: cultivar, age, hydration, internode position, loading rate, and tissue state matter.</w:t>
      </w:r>
    </w:p>
    <w:p>
      <w:pPr>
        <w:pStyle w:val="Heading2"/>
      </w:pPr>
      <w:r>
        <w:t>5.2 Recommended biological parameterization</w:t>
      </w:r>
    </w:p>
    <w:p>
      <w:r>
        <w:t>The primary biological mechanical field should be flexural rigidity EI(s), not an arbitrary per-joint spring number. Two implementation modes are recommended:</w:t>
      </w:r>
    </w:p>
    <w:p>
      <w:pPr>
        <w:pStyle w:val="ListNumber"/>
        <w:spacing w:after="40"/>
      </w:pPr>
      <w:r>
        <w:t>Preferred when experimental bending data are available: store or fit EI directly per internode/branch segment. This avoids separating geometry and material when the cross-section is heterogeneous.</w:t>
      </w:r>
    </w:p>
    <w:p>
      <w:pPr>
        <w:pStyle w:val="ListNumber"/>
        <w:spacing w:after="40"/>
      </w:pPr>
      <w:r>
        <w:t>When an effective structural modulus is available: compute I from local geometry and set EI = Estructural · I. Use a hollow/annular or measured cross-sectional model when warranted.</w:t>
      </w:r>
    </w:p>
    <w:p>
      <w:pPr>
        <w:pStyle w:val="Heading1"/>
      </w:pPr>
      <w:r>
        <w:t>6. Why a 10-joint model can appear harder in the current simulation</w:t>
      </w:r>
    </w:p>
    <w:p>
      <w:r>
        <w:t>For a mathematically ideal chain representing a fixed beam, more identical rotational springs in series with unchanged k should not make the beam statically harder. The observation that 10 joints appear harder than 3 therefore indicates that the compared simulations are not equivalent or that solver/constraint effects dominate.</w:t>
      </w:r>
    </w:p>
    <w:tbl>
      <w:tblPr>
        <w:tblStyle w:val="TableGrid"/>
        <w:tblW w:type="auto" w:w="0"/>
        <w:jc w:val="center"/>
        <w:tblLook w:firstColumn="1" w:firstRow="1" w:lastColumn="0" w:lastRow="0" w:noHBand="0" w:noVBand="1" w:val="04A0"/>
      </w:tblPr>
      <w:tblGrid>
        <w:gridCol w:w="3360"/>
        <w:gridCol w:w="3360"/>
        <w:gridCol w:w="3360"/>
      </w:tblGrid>
      <w:tr>
        <w:tc>
          <w:tcPr>
            <w:tcW w:type="dxa" w:w="3024"/>
            <w:vAlign w:val="center"/>
            <w:shd w:fill="D9EAF7"/>
          </w:tcPr>
          <w:p>
            <w:r/>
            <w:r>
              <w:rPr>
                <w:rFonts w:ascii="Aptos" w:hAnsi="Aptos"/>
                <w:b/>
                <w:sz w:val="16"/>
              </w:rPr>
              <w:t>Possible cause</w:t>
            </w:r>
          </w:p>
        </w:tc>
        <w:tc>
          <w:tcPr>
            <w:tcW w:type="dxa" w:w="3600"/>
            <w:vAlign w:val="center"/>
            <w:shd w:fill="D9EAF7"/>
          </w:tcPr>
          <w:p>
            <w:r/>
            <w:r>
              <w:rPr>
                <w:rFonts w:ascii="Aptos" w:hAnsi="Aptos"/>
                <w:b/>
                <w:sz w:val="16"/>
              </w:rPr>
              <w:t>Expected impact</w:t>
            </w:r>
          </w:p>
        </w:tc>
        <w:tc>
          <w:tcPr>
            <w:tcW w:type="dxa" w:w="3456"/>
            <w:vAlign w:val="center"/>
            <w:shd w:fill="D9EAF7"/>
          </w:tcPr>
          <w:p>
            <w:r/>
            <w:r>
              <w:rPr>
                <w:rFonts w:ascii="Aptos" w:hAnsi="Aptos"/>
                <w:b/>
                <w:sz w:val="16"/>
              </w:rPr>
              <w:t>Status in current repo</w:t>
            </w:r>
          </w:p>
        </w:tc>
      </w:tr>
      <w:tr>
        <w:tc>
          <w:tcPr>
            <w:tcW w:type="dxa" w:w="3024"/>
            <w:vAlign w:val="center"/>
          </w:tcPr>
          <w:p>
            <w:r/>
            <w:r>
              <w:rPr>
                <w:rFonts w:ascii="Aptos" w:hAnsi="Aptos"/>
                <w:b w:val="0"/>
                <w:sz w:val="15"/>
              </w:rPr>
              <w:t>Physical length changes with N</w:t>
            </w:r>
          </w:p>
        </w:tc>
        <w:tc>
          <w:tcPr>
            <w:tcW w:type="dxa" w:w="3600"/>
            <w:vAlign w:val="center"/>
          </w:tcPr>
          <w:p>
            <w:r/>
            <w:r>
              <w:rPr>
                <w:rFonts w:ascii="Aptos" w:hAnsi="Aptos"/>
                <w:b w:val="0"/>
                <w:sz w:val="15"/>
              </w:rPr>
              <w:t>Invalidates comparison; load arms and self-weight change</w:t>
            </w:r>
          </w:p>
        </w:tc>
        <w:tc>
          <w:tcPr>
            <w:tcW w:type="dxa" w:w="3456"/>
            <w:vAlign w:val="center"/>
          </w:tcPr>
          <w:p>
            <w:r/>
            <w:r>
              <w:rPr>
                <w:rFonts w:ascii="Aptos" w:hAnsi="Aptos"/>
                <w:b w:val="0"/>
                <w:sz w:val="15"/>
              </w:rPr>
              <w:t>Yes in articulation_subbranch experiment</w:t>
            </w:r>
          </w:p>
        </w:tc>
      </w:tr>
      <w:tr>
        <w:tc>
          <w:tcPr>
            <w:tcW w:type="dxa" w:w="3024"/>
            <w:vAlign w:val="center"/>
          </w:tcPr>
          <w:p>
            <w:r/>
            <w:r>
              <w:rPr>
                <w:rFonts w:ascii="Aptos" w:hAnsi="Aptos"/>
                <w:b w:val="0"/>
                <w:sz w:val="15"/>
              </w:rPr>
              <w:t>Total mass changes with N</w:t>
            </w:r>
          </w:p>
        </w:tc>
        <w:tc>
          <w:tcPr>
            <w:tcW w:type="dxa" w:w="3600"/>
            <w:vAlign w:val="center"/>
          </w:tcPr>
          <w:p>
            <w:r/>
            <w:r>
              <w:rPr>
                <w:rFonts w:ascii="Aptos" w:hAnsi="Aptos"/>
                <w:b w:val="0"/>
                <w:sz w:val="15"/>
              </w:rPr>
              <w:t>Changes gravity torque and dynamics</w:t>
            </w:r>
          </w:p>
        </w:tc>
        <w:tc>
          <w:tcPr>
            <w:tcW w:type="dxa" w:w="3456"/>
            <w:vAlign w:val="center"/>
          </w:tcPr>
          <w:p>
            <w:r/>
            <w:r>
              <w:rPr>
                <w:rFonts w:ascii="Aptos" w:hAnsi="Aptos"/>
                <w:b w:val="0"/>
                <w:sz w:val="15"/>
              </w:rPr>
              <w:t>Yes in articulation_subbranch experiment</w:t>
            </w:r>
          </w:p>
        </w:tc>
      </w:tr>
      <w:tr>
        <w:tc>
          <w:tcPr>
            <w:tcW w:type="dxa" w:w="3024"/>
            <w:vAlign w:val="center"/>
          </w:tcPr>
          <w:p>
            <w:r/>
            <w:r>
              <w:rPr>
                <w:rFonts w:ascii="Aptos" w:hAnsi="Aptos"/>
                <w:b w:val="0"/>
                <w:sz w:val="15"/>
              </w:rPr>
              <w:t>Per-joint stiffness not scaled with control length</w:t>
            </w:r>
          </w:p>
        </w:tc>
        <w:tc>
          <w:tcPr>
            <w:tcW w:type="dxa" w:w="3600"/>
            <w:vAlign w:val="center"/>
          </w:tcPr>
          <w:p>
            <w:r/>
            <w:r>
              <w:rPr>
                <w:rFonts w:ascii="Aptos" w:hAnsi="Aptos"/>
                <w:b w:val="0"/>
                <w:sz w:val="15"/>
              </w:rPr>
              <w:t>Continuum EI changes with discretization</w:t>
            </w:r>
          </w:p>
        </w:tc>
        <w:tc>
          <w:tcPr>
            <w:tcW w:type="dxa" w:w="3456"/>
            <w:vAlign w:val="center"/>
          </w:tcPr>
          <w:p>
            <w:r/>
            <w:r>
              <w:rPr>
                <w:rFonts w:ascii="Aptos" w:hAnsi="Aptos"/>
                <w:b w:val="0"/>
                <w:sz w:val="15"/>
              </w:rPr>
              <w:t>Yes</w:t>
            </w:r>
          </w:p>
        </w:tc>
      </w:tr>
      <w:tr>
        <w:tc>
          <w:tcPr>
            <w:tcW w:type="dxa" w:w="3024"/>
            <w:vAlign w:val="center"/>
          </w:tcPr>
          <w:p>
            <w:r/>
            <w:r>
              <w:rPr>
                <w:rFonts w:ascii="Aptos" w:hAnsi="Aptos"/>
                <w:b w:val="0"/>
                <w:sz w:val="15"/>
              </w:rPr>
              <w:t>Angular drive unit interpreted as rad instead of deg</w:t>
            </w:r>
          </w:p>
        </w:tc>
        <w:tc>
          <w:tcPr>
            <w:tcW w:type="dxa" w:w="3600"/>
            <w:vAlign w:val="center"/>
          </w:tcPr>
          <w:p>
            <w:r/>
            <w:r>
              <w:rPr>
                <w:rFonts w:ascii="Aptos" w:hAnsi="Aptos"/>
                <w:b w:val="0"/>
                <w:sz w:val="15"/>
              </w:rPr>
              <w:t>Approx. 57.3× gain mismatch</w:t>
            </w:r>
          </w:p>
        </w:tc>
        <w:tc>
          <w:tcPr>
            <w:tcW w:type="dxa" w:w="3456"/>
            <w:vAlign w:val="center"/>
          </w:tcPr>
          <w:p>
            <w:r/>
            <w:r>
              <w:rPr>
                <w:rFonts w:ascii="Aptos" w:hAnsi="Aptos"/>
                <w:b w:val="0"/>
                <w:sz w:val="15"/>
              </w:rPr>
              <w:t>Yes in comments/parameter meaning</w:t>
            </w:r>
          </w:p>
        </w:tc>
      </w:tr>
      <w:tr>
        <w:tc>
          <w:tcPr>
            <w:tcW w:type="dxa" w:w="3024"/>
            <w:vAlign w:val="center"/>
          </w:tcPr>
          <w:p>
            <w:r/>
            <w:r>
              <w:rPr>
                <w:rFonts w:ascii="Aptos" w:hAnsi="Aptos"/>
                <w:b w:val="0"/>
                <w:sz w:val="15"/>
              </w:rPr>
              <w:t>Solver convergence / iteration count</w:t>
            </w:r>
          </w:p>
        </w:tc>
        <w:tc>
          <w:tcPr>
            <w:tcW w:type="dxa" w:w="3600"/>
            <w:vAlign w:val="center"/>
          </w:tcPr>
          <w:p>
            <w:r/>
            <w:r>
              <w:rPr>
                <w:rFonts w:ascii="Aptos" w:hAnsi="Aptos"/>
                <w:b w:val="0"/>
                <w:sz w:val="15"/>
              </w:rPr>
              <w:t>Long constraint chains can change apparent compliance</w:t>
            </w:r>
          </w:p>
        </w:tc>
        <w:tc>
          <w:tcPr>
            <w:tcW w:type="dxa" w:w="3456"/>
            <w:vAlign w:val="center"/>
          </w:tcPr>
          <w:p>
            <w:r/>
            <w:r>
              <w:rPr>
                <w:rFonts w:ascii="Aptos" w:hAnsi="Aptos"/>
                <w:b w:val="0"/>
                <w:sz w:val="15"/>
              </w:rPr>
              <w:t>Not controlled in exporter</w:t>
            </w:r>
          </w:p>
        </w:tc>
      </w:tr>
      <w:tr>
        <w:tc>
          <w:tcPr>
            <w:tcW w:type="dxa" w:w="3024"/>
            <w:vAlign w:val="center"/>
          </w:tcPr>
          <w:p>
            <w:r/>
            <w:r>
              <w:rPr>
                <w:rFonts w:ascii="Aptos" w:hAnsi="Aptos"/>
                <w:b w:val="0"/>
                <w:sz w:val="15"/>
              </w:rPr>
              <w:t>Contact/collision constraints</w:t>
            </w:r>
          </w:p>
        </w:tc>
        <w:tc>
          <w:tcPr>
            <w:tcW w:type="dxa" w:w="3600"/>
            <w:vAlign w:val="center"/>
          </w:tcPr>
          <w:p>
            <w:r/>
            <w:r>
              <w:rPr>
                <w:rFonts w:ascii="Aptos" w:hAnsi="Aptos"/>
                <w:b w:val="0"/>
                <w:sz w:val="15"/>
              </w:rPr>
              <w:t>Can create extra apparent support or locking</w:t>
            </w:r>
          </w:p>
        </w:tc>
        <w:tc>
          <w:tcPr>
            <w:tcW w:type="dxa" w:w="3456"/>
            <w:vAlign w:val="center"/>
          </w:tcPr>
          <w:p>
            <w:r/>
            <w:r>
              <w:rPr>
                <w:rFonts w:ascii="Aptos" w:hAnsi="Aptos"/>
                <w:b w:val="0"/>
                <w:sz w:val="15"/>
              </w:rPr>
              <w:t>Possible</w:t>
            </w:r>
          </w:p>
        </w:tc>
      </w:tr>
      <w:tr>
        <w:tc>
          <w:tcPr>
            <w:tcW w:type="dxa" w:w="3024"/>
            <w:vAlign w:val="center"/>
          </w:tcPr>
          <w:p>
            <w:r/>
            <w:r>
              <w:rPr>
                <w:rFonts w:ascii="Aptos" w:hAnsi="Aptos"/>
                <w:b w:val="0"/>
                <w:sz w:val="15"/>
              </w:rPr>
              <w:t>Per-joint angle limits</w:t>
            </w:r>
          </w:p>
        </w:tc>
        <w:tc>
          <w:tcPr>
            <w:tcW w:type="dxa" w:w="3600"/>
            <w:vAlign w:val="center"/>
          </w:tcPr>
          <w:p>
            <w:r/>
            <w:r>
              <w:rPr>
                <w:rFonts w:ascii="Aptos" w:hAnsi="Aptos"/>
                <w:b w:val="0"/>
                <w:sz w:val="15"/>
              </w:rPr>
              <w:t>Nonlinear behavior once limits engage</w:t>
            </w:r>
          </w:p>
        </w:tc>
        <w:tc>
          <w:tcPr>
            <w:tcW w:type="dxa" w:w="3456"/>
            <w:vAlign w:val="center"/>
          </w:tcPr>
          <w:p>
            <w:r/>
            <w:r>
              <w:rPr>
                <w:rFonts w:ascii="Aptos" w:hAnsi="Aptos"/>
                <w:b w:val="0"/>
                <w:sz w:val="15"/>
              </w:rPr>
              <w:t>20° stem / 30° experimental branch</w:t>
            </w:r>
          </w:p>
        </w:tc>
      </w:tr>
      <w:tr>
        <w:tc>
          <w:tcPr>
            <w:tcW w:type="dxa" w:w="3024"/>
            <w:vAlign w:val="center"/>
          </w:tcPr>
          <w:p>
            <w:r/>
            <w:r>
              <w:rPr>
                <w:rFonts w:ascii="Aptos" w:hAnsi="Aptos"/>
                <w:b w:val="0"/>
                <w:sz w:val="15"/>
              </w:rPr>
              <w:t>Mass/inertia ratios</w:t>
            </w:r>
          </w:p>
        </w:tc>
        <w:tc>
          <w:tcPr>
            <w:tcW w:type="dxa" w:w="3600"/>
            <w:vAlign w:val="center"/>
          </w:tcPr>
          <w:p>
            <w:r/>
            <w:r>
              <w:rPr>
                <w:rFonts w:ascii="Aptos" w:hAnsi="Aptos"/>
                <w:b w:val="0"/>
                <w:sz w:val="15"/>
              </w:rPr>
              <w:t>Can reduce iterative solver convergence</w:t>
            </w:r>
          </w:p>
        </w:tc>
        <w:tc>
          <w:tcPr>
            <w:tcW w:type="dxa" w:w="3456"/>
            <w:vAlign w:val="center"/>
          </w:tcPr>
          <w:p>
            <w:r/>
            <w:r>
              <w:rPr>
                <w:rFonts w:ascii="Aptos" w:hAnsi="Aptos"/>
                <w:b w:val="0"/>
                <w:sz w:val="15"/>
              </w:rPr>
              <w:t>Needs explicit audit</w:t>
            </w:r>
          </w:p>
        </w:tc>
      </w:tr>
      <w:tr>
        <w:tc>
          <w:tcPr>
            <w:tcW w:type="dxa" w:w="3024"/>
            <w:vAlign w:val="center"/>
          </w:tcPr>
          <w:p>
            <w:r/>
            <w:r>
              <w:rPr>
                <w:rFonts w:ascii="Aptos" w:hAnsi="Aptos"/>
                <w:b w:val="0"/>
                <w:sz w:val="15"/>
              </w:rPr>
              <w:t>Different branch geometry/radius</w:t>
            </w:r>
          </w:p>
        </w:tc>
        <w:tc>
          <w:tcPr>
            <w:tcW w:type="dxa" w:w="3600"/>
            <w:vAlign w:val="center"/>
          </w:tcPr>
          <w:p>
            <w:r/>
            <w:r>
              <w:rPr>
                <w:rFonts w:ascii="Aptos" w:hAnsi="Aptos"/>
                <w:b w:val="0"/>
                <w:sz w:val="15"/>
              </w:rPr>
              <w:t>Strong d⁴ effect on EI</w:t>
            </w:r>
          </w:p>
        </w:tc>
        <w:tc>
          <w:tcPr>
            <w:tcW w:type="dxa" w:w="3456"/>
            <w:vAlign w:val="center"/>
          </w:tcPr>
          <w:p>
            <w:r/>
            <w:r>
              <w:rPr>
                <w:rFonts w:ascii="Aptos" w:hAnsi="Aptos"/>
                <w:b w:val="0"/>
                <w:sz w:val="15"/>
              </w:rPr>
              <w:t>Prototype and production geometries differ</w:t>
            </w:r>
          </w:p>
        </w:tc>
      </w:tr>
    </w:tbl>
    <w:p>
      <w:pPr>
        <w:pStyle w:val="Small"/>
      </w:pPr>
    </w:p>
    <w:p>
      <w:r>
        <w:t>PhysX documentation explicitly states that joint behavior quality depends on iterative solver convergence, that high mass ratios can be problematic, and that solver iterations can improve convergence. This means a long articulated chain should be verified with a numerical convergence study even after correcting the physical spring model.</w:t>
      </w:r>
    </w:p>
    <w:p>
      <w:pPr>
        <w:pStyle w:val="Heading1"/>
      </w:pPr>
      <w:r>
        <w:t>7. Proposed correction</w:t>
      </w:r>
    </w:p>
    <w:p>
      <w:pPr>
        <w:pStyle w:val="Heading2"/>
      </w:pPr>
      <w:r>
        <w:t>7.1 Core design principle</w:t>
      </w:r>
    </w:p>
    <w:p>
      <w:r>
        <w:rPr>
          <w:b/>
        </w:rPr>
        <w:t>Replace “joint stiffness is a hand-tuned property” with “joint stiffness is derived from a physical bending field and the local discretization.”</w:t>
      </w:r>
    </w:p>
    <w:p>
      <w:r>
        <w:t>The proposed hierarchy is:</w:t>
      </w:r>
    </w:p>
    <w:p>
      <w:pPr>
        <w:pStyle w:val="ListBullet"/>
        <w:spacing w:after="40"/>
      </w:pPr>
      <w:r>
        <w:t>Biological/mechanical input: EI(s), or E(s) + geometry.</w:t>
      </w:r>
    </w:p>
    <w:p>
      <w:pPr>
        <w:pStyle w:val="ListBullet"/>
        <w:spacing w:after="40"/>
      </w:pPr>
      <w:r>
        <w:t>Discretization: rigid links with known physical lengths.</w:t>
      </w:r>
    </w:p>
    <w:p>
      <w:pPr>
        <w:pStyle w:val="ListBullet"/>
        <w:spacing w:after="40"/>
      </w:pPr>
      <w:r>
        <w:t>Joint control length: half of the adjacent left link plus half of the adjacent right link.</w:t>
      </w:r>
    </w:p>
    <w:p>
      <w:pPr>
        <w:pStyle w:val="ListBullet"/>
        <w:spacing w:after="40"/>
      </w:pPr>
      <w:r>
        <w:t>Physical rotational stiffness: kθ,rad = 1 / ∫control ds/EI(s).</w:t>
      </w:r>
    </w:p>
    <w:p>
      <w:pPr>
        <w:pStyle w:val="ListBullet"/>
        <w:spacing w:after="40"/>
      </w:pPr>
      <w:r>
        <w:t>USD angular stiffness: kUSD = kθ,rad · π/180.</w:t>
      </w:r>
    </w:p>
    <w:p>
      <w:pPr>
        <w:pStyle w:val="ListBullet"/>
        <w:spacing w:after="40"/>
      </w:pPr>
      <w:r>
        <w:t>Damping: derive from a continuum viscous bending coefficient when available, otherwise calibrate to measured free-decay response and preserve its control-length scaling.</w:t>
      </w:r>
    </w:p>
    <w:p>
      <w:pPr>
        <w:pStyle w:val="Heading2"/>
      </w:pPr>
      <w:r>
        <w:t>7.2 Proposed helper functions</w:t>
      </w:r>
    </w:p>
    <w:p>
      <w:pPr>
        <w:pStyle w:val="CodeBlock"/>
      </w:pPr>
      <w:r>
        <w:t>DEG_TO_RAD = math.pi / 180.0</w:t>
        <w:br/>
        <w:br/>
        <w:t>def second_moment_solid_circle(diameter_m: float) -&gt; float:</w:t>
        <w:br/>
        <w:t xml:space="preserve">    return math.pi * diameter_m**4 / 64.0</w:t>
        <w:br/>
        <w:br/>
        <w:t>def flexural_rigidity(E_pa: float, diameter_m: float) -&gt; float:</w:t>
        <w:br/>
        <w:t xml:space="preserve">    """Return EI in N*m^2 for an effective circular beam."""</w:t>
        <w:br/>
        <w:t xml:space="preserve">    return E_pa * second_moment_solid_circle(diameter_m)</w:t>
        <w:br/>
        <w:br/>
        <w:t>def hinge_stiffness_rad(</w:t>
        <w:br/>
        <w:t xml:space="preserve">    left_length_m: float,</w:t>
        <w:br/>
        <w:t xml:space="preserve">    left_EI: float,</w:t>
        <w:br/>
        <w:t xml:space="preserve">    right_length_m: float,</w:t>
        <w:br/>
        <w:t xml:space="preserve">    right_EI: float,</w:t>
        <w:br/>
        <w:t>) -&gt; float:</w:t>
        <w:br/>
        <w:t xml:space="preserve">    """</w:t>
        <w:br/>
        <w:t xml:space="preserve">    Rotational spring stiffness in N*m/rad.</w:t>
        <w:br/>
        <w:t xml:space="preserve">    The joint represents half of each adjacent rigid link.</w:t>
        <w:br/>
        <w:t xml:space="preserve">    """</w:t>
        <w:br/>
        <w:t xml:space="preserve">    compliance = (</w:t>
        <w:br/>
        <w:t xml:space="preserve">        0.5 * left_length_m / left_EI</w:t>
        <w:br/>
        <w:t xml:space="preserve">        + 0.5 * right_length_m / right_EI</w:t>
        <w:br/>
        <w:t xml:space="preserve">    )</w:t>
        <w:br/>
        <w:t xml:space="preserve">    return 1.0 / compliance</w:t>
        <w:br/>
        <w:br/>
        <w:t>def rad_gain_to_usd_degree_gain(value_per_rad: float) -&gt; float:</w:t>
        <w:br/>
        <w:t xml:space="preserve">    """Convert torque/rad (or torque*s/rad) to USD torque/degree units."""</w:t>
        <w:br/>
        <w:t xml:space="preserve">    return value_per_rad * DEG_TO_RAD</w:t>
      </w:r>
    </w:p>
    <w:p>
      <w:pPr>
        <w:pStyle w:val="Heading2"/>
      </w:pPr>
      <w:r>
        <w:t>7.3 Proposed per-joint construction</w:t>
      </w:r>
    </w:p>
    <w:p>
      <w:pPr>
        <w:pStyle w:val="CodeBlock"/>
      </w:pPr>
      <w:r>
        <w:t># Precompute physical properties of each rigid segment.</w:t>
        <w:br/>
        <w:t>segments.append({</w:t>
        <w:br/>
        <w:t xml:space="preserve">    "path": link_path,</w:t>
        <w:br/>
        <w:t xml:space="preserve">    "length_m": physical_segment_length_m,</w:t>
        <w:br/>
        <w:t xml:space="preserve">    "diameter_m": node.width_m,</w:t>
        <w:br/>
        <w:t xml:space="preserve">    "E_pa": local_structural_modulus_pa,</w:t>
        <w:br/>
        <w:t xml:space="preserve">    "EI": local_structural_modulus_pa</w:t>
        <w:br/>
        <w:t xml:space="preserve">          * second_moment_solid_circle(node.width_m),</w:t>
        <w:br/>
        <w:t xml:space="preserve">    ...</w:t>
        <w:br/>
        <w:t>})</w:t>
        <w:br/>
        <w:br/>
        <w:t># When connecting segment j-1 to segment j:</w:t>
        <w:br/>
        <w:t>left = segments[j - 1]</w:t>
        <w:br/>
        <w:t>right = new_segment</w:t>
        <w:br/>
        <w:br/>
        <w:t>k_rad = hinge_stiffness_rad(</w:t>
        <w:br/>
        <w:t xml:space="preserve">    left["length_m"], left["EI"],</w:t>
        <w:br/>
        <w:t xml:space="preserve">    right["length_m"], right["EI"],</w:t>
        <w:br/>
        <w:t>)</w:t>
        <w:br/>
        <w:t>k_usd = k_rad * math.pi / 180.0</w:t>
        <w:br/>
        <w:br/>
        <w:t>_create_bend_joint(</w:t>
        <w:br/>
        <w:t xml:space="preserve">    ...,</w:t>
        <w:br/>
        <w:t xml:space="preserve">    stiffness=k_usd,</w:t>
        <w:br/>
        <w:t xml:space="preserve">    damping=c_usd,</w:t>
        <w:br/>
        <w:t xml:space="preserve">    ...</w:t>
        <w:br/>
        <w:t>)</w:t>
      </w:r>
    </w:p>
    <w:p>
      <w:pPr>
        <w:pStyle w:val="Heading2"/>
      </w:pPr>
      <w:r>
        <w:t>7.4 Damping proposal</w:t>
      </w:r>
    </w:p>
    <w:p>
      <w:r>
        <w:t>Damping should not be used to repair an incorrect static stiffness. Static EI should first be validated with damping set low enough not to influence equilibrium. Then damping should be calibrated from transient data.</w:t>
      </w:r>
    </w:p>
    <w:p>
      <w:r>
        <w:t>A continuum-consistent Kelvin–Voigt option introduces a bending-viscosity term CB such that M = EI κ + CB κ̇. The corresponding hinge damping scales analogously:</w:t>
      </w:r>
    </w:p>
    <w:p>
      <w:pPr>
        <w:pStyle w:val="Equation"/>
      </w:pPr>
      <w:r>
        <w:t>cθ,rad = CB / ℓv</w:t>
      </w:r>
    </w:p>
    <w:p>
      <w:r>
        <w:t>If CB is unknown, a practical alternative is to collect a free-decay trace after a small tip displacement and fit the first-mode damping ratio ζ. The joint damping parameters can then be optimized to reproduce the measured decay envelope while preserving the 1/ℓv discretization scaling. Using c = 2ζ√(kJ) independently at every hinge is convenient but not fully mesh-invariant because the effective rotational inertia J depends on the attached subtree; it is better used as an initialization than as the biological constitutive law.</w:t>
      </w:r>
    </w:p>
    <w:p>
      <w:pPr>
        <w:pStyle w:val="Heading2"/>
      </w:pPr>
      <w:r>
        <w:t>7.5 Base-to-tip variation</w:t>
      </w:r>
    </w:p>
    <w:p>
      <w:r>
        <w:t>A base-to-tip stiffness gradient is not inherently wrong, but it should arise from measurable fields. Recommended order of preference:</w:t>
      </w:r>
    </w:p>
    <w:p>
      <w:pPr>
        <w:pStyle w:val="ListNumber"/>
        <w:spacing w:after="40"/>
      </w:pPr>
      <w:r>
        <w:t>Use measured diameter and directly calibrated EI per internode.</w:t>
      </w:r>
    </w:p>
    <w:p>
      <w:pPr>
        <w:pStyle w:val="ListNumber"/>
        <w:spacing w:after="40"/>
      </w:pPr>
      <w:r>
        <w:t>Use measured diameter plus an age/position-dependent structural modulus E.</w:t>
      </w:r>
    </w:p>
    <w:p>
      <w:pPr>
        <w:pStyle w:val="ListNumber"/>
        <w:spacing w:after="40"/>
      </w:pPr>
      <w:r>
        <w:t>Only if data are unavailable, use a smooth empirical E(s) gradient with documented bounds and calibrate it against whole-stem bending.</w:t>
      </w:r>
    </w:p>
    <w:p>
      <w:r>
        <w:t>The current linear interpolation between 80,000 and 200 is too detached from geometry and units to be interpretable biologically. A physically grounded model may still produce a strong base-to-tip decrease, but the magnitude should emerge from diameter, material state, and calibration.</w:t>
      </w:r>
    </w:p>
    <w:p>
      <w:pPr>
        <w:pStyle w:val="Heading1"/>
      </w:pPr>
      <w:r>
        <w:t>8. Important correction to the experimental 3-vs-10 test</w:t>
      </w:r>
    </w:p>
    <w:p>
      <w:r>
        <w:t>To test discretization, total branch length must be fixed. For a branch of physical length L and N rigid links, set approximately:</w:t>
      </w:r>
    </w:p>
    <w:p>
      <w:pPr>
        <w:pStyle w:val="CodeBlock"/>
      </w:pPr>
      <w:r>
        <w:t>link_length = (branch_length - (N - 1) * gap) / N</w:t>
        <w:br/>
        <w:t>link_mass = density * cross_section_area * link_length</w:t>
      </w:r>
    </w:p>
    <w:p>
      <w:r>
        <w:t>Then calculate each joint stiffness from EI/link_length (or the non-uniform compliance formula). Do not keep link HEIGHT and MASS fixed while changing N.</w:t>
      </w:r>
    </w:p>
    <w:p>
      <w:r>
        <w:t>For a uniform beam, the expected relationship is:</w:t>
      </w:r>
    </w:p>
    <w:p>
      <w:pPr>
        <w:pStyle w:val="Equation"/>
      </w:pPr>
      <w:r>
        <w:t>N ↑  ⇒  link length ↓  ⇒  per-joint kθ ↑  proportionally  ⇒  whole-branch EI unchanged</w:t>
      </w:r>
    </w:p>
    <w:p>
      <w:pPr>
        <w:pStyle w:val="Heading1"/>
      </w:pPr>
      <w:r>
        <w:t>9. Quantitative sanity check using published tomato-stalk data</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440"/>
            <w:vAlign w:val="center"/>
            <w:shd w:fill="D9EAF7"/>
          </w:tcPr>
          <w:p>
            <w:r/>
            <w:r>
              <w:rPr>
                <w:rFonts w:ascii="Aptos" w:hAnsi="Aptos"/>
                <w:b/>
                <w:sz w:val="16"/>
              </w:rPr>
              <w:t>Equal links N</w:t>
            </w:r>
          </w:p>
        </w:tc>
        <w:tc>
          <w:tcPr>
            <w:tcW w:type="dxa" w:w="2160"/>
            <w:vAlign w:val="center"/>
            <w:shd w:fill="D9EAF7"/>
          </w:tcPr>
          <w:p>
            <w:r/>
            <w:r>
              <w:rPr>
                <w:rFonts w:ascii="Aptos" w:hAnsi="Aptos"/>
                <w:b/>
                <w:sz w:val="16"/>
              </w:rPr>
              <w:t>ℓ = L/N (mm)</w:t>
            </w:r>
          </w:p>
        </w:tc>
        <w:tc>
          <w:tcPr>
            <w:tcW w:type="dxa" w:w="2592"/>
            <w:vAlign w:val="center"/>
            <w:shd w:fill="D9EAF7"/>
          </w:tcPr>
          <w:p>
            <w:r/>
            <w:r>
              <w:rPr>
                <w:rFonts w:ascii="Aptos" w:hAnsi="Aptos"/>
                <w:b/>
                <w:sz w:val="16"/>
              </w:rPr>
              <w:t>kθ (N·m/rad)</w:t>
            </w:r>
          </w:p>
        </w:tc>
        <w:tc>
          <w:tcPr>
            <w:tcW w:type="dxa" w:w="2592"/>
            <w:vAlign w:val="center"/>
            <w:shd w:fill="D9EAF7"/>
          </w:tcPr>
          <w:p>
            <w:r/>
            <w:r>
              <w:rPr>
                <w:rFonts w:ascii="Aptos" w:hAnsi="Aptos"/>
                <w:b/>
                <w:sz w:val="16"/>
              </w:rPr>
              <w:t>USD k (N·m/deg)</w:t>
            </w:r>
          </w:p>
        </w:tc>
      </w:tr>
      <w:tr>
        <w:tc>
          <w:tcPr>
            <w:tcW w:type="dxa" w:w="1440"/>
            <w:vAlign w:val="center"/>
          </w:tcPr>
          <w:p>
            <w:r/>
            <w:r>
              <w:rPr>
                <w:rFonts w:ascii="Aptos" w:hAnsi="Aptos"/>
                <w:b w:val="0"/>
                <w:sz w:val="15"/>
              </w:rPr>
              <w:t>3</w:t>
            </w:r>
          </w:p>
        </w:tc>
        <w:tc>
          <w:tcPr>
            <w:tcW w:type="dxa" w:w="2160"/>
            <w:vAlign w:val="center"/>
          </w:tcPr>
          <w:p>
            <w:r/>
            <w:r>
              <w:rPr>
                <w:rFonts w:ascii="Aptos" w:hAnsi="Aptos"/>
                <w:b w:val="0"/>
                <w:sz w:val="15"/>
              </w:rPr>
              <w:t>66.7</w:t>
            </w:r>
          </w:p>
        </w:tc>
        <w:tc>
          <w:tcPr>
            <w:tcW w:type="dxa" w:w="2592"/>
            <w:vAlign w:val="center"/>
          </w:tcPr>
          <w:p>
            <w:r/>
            <w:r>
              <w:rPr>
                <w:rFonts w:ascii="Aptos" w:hAnsi="Aptos"/>
                <w:b w:val="0"/>
                <w:sz w:val="15"/>
              </w:rPr>
              <w:t>0.566</w:t>
            </w:r>
          </w:p>
        </w:tc>
        <w:tc>
          <w:tcPr>
            <w:tcW w:type="dxa" w:w="2592"/>
            <w:vAlign w:val="center"/>
          </w:tcPr>
          <w:p>
            <w:r/>
            <w:r>
              <w:rPr>
                <w:rFonts w:ascii="Aptos" w:hAnsi="Aptos"/>
                <w:b w:val="0"/>
                <w:sz w:val="15"/>
              </w:rPr>
              <w:t>0.00988</w:t>
            </w:r>
          </w:p>
        </w:tc>
      </w:tr>
      <w:tr>
        <w:tc>
          <w:tcPr>
            <w:tcW w:type="dxa" w:w="1440"/>
            <w:vAlign w:val="center"/>
          </w:tcPr>
          <w:p>
            <w:r/>
            <w:r>
              <w:rPr>
                <w:rFonts w:ascii="Aptos" w:hAnsi="Aptos"/>
                <w:b w:val="0"/>
                <w:sz w:val="15"/>
              </w:rPr>
              <w:t>5</w:t>
            </w:r>
          </w:p>
        </w:tc>
        <w:tc>
          <w:tcPr>
            <w:tcW w:type="dxa" w:w="2160"/>
            <w:vAlign w:val="center"/>
          </w:tcPr>
          <w:p>
            <w:r/>
            <w:r>
              <w:rPr>
                <w:rFonts w:ascii="Aptos" w:hAnsi="Aptos"/>
                <w:b w:val="0"/>
                <w:sz w:val="15"/>
              </w:rPr>
              <w:t>40.0</w:t>
            </w:r>
          </w:p>
        </w:tc>
        <w:tc>
          <w:tcPr>
            <w:tcW w:type="dxa" w:w="2592"/>
            <w:vAlign w:val="center"/>
          </w:tcPr>
          <w:p>
            <w:r/>
            <w:r>
              <w:rPr>
                <w:rFonts w:ascii="Aptos" w:hAnsi="Aptos"/>
                <w:b w:val="0"/>
                <w:sz w:val="15"/>
              </w:rPr>
              <w:t>0.943</w:t>
            </w:r>
          </w:p>
        </w:tc>
        <w:tc>
          <w:tcPr>
            <w:tcW w:type="dxa" w:w="2592"/>
            <w:vAlign w:val="center"/>
          </w:tcPr>
          <w:p>
            <w:r/>
            <w:r>
              <w:rPr>
                <w:rFonts w:ascii="Aptos" w:hAnsi="Aptos"/>
                <w:b w:val="0"/>
                <w:sz w:val="15"/>
              </w:rPr>
              <w:t>0.01647</w:t>
            </w:r>
          </w:p>
        </w:tc>
      </w:tr>
      <w:tr>
        <w:tc>
          <w:tcPr>
            <w:tcW w:type="dxa" w:w="1440"/>
            <w:vAlign w:val="center"/>
          </w:tcPr>
          <w:p>
            <w:r/>
            <w:r>
              <w:rPr>
                <w:rFonts w:ascii="Aptos" w:hAnsi="Aptos"/>
                <w:b w:val="0"/>
                <w:sz w:val="15"/>
              </w:rPr>
              <w:t>10</w:t>
            </w:r>
          </w:p>
        </w:tc>
        <w:tc>
          <w:tcPr>
            <w:tcW w:type="dxa" w:w="2160"/>
            <w:vAlign w:val="center"/>
          </w:tcPr>
          <w:p>
            <w:r/>
            <w:r>
              <w:rPr>
                <w:rFonts w:ascii="Aptos" w:hAnsi="Aptos"/>
                <w:b w:val="0"/>
                <w:sz w:val="15"/>
              </w:rPr>
              <w:t>20.0</w:t>
            </w:r>
          </w:p>
        </w:tc>
        <w:tc>
          <w:tcPr>
            <w:tcW w:type="dxa" w:w="2592"/>
            <w:vAlign w:val="center"/>
          </w:tcPr>
          <w:p>
            <w:r/>
            <w:r>
              <w:rPr>
                <w:rFonts w:ascii="Aptos" w:hAnsi="Aptos"/>
                <w:b w:val="0"/>
                <w:sz w:val="15"/>
              </w:rPr>
              <w:t>1.887</w:t>
            </w:r>
          </w:p>
        </w:tc>
        <w:tc>
          <w:tcPr>
            <w:tcW w:type="dxa" w:w="2592"/>
            <w:vAlign w:val="center"/>
          </w:tcPr>
          <w:p>
            <w:r/>
            <w:r>
              <w:rPr>
                <w:rFonts w:ascii="Aptos" w:hAnsi="Aptos"/>
                <w:b w:val="0"/>
                <w:sz w:val="15"/>
              </w:rPr>
              <w:t>0.03293</w:t>
            </w:r>
          </w:p>
        </w:tc>
      </w:tr>
      <w:tr>
        <w:tc>
          <w:tcPr>
            <w:tcW w:type="dxa" w:w="1440"/>
            <w:vAlign w:val="center"/>
          </w:tcPr>
          <w:p>
            <w:r/>
            <w:r>
              <w:rPr>
                <w:rFonts w:ascii="Aptos" w:hAnsi="Aptos"/>
                <w:b w:val="0"/>
                <w:sz w:val="15"/>
              </w:rPr>
              <w:t>20</w:t>
            </w:r>
          </w:p>
        </w:tc>
        <w:tc>
          <w:tcPr>
            <w:tcW w:type="dxa" w:w="2160"/>
            <w:vAlign w:val="center"/>
          </w:tcPr>
          <w:p>
            <w:r/>
            <w:r>
              <w:rPr>
                <w:rFonts w:ascii="Aptos" w:hAnsi="Aptos"/>
                <w:b w:val="0"/>
                <w:sz w:val="15"/>
              </w:rPr>
              <w:t>10.0</w:t>
            </w:r>
          </w:p>
        </w:tc>
        <w:tc>
          <w:tcPr>
            <w:tcW w:type="dxa" w:w="2592"/>
            <w:vAlign w:val="center"/>
          </w:tcPr>
          <w:p>
            <w:r/>
            <w:r>
              <w:rPr>
                <w:rFonts w:ascii="Aptos" w:hAnsi="Aptos"/>
                <w:b w:val="0"/>
                <w:sz w:val="15"/>
              </w:rPr>
              <w:t>3.774</w:t>
            </w:r>
          </w:p>
        </w:tc>
        <w:tc>
          <w:tcPr>
            <w:tcW w:type="dxa" w:w="2592"/>
            <w:vAlign w:val="center"/>
          </w:tcPr>
          <w:p>
            <w:r/>
            <w:r>
              <w:rPr>
                <w:rFonts w:ascii="Aptos" w:hAnsi="Aptos"/>
                <w:b w:val="0"/>
                <w:sz w:val="15"/>
              </w:rPr>
              <w:t>0.06586</w:t>
            </w:r>
          </w:p>
        </w:tc>
      </w:tr>
    </w:tbl>
    <w:p>
      <w:pPr>
        <w:pStyle w:val="Small"/>
      </w:pPr>
    </w:p>
    <w:p>
      <w:r>
        <w:t>Illustration only: using E = 50.64 MPa and d = 11.1 mm from Gao et al. (2024) and a hypothetical uniform L = 0.20 m solid circular branch gives EI ≈ 0.0377 N·m². The table shows that per-joint stiffness must increase with N to preserve the same physical EI. These values are not proposed as universal tomato parameters; they demonstrate scaling and units.</w:t>
      </w:r>
    </w:p>
    <w:p>
      <w:pPr>
        <w:pStyle w:val="Heading1"/>
      </w:pPr>
      <w:r>
        <w:t>10. Validation protocol before accepting the correction</w:t>
      </w:r>
    </w:p>
    <w:p>
      <w:pPr>
        <w:pStyle w:val="Heading2"/>
      </w:pPr>
      <w:r>
        <w:t>10.1 Static convergence test</w:t>
      </w:r>
    </w:p>
    <w:p>
      <w:pPr>
        <w:pStyle w:val="ListNumber"/>
        <w:spacing w:after="40"/>
      </w:pPr>
      <w:r>
        <w:t>Create one straight cantilever branch with fixed L, diameter profile, density, E/EI, gravity state, and root boundary condition.</w:t>
      </w:r>
    </w:p>
    <w:p>
      <w:pPr>
        <w:pStyle w:val="ListNumber"/>
        <w:spacing w:after="40"/>
      </w:pPr>
      <w:r>
        <w:t>Run N = 3, 5, 10, 20 (and optionally 40) links.</w:t>
      </w:r>
    </w:p>
    <w:p>
      <w:pPr>
        <w:pStyle w:val="ListNumber"/>
        <w:spacing w:after="40"/>
      </w:pPr>
      <w:r>
        <w:t>Apply a small known transverse point force F at the tip. Keep deformation in the linear range and keep joint limits inactive.</w:t>
      </w:r>
    </w:p>
    <w:p>
      <w:pPr>
        <w:pStyle w:val="ListNumber"/>
        <w:spacing w:after="40"/>
      </w:pPr>
      <w:r>
        <w:t>Compare simulated tip deflection with Euler–Bernoulli δtip = F L³ / (3 EI) for a uniform cantilever.</w:t>
      </w:r>
    </w:p>
    <w:p>
      <w:pPr>
        <w:pStyle w:val="ListNumber"/>
        <w:spacing w:after="40"/>
      </w:pPr>
      <w:r>
        <w:t>Require the simulated deflection to converge as N increases. A practical initial acceptance target is &lt;5% difference between N=10 and N=20 and reasonable agreement with the analytical beam.</w:t>
      </w:r>
    </w:p>
    <w:p>
      <w:pPr>
        <w:pStyle w:val="Heading2"/>
      </w:pPr>
      <w:r>
        <w:t>10.2 End-moment test</w:t>
      </w:r>
    </w:p>
    <w:p>
      <w:r>
        <w:t>Apply a known pure end moment M. For a uniform beam, the total tip rotation should be θtip = M L / EI. This test isolates rotational compliance more cleanly than self-weight.</w:t>
      </w:r>
    </w:p>
    <w:p>
      <w:pPr>
        <w:pStyle w:val="Heading2"/>
      </w:pPr>
      <w:r>
        <w:t>10.3 Dynamic test</w:t>
      </w:r>
    </w:p>
    <w:p>
      <w:pPr>
        <w:pStyle w:val="ListNumber"/>
        <w:spacing w:after="40"/>
      </w:pPr>
      <w:r>
        <w:t>Displace the tip by a small amount, release, and record tip position versus time.</w:t>
      </w:r>
    </w:p>
    <w:p>
      <w:pPr>
        <w:pStyle w:val="ListNumber"/>
        <w:spacing w:after="40"/>
      </w:pPr>
      <w:r>
        <w:t>Compare the first natural frequency across N. It should converge.</w:t>
      </w:r>
    </w:p>
    <w:p>
      <w:pPr>
        <w:pStyle w:val="ListNumber"/>
        <w:spacing w:after="40"/>
      </w:pPr>
      <w:r>
        <w:t>Fit the logarithmic decrement / damping ratio from the decay envelope.</w:t>
      </w:r>
    </w:p>
    <w:p>
      <w:pPr>
        <w:pStyle w:val="ListNumber"/>
        <w:spacing w:after="40"/>
      </w:pPr>
      <w:r>
        <w:t>Tune damping only after static stiffness is correct.</w:t>
      </w:r>
    </w:p>
    <w:p>
      <w:pPr>
        <w:pStyle w:val="Heading2"/>
      </w:pPr>
      <w:r>
        <w:t>10.4 Solver robustness controls</w:t>
      </w:r>
    </w:p>
    <w:p>
      <w:pPr>
        <w:pStyle w:val="ListBullet"/>
        <w:spacing w:after="40"/>
      </w:pPr>
      <w:r>
        <w:t>Record physics timestep and substeps.</w:t>
      </w:r>
    </w:p>
    <w:p>
      <w:pPr>
        <w:pStyle w:val="ListBullet"/>
        <w:spacing w:after="40"/>
      </w:pPr>
      <w:r>
        <w:t>Record solver type and position/velocity iteration counts.</w:t>
      </w:r>
    </w:p>
    <w:p>
      <w:pPr>
        <w:pStyle w:val="ListBullet"/>
        <w:spacing w:after="40"/>
      </w:pPr>
      <w:r>
        <w:t>Disable contact between neighboring links during the beam benchmark unless contact is intentionally part of the model.</w:t>
      </w:r>
    </w:p>
    <w:p>
      <w:pPr>
        <w:pStyle w:val="ListBullet"/>
        <w:spacing w:after="40"/>
      </w:pPr>
      <w:r>
        <w:t>Audit mass and inertia ratios between adjacent links.</w:t>
      </w:r>
    </w:p>
    <w:p>
      <w:pPr>
        <w:pStyle w:val="ListBullet"/>
        <w:spacing w:after="40"/>
      </w:pPr>
      <w:r>
        <w:t>Verify that no rotX/rotY limit is reached in the linear benchmark.</w:t>
      </w:r>
    </w:p>
    <w:p>
      <w:pPr>
        <w:pStyle w:val="ListBullet"/>
        <w:spacing w:after="40"/>
      </w:pPr>
      <w:r>
        <w:t>Repeat with increased solver iterations; physical stiffness should not change materially if the solver is converged.</w:t>
      </w:r>
    </w:p>
    <w:p>
      <w:pPr>
        <w:pStyle w:val="Heading1"/>
      </w:pPr>
      <w:r>
        <w:t>11. Recommended repository changes</w:t>
      </w:r>
    </w:p>
    <w:tbl>
      <w:tblPr>
        <w:tblStyle w:val="TableGrid"/>
        <w:tblW w:type="auto" w:w="0"/>
        <w:jc w:val="center"/>
        <w:tblLook w:firstColumn="1" w:firstRow="1" w:lastColumn="0" w:lastRow="0" w:noHBand="0" w:noVBand="1" w:val="04A0"/>
      </w:tblPr>
      <w:tblGrid>
        <w:gridCol w:w="3360"/>
        <w:gridCol w:w="3360"/>
        <w:gridCol w:w="3360"/>
      </w:tblGrid>
      <w:tr>
        <w:tc>
          <w:tcPr>
            <w:tcW w:type="dxa" w:w="864"/>
            <w:vAlign w:val="center"/>
            <w:shd w:fill="D9EAF7"/>
          </w:tcPr>
          <w:p>
            <w:r/>
            <w:r>
              <w:rPr>
                <w:rFonts w:ascii="Aptos" w:hAnsi="Aptos"/>
                <w:b/>
                <w:sz w:val="16"/>
              </w:rPr>
              <w:t>Priority</w:t>
            </w:r>
          </w:p>
        </w:tc>
        <w:tc>
          <w:tcPr>
            <w:tcW w:type="dxa" w:w="3744"/>
            <w:vAlign w:val="center"/>
            <w:shd w:fill="D9EAF7"/>
          </w:tcPr>
          <w:p>
            <w:r/>
            <w:r>
              <w:rPr>
                <w:rFonts w:ascii="Aptos" w:hAnsi="Aptos"/>
                <w:b/>
                <w:sz w:val="16"/>
              </w:rPr>
              <w:t>File / area</w:t>
            </w:r>
          </w:p>
        </w:tc>
        <w:tc>
          <w:tcPr>
            <w:tcW w:type="dxa" w:w="6192"/>
            <w:vAlign w:val="center"/>
            <w:shd w:fill="D9EAF7"/>
          </w:tcPr>
          <w:p>
            <w:r/>
            <w:r>
              <w:rPr>
                <w:rFonts w:ascii="Aptos" w:hAnsi="Aptos"/>
                <w:b/>
                <w:sz w:val="16"/>
              </w:rPr>
              <w:t>Recommended change</w:t>
            </w:r>
          </w:p>
        </w:tc>
      </w:tr>
      <w:tr>
        <w:tc>
          <w:tcPr>
            <w:tcW w:type="dxa" w:w="864"/>
            <w:vAlign w:val="center"/>
          </w:tcPr>
          <w:p>
            <w:r/>
            <w:r>
              <w:rPr>
                <w:rFonts w:ascii="Aptos" w:hAnsi="Aptos"/>
                <w:b w:val="0"/>
                <w:sz w:val="15"/>
              </w:rPr>
              <w:t>P0</w:t>
            </w:r>
          </w:p>
        </w:tc>
        <w:tc>
          <w:tcPr>
            <w:tcW w:type="dxa" w:w="3744"/>
            <w:vAlign w:val="center"/>
          </w:tcPr>
          <w:p>
            <w:r/>
            <w:r>
              <w:rPr>
                <w:rFonts w:ascii="Aptos" w:hAnsi="Aptos"/>
                <w:b w:val="0"/>
                <w:sz w:val="15"/>
              </w:rPr>
              <w:t>articulation_subbranch/generate_articulation_usda.py</w:t>
            </w:r>
          </w:p>
        </w:tc>
        <w:tc>
          <w:tcPr>
            <w:tcW w:type="dxa" w:w="6192"/>
            <w:vAlign w:val="center"/>
          </w:tcPr>
          <w:p>
            <w:r/>
            <w:r>
              <w:rPr>
                <w:rFonts w:ascii="Aptos" w:hAnsi="Aptos"/>
                <w:b w:val="0"/>
                <w:sz w:val="15"/>
              </w:rPr>
              <w:t>Author metersPerUnit = 1.0 and intended mass units explicitly.</w:t>
            </w:r>
          </w:p>
        </w:tc>
      </w:tr>
      <w:tr>
        <w:tc>
          <w:tcPr>
            <w:tcW w:type="dxa" w:w="864"/>
            <w:vAlign w:val="center"/>
          </w:tcPr>
          <w:p>
            <w:r/>
            <w:r>
              <w:rPr>
                <w:rFonts w:ascii="Aptos" w:hAnsi="Aptos"/>
                <w:b w:val="0"/>
                <w:sz w:val="15"/>
              </w:rPr>
              <w:t>P0</w:t>
            </w:r>
          </w:p>
        </w:tc>
        <w:tc>
          <w:tcPr>
            <w:tcW w:type="dxa" w:w="3744"/>
            <w:vAlign w:val="center"/>
          </w:tcPr>
          <w:p>
            <w:r/>
            <w:r>
              <w:rPr>
                <w:rFonts w:ascii="Aptos" w:hAnsi="Aptos"/>
                <w:b w:val="0"/>
                <w:sz w:val="15"/>
              </w:rPr>
              <w:t>articulation_subbranch</w:t>
            </w:r>
          </w:p>
        </w:tc>
        <w:tc>
          <w:tcPr>
            <w:tcW w:type="dxa" w:w="6192"/>
            <w:vAlign w:val="center"/>
          </w:tcPr>
          <w:p>
            <w:r/>
            <w:r>
              <w:rPr>
                <w:rFonts w:ascii="Aptos" w:hAnsi="Aptos"/>
                <w:b w:val="0"/>
                <w:sz w:val="15"/>
              </w:rPr>
              <w:t>Make total branch length fixed; derive link length and mass from N.</w:t>
            </w:r>
          </w:p>
        </w:tc>
      </w:tr>
      <w:tr>
        <w:tc>
          <w:tcPr>
            <w:tcW w:type="dxa" w:w="864"/>
            <w:vAlign w:val="center"/>
          </w:tcPr>
          <w:p>
            <w:r/>
            <w:r>
              <w:rPr>
                <w:rFonts w:ascii="Aptos" w:hAnsi="Aptos"/>
                <w:b w:val="0"/>
                <w:sz w:val="15"/>
              </w:rPr>
              <w:t>P0</w:t>
            </w:r>
          </w:p>
        </w:tc>
        <w:tc>
          <w:tcPr>
            <w:tcW w:type="dxa" w:w="3744"/>
            <w:vAlign w:val="center"/>
          </w:tcPr>
          <w:p>
            <w:r/>
            <w:r>
              <w:rPr>
                <w:rFonts w:ascii="Aptos" w:hAnsi="Aptos"/>
                <w:b w:val="0"/>
                <w:sz w:val="15"/>
              </w:rPr>
              <w:t>usd_exporter_v2.py</w:t>
            </w:r>
          </w:p>
        </w:tc>
        <w:tc>
          <w:tcPr>
            <w:tcW w:type="dxa" w:w="6192"/>
            <w:vAlign w:val="center"/>
          </w:tcPr>
          <w:p>
            <w:r/>
            <w:r>
              <w:rPr>
                <w:rFonts w:ascii="Aptos" w:hAnsi="Aptos"/>
                <w:b w:val="0"/>
                <w:sz w:val="15"/>
              </w:rPr>
              <w:t>Derive every D6 bend stiffness from local EI and control length.</w:t>
            </w:r>
          </w:p>
        </w:tc>
      </w:tr>
      <w:tr>
        <w:tc>
          <w:tcPr>
            <w:tcW w:type="dxa" w:w="864"/>
            <w:vAlign w:val="center"/>
          </w:tcPr>
          <w:p>
            <w:r/>
            <w:r>
              <w:rPr>
                <w:rFonts w:ascii="Aptos" w:hAnsi="Aptos"/>
                <w:b w:val="0"/>
                <w:sz w:val="15"/>
              </w:rPr>
              <w:t>P0</w:t>
            </w:r>
          </w:p>
        </w:tc>
        <w:tc>
          <w:tcPr>
            <w:tcW w:type="dxa" w:w="3744"/>
            <w:vAlign w:val="center"/>
          </w:tcPr>
          <w:p>
            <w:r/>
            <w:r>
              <w:rPr>
                <w:rFonts w:ascii="Aptos" w:hAnsi="Aptos"/>
                <w:b w:val="0"/>
                <w:sz w:val="15"/>
              </w:rPr>
              <w:t>constants.py</w:t>
            </w:r>
          </w:p>
        </w:tc>
        <w:tc>
          <w:tcPr>
            <w:tcW w:type="dxa" w:w="6192"/>
            <w:vAlign w:val="center"/>
          </w:tcPr>
          <w:p>
            <w:r/>
            <w:r>
              <w:rPr>
                <w:rFonts w:ascii="Aptos" w:hAnsi="Aptos"/>
                <w:b w:val="0"/>
                <w:sz w:val="15"/>
              </w:rPr>
              <w:t>Stop labeling direct USD drive gains as N·m/rad unless converted; explicitly encode *_PER_DEG or conversion helpers.</w:t>
            </w:r>
          </w:p>
        </w:tc>
      </w:tr>
      <w:tr>
        <w:tc>
          <w:tcPr>
            <w:tcW w:type="dxa" w:w="864"/>
            <w:vAlign w:val="center"/>
          </w:tcPr>
          <w:p>
            <w:r/>
            <w:r>
              <w:rPr>
                <w:rFonts w:ascii="Aptos" w:hAnsi="Aptos"/>
                <w:b w:val="0"/>
                <w:sz w:val="15"/>
              </w:rPr>
              <w:t>P1</w:t>
            </w:r>
          </w:p>
        </w:tc>
        <w:tc>
          <w:tcPr>
            <w:tcW w:type="dxa" w:w="3744"/>
            <w:vAlign w:val="center"/>
          </w:tcPr>
          <w:p>
            <w:r/>
            <w:r>
              <w:rPr>
                <w:rFonts w:ascii="Aptos" w:hAnsi="Aptos"/>
                <w:b w:val="0"/>
                <w:sz w:val="15"/>
              </w:rPr>
              <w:t>plant model data</w:t>
            </w:r>
          </w:p>
        </w:tc>
        <w:tc>
          <w:tcPr>
            <w:tcW w:type="dxa" w:w="6192"/>
            <w:vAlign w:val="center"/>
          </w:tcPr>
          <w:p>
            <w:r/>
            <w:r>
              <w:rPr>
                <w:rFonts w:ascii="Aptos" w:hAnsi="Aptos"/>
                <w:b w:val="0"/>
                <w:sz w:val="15"/>
              </w:rPr>
              <w:t>Add structural modulus E or directly calibrated EI per internode/branch.</w:t>
            </w:r>
          </w:p>
        </w:tc>
      </w:tr>
      <w:tr>
        <w:tc>
          <w:tcPr>
            <w:tcW w:type="dxa" w:w="864"/>
            <w:vAlign w:val="center"/>
          </w:tcPr>
          <w:p>
            <w:r/>
            <w:r>
              <w:rPr>
                <w:rFonts w:ascii="Aptos" w:hAnsi="Aptos"/>
                <w:b w:val="0"/>
                <w:sz w:val="15"/>
              </w:rPr>
              <w:t>P1</w:t>
            </w:r>
          </w:p>
        </w:tc>
        <w:tc>
          <w:tcPr>
            <w:tcW w:type="dxa" w:w="3744"/>
            <w:vAlign w:val="center"/>
          </w:tcPr>
          <w:p>
            <w:r/>
            <w:r>
              <w:rPr>
                <w:rFonts w:ascii="Aptos" w:hAnsi="Aptos"/>
                <w:b w:val="0"/>
                <w:sz w:val="15"/>
              </w:rPr>
              <w:t>usd_exporter_v2.py</w:t>
            </w:r>
          </w:p>
        </w:tc>
        <w:tc>
          <w:tcPr>
            <w:tcW w:type="dxa" w:w="6192"/>
            <w:vAlign w:val="center"/>
          </w:tcPr>
          <w:p>
            <w:r/>
            <w:r>
              <w:rPr>
                <w:rFonts w:ascii="Aptos" w:hAnsi="Aptos"/>
                <w:b w:val="0"/>
                <w:sz w:val="15"/>
              </w:rPr>
              <w:t>Use local diameter (and preferably non-solid cross-section where data exist) in I.</w:t>
            </w:r>
          </w:p>
        </w:tc>
      </w:tr>
      <w:tr>
        <w:tc>
          <w:tcPr>
            <w:tcW w:type="dxa" w:w="864"/>
            <w:vAlign w:val="center"/>
          </w:tcPr>
          <w:p>
            <w:r/>
            <w:r>
              <w:rPr>
                <w:rFonts w:ascii="Aptos" w:hAnsi="Aptos"/>
                <w:b w:val="0"/>
                <w:sz w:val="15"/>
              </w:rPr>
              <w:t>P1</w:t>
            </w:r>
          </w:p>
        </w:tc>
        <w:tc>
          <w:tcPr>
            <w:tcW w:type="dxa" w:w="3744"/>
            <w:vAlign w:val="center"/>
          </w:tcPr>
          <w:p>
            <w:r/>
            <w:r>
              <w:rPr>
                <w:rFonts w:ascii="Aptos" w:hAnsi="Aptos"/>
                <w:b w:val="0"/>
                <w:sz w:val="15"/>
              </w:rPr>
              <w:t>physics test suite</w:t>
            </w:r>
          </w:p>
        </w:tc>
        <w:tc>
          <w:tcPr>
            <w:tcW w:type="dxa" w:w="6192"/>
            <w:vAlign w:val="center"/>
          </w:tcPr>
          <w:p>
            <w:r/>
            <w:r>
              <w:rPr>
                <w:rFonts w:ascii="Aptos" w:hAnsi="Aptos"/>
                <w:b w:val="0"/>
                <w:sz w:val="15"/>
              </w:rPr>
              <w:t>Add static cantilever discretization-convergence benchmark.</w:t>
            </w:r>
          </w:p>
        </w:tc>
      </w:tr>
      <w:tr>
        <w:tc>
          <w:tcPr>
            <w:tcW w:type="dxa" w:w="864"/>
            <w:vAlign w:val="center"/>
          </w:tcPr>
          <w:p>
            <w:r/>
            <w:r>
              <w:rPr>
                <w:rFonts w:ascii="Aptos" w:hAnsi="Aptos"/>
                <w:b w:val="0"/>
                <w:sz w:val="15"/>
              </w:rPr>
              <w:t>P1</w:t>
            </w:r>
          </w:p>
        </w:tc>
        <w:tc>
          <w:tcPr>
            <w:tcW w:type="dxa" w:w="3744"/>
            <w:vAlign w:val="center"/>
          </w:tcPr>
          <w:p>
            <w:r/>
            <w:r>
              <w:rPr>
                <w:rFonts w:ascii="Aptos" w:hAnsi="Aptos"/>
                <w:b w:val="0"/>
                <w:sz w:val="15"/>
              </w:rPr>
              <w:t>physics test suite</w:t>
            </w:r>
          </w:p>
        </w:tc>
        <w:tc>
          <w:tcPr>
            <w:tcW w:type="dxa" w:w="6192"/>
            <w:vAlign w:val="center"/>
          </w:tcPr>
          <w:p>
            <w:r/>
            <w:r>
              <w:rPr>
                <w:rFonts w:ascii="Aptos" w:hAnsi="Aptos"/>
                <w:b w:val="0"/>
                <w:sz w:val="15"/>
              </w:rPr>
              <w:t>Add free-decay/natural-frequency benchmark.</w:t>
            </w:r>
          </w:p>
        </w:tc>
      </w:tr>
      <w:tr>
        <w:tc>
          <w:tcPr>
            <w:tcW w:type="dxa" w:w="864"/>
            <w:vAlign w:val="center"/>
          </w:tcPr>
          <w:p>
            <w:r/>
            <w:r>
              <w:rPr>
                <w:rFonts w:ascii="Aptos" w:hAnsi="Aptos"/>
                <w:b w:val="0"/>
                <w:sz w:val="15"/>
              </w:rPr>
              <w:t>P2</w:t>
            </w:r>
          </w:p>
        </w:tc>
        <w:tc>
          <w:tcPr>
            <w:tcW w:type="dxa" w:w="3744"/>
            <w:vAlign w:val="center"/>
          </w:tcPr>
          <w:p>
            <w:r/>
            <w:r>
              <w:rPr>
                <w:rFonts w:ascii="Aptos" w:hAnsi="Aptos"/>
                <w:b w:val="0"/>
                <w:sz w:val="15"/>
              </w:rPr>
              <w:t>damping model</w:t>
            </w:r>
          </w:p>
        </w:tc>
        <w:tc>
          <w:tcPr>
            <w:tcW w:type="dxa" w:w="6192"/>
            <w:vAlign w:val="center"/>
          </w:tcPr>
          <w:p>
            <w:r/>
            <w:r>
              <w:rPr>
                <w:rFonts w:ascii="Aptos" w:hAnsi="Aptos"/>
                <w:b w:val="0"/>
                <w:sz w:val="15"/>
              </w:rPr>
              <w:t>Replace global constant damping with a calibrated continuum-scaled damping model.</w:t>
            </w:r>
          </w:p>
        </w:tc>
      </w:tr>
      <w:tr>
        <w:tc>
          <w:tcPr>
            <w:tcW w:type="dxa" w:w="864"/>
            <w:vAlign w:val="center"/>
          </w:tcPr>
          <w:p>
            <w:r/>
            <w:r>
              <w:rPr>
                <w:rFonts w:ascii="Aptos" w:hAnsi="Aptos"/>
                <w:b w:val="0"/>
                <w:sz w:val="15"/>
              </w:rPr>
              <w:t>P2</w:t>
            </w:r>
          </w:p>
        </w:tc>
        <w:tc>
          <w:tcPr>
            <w:tcW w:type="dxa" w:w="3744"/>
            <w:vAlign w:val="center"/>
          </w:tcPr>
          <w:p>
            <w:r/>
            <w:r>
              <w:rPr>
                <w:rFonts w:ascii="Aptos" w:hAnsi="Aptos"/>
                <w:b w:val="0"/>
                <w:sz w:val="15"/>
              </w:rPr>
              <w:t>solver config</w:t>
            </w:r>
          </w:p>
        </w:tc>
        <w:tc>
          <w:tcPr>
            <w:tcW w:type="dxa" w:w="6192"/>
            <w:vAlign w:val="center"/>
          </w:tcPr>
          <w:p>
            <w:r/>
            <w:r>
              <w:rPr>
                <w:rFonts w:ascii="Aptos" w:hAnsi="Aptos"/>
                <w:b w:val="0"/>
                <w:sz w:val="15"/>
              </w:rPr>
              <w:t>Expose/record timestep and solver iterations for reproducibility.</w:t>
            </w:r>
          </w:p>
        </w:tc>
      </w:tr>
      <w:tr>
        <w:tc>
          <w:tcPr>
            <w:tcW w:type="dxa" w:w="864"/>
            <w:vAlign w:val="center"/>
          </w:tcPr>
          <w:p>
            <w:r/>
            <w:r>
              <w:rPr>
                <w:rFonts w:ascii="Aptos" w:hAnsi="Aptos"/>
                <w:b w:val="0"/>
                <w:sz w:val="15"/>
              </w:rPr>
              <w:t>P2</w:t>
            </w:r>
          </w:p>
        </w:tc>
        <w:tc>
          <w:tcPr>
            <w:tcW w:type="dxa" w:w="3744"/>
            <w:vAlign w:val="center"/>
          </w:tcPr>
          <w:p>
            <w:r/>
            <w:r>
              <w:rPr>
                <w:rFonts w:ascii="Aptos" w:hAnsi="Aptos"/>
                <w:b w:val="0"/>
                <w:sz w:val="15"/>
              </w:rPr>
              <w:t>GLOBAL_SCALE</w:t>
            </w:r>
          </w:p>
        </w:tc>
        <w:tc>
          <w:tcPr>
            <w:tcW w:type="dxa" w:w="6192"/>
            <w:vAlign w:val="center"/>
          </w:tcPr>
          <w:p>
            <w:r/>
            <w:r>
              <w:rPr>
                <w:rFonts w:ascii="Aptos" w:hAnsi="Aptos"/>
                <w:b w:val="0"/>
                <w:sz w:val="15"/>
              </w:rPr>
              <w:t>Re-derive scaling law if GLOBAL_SCALE ≠ 1; do not rely on scale^5 without a unit-consistent similarity derivation.</w:t>
            </w:r>
          </w:p>
        </w:tc>
      </w:tr>
    </w:tbl>
    <w:p>
      <w:pPr>
        <w:pStyle w:val="Small"/>
      </w:pPr>
    </w:p>
    <w:p>
      <w:pPr>
        <w:pStyle w:val="Heading1"/>
      </w:pPr>
      <w:r>
        <w:t>12. Note on GLOBAL_SCALE</w:t>
      </w:r>
    </w:p>
    <w:p>
      <w:r>
        <w:t>The repository currently multiplies masses by GLOBAL_SCALE³ in some experimental code and joint gains by GLOBAL_SCALE⁵, while the production V2 stem computes mass from unscaled ('real') dimensions and still multiplies joint gains by GLOBAL_SCALE⁵. Those choices are not mutually consistent similarity transformations. Because GLOBAL_SCALE is currently 1.0, this does not affect the present run, but it should be corrected before using a non-unit scale.</w:t>
      </w:r>
    </w:p>
    <w:p>
      <w:r>
        <w:t>For a physically scaled beam with unchanged E and all lengths multiplied by s, I scales as s⁴ and kθ = EI/ℓ scales as s³. If mass is intentionally kept at the original biological value while geometry is enlarged only for numerical robustness, the required torque scaling is different again. Therefore the scale law must follow the chosen similarity objective rather than a hard-coded exponent.</w:t>
      </w:r>
    </w:p>
    <w:p>
      <w:pPr>
        <w:pStyle w:val="Heading1"/>
      </w:pPr>
      <w:r>
        <w:t>13. Proposed implementation strategy</w:t>
      </w:r>
    </w:p>
    <w:p>
      <w:pPr>
        <w:pStyle w:val="ListNumber"/>
        <w:spacing w:after="40"/>
      </w:pPr>
      <w:r>
        <w:t>Introduce a mechanical-properties layer that returns EI for any stem/branch segment.</w:t>
      </w:r>
    </w:p>
    <w:p>
      <w:pPr>
        <w:pStyle w:val="ListNumber"/>
        <w:spacing w:after="40"/>
      </w:pPr>
      <w:r>
        <w:t>Build the complete rigid-link geometry first, retaining each segment’s physical length, diameter/cross-section and EI.</w:t>
      </w:r>
    </w:p>
    <w:p>
      <w:pPr>
        <w:pStyle w:val="ListNumber"/>
        <w:spacing w:after="40"/>
      </w:pPr>
      <w:r>
        <w:t>Create joints in a second pass so each joint has access to both adjacent segment properties.</w:t>
      </w:r>
    </w:p>
    <w:p>
      <w:pPr>
        <w:pStyle w:val="ListNumber"/>
        <w:spacing w:after="40"/>
      </w:pPr>
      <w:r>
        <w:t>Compute kθ,rad from bending compliance over the two half-segments.</w:t>
      </w:r>
    </w:p>
    <w:p>
      <w:pPr>
        <w:pStyle w:val="ListNumber"/>
        <w:spacing w:after="40"/>
      </w:pPr>
      <w:r>
        <w:t>Convert kθ,rad to USD per-degree units immediately before CreateStiffnessAttr().</w:t>
      </w:r>
    </w:p>
    <w:p>
      <w:pPr>
        <w:pStyle w:val="ListNumber"/>
        <w:spacing w:after="40"/>
      </w:pPr>
      <w:r>
        <w:t>Temporarily use a low/calibrated damping; do not tune damping to compensate for static errors.</w:t>
      </w:r>
    </w:p>
    <w:p>
      <w:pPr>
        <w:pStyle w:val="ListNumber"/>
        <w:spacing w:after="40"/>
      </w:pPr>
      <w:r>
        <w:t>Add automated N-convergence tests before tuning biological parameters.</w:t>
      </w:r>
    </w:p>
    <w:p>
      <w:pPr>
        <w:pStyle w:val="ListNumber"/>
        <w:spacing w:after="40"/>
      </w:pPr>
      <w:r>
        <w:t>Only after numerical convergence, fit EI(s) and damping to plant measurements.</w:t>
      </w:r>
    </w:p>
    <w:p>
      <w:pPr>
        <w:pStyle w:val="Heading1"/>
      </w:pPr>
      <w:r>
        <w:t>14. Suggested code-level API</w:t>
      </w:r>
    </w:p>
    <w:p>
      <w:pPr>
        <w:pStyle w:val="CodeBlock"/>
      </w:pPr>
      <w:r>
        <w:t>@dataclass</w:t>
        <w:br/>
        <w:t>class SegmentMechanicalProps:</w:t>
        <w:br/>
        <w:t xml:space="preserve">    length_m: float</w:t>
        <w:br/>
        <w:t xml:space="preserve">    diameter_m: float</w:t>
        <w:br/>
        <w:t xml:space="preserve">    density_kg_m3: float</w:t>
        <w:br/>
        <w:t xml:space="preserve">    E_pa: float | None = None</w:t>
        <w:br/>
        <w:t xml:space="preserve">    EI_nm2: float | None = None</w:t>
        <w:br/>
        <w:br/>
        <w:t xml:space="preserve">    def resolved_EI(self) -&gt; float:</w:t>
        <w:br/>
        <w:t xml:space="preserve">        if self.EI_nm2 is not None:</w:t>
        <w:br/>
        <w:t xml:space="preserve">            return self.EI_nm2</w:t>
        <w:br/>
        <w:t xml:space="preserve">        if self.E_pa is None:</w:t>
        <w:br/>
        <w:t xml:space="preserve">            raise ValueError("Need either EI or E")</w:t>
        <w:br/>
        <w:t xml:space="preserve">        I = math.pi * self.diameter_m**4 / 64.0</w:t>
        <w:br/>
        <w:t xml:space="preserve">        return self.E_pa * I</w:t>
        <w:br/>
        <w:br/>
        <w:br/>
        <w:t>def joint_bending_gain_usd(left, right) -&gt; float:</w:t>
        <w:br/>
        <w:t xml:space="preserve">    EI_l = left.resolved_EI()</w:t>
        <w:br/>
        <w:t xml:space="preserve">    EI_r = right.resolved_EI()</w:t>
        <w:br/>
        <w:t xml:space="preserve">    comp_rad_per_nm = (</w:t>
        <w:br/>
        <w:t xml:space="preserve">        left.length_m / (2.0 * EI_l)</w:t>
        <w:br/>
        <w:t xml:space="preserve">        + right.length_m / (2.0 * EI_r)</w:t>
        <w:br/>
        <w:t xml:space="preserve">    )</w:t>
        <w:br/>
        <w:t xml:space="preserve">    k_nm_per_rad = 1.0 / comp_rad_per_nm</w:t>
        <w:br/>
        <w:t xml:space="preserve">    return k_nm_per_rad * math.pi / 180.0</w:t>
      </w:r>
    </w:p>
    <w:p>
      <w:r>
        <w:t>This API makes the discretization dependence explicit and testable. It also allows later replacement of the circular-section approximation without changing joint construction.</w:t>
      </w:r>
    </w:p>
    <w:p>
      <w:pPr>
        <w:pStyle w:val="Heading1"/>
      </w:pPr>
      <w:r>
        <w:t>15. Final assessment</w:t>
      </w:r>
    </w:p>
    <w:p>
      <w:r>
        <w:rPr>
          <w:b/>
        </w:rPr>
        <w:t xml:space="preserve">Is the current idea biologically reasonable? </w:t>
      </w:r>
      <w:r>
        <w:t>Yes at the architectural level: a plant axis represented as a chain of rigid pieces with elastic rotational compliance is a reasonable reduced-order abstraction.</w:t>
      </w:r>
    </w:p>
    <w:p>
      <w:r>
        <w:rPr>
          <w:b/>
        </w:rPr>
        <w:t xml:space="preserve">Is the current numerical parameterization physically correct? </w:t>
      </w:r>
      <w:r>
        <w:t>Not yet. The main deficiencies are lack of discretization scaling, weak connection between stiffness and local geometry/material properties, USD degree-vs-radian gain mismatch, and invalid joint-count comparisons in the experimental subbranch generator.</w:t>
      </w:r>
    </w:p>
    <w:p>
      <w:r>
        <w:rPr>
          <w:b/>
        </w:rPr>
        <w:t xml:space="preserve">Should ten joints intrinsically make the same branch harder than three? </w:t>
      </w:r>
      <w:r>
        <w:t>No. Joint count is a numerical resolution parameter, not a biological stiffness parameter. After correct scaling, 3, 10, and 20 joints should approach the same static branch response. If a higher-resolution chain remains substantially harder, the next investigation should focus on changed geometry/mass, contacts, limits, solver convergence, and unit configuration.</w:t>
      </w:r>
    </w:p>
    <w:p>
      <w:r>
        <w:rPr>
          <w:b/>
        </w:rPr>
        <w:t xml:space="preserve">Recommended next state: </w:t>
      </w:r>
      <w:r>
        <w:t>Use EI-based per-joint stiffness with explicit degree conversion, fixed-geometry convergence benchmarks, and experimental calibration of EI and damping. This converts the model from visually tuned joint gains into a mechanically interpretable digital-twin model.</w:t>
      </w:r>
    </w:p>
    <w:p>
      <w:pPr>
        <w:pStyle w:val="Heading1"/>
      </w:pPr>
      <w:r>
        <w:t>References</w:t>
      </w:r>
    </w:p>
    <w:p>
      <w:pPr>
        <w:pStyle w:val="Small"/>
        <w:spacing w:after="20" w:line="240" w:lineRule="auto"/>
        <w:ind w:left="216" w:hanging="216"/>
      </w:pPr>
      <w:r>
        <w:rPr>
          <w:sz w:val="14"/>
        </w:rPr>
        <w:t>[1] OpenUSD. UsdPhysicsDriveAPI Class Reference. Describes the implicit spring-damper drive law and angular units (degrees, degrees/s). https://openusd.org/release/api/class_usd_physics_drive_a_p_i.html</w:t>
      </w:r>
    </w:p>
    <w:p>
      <w:pPr>
        <w:pStyle w:val="Small"/>
        <w:spacing w:after="20" w:line="240" w:lineRule="auto"/>
        <w:ind w:left="216" w:hanging="216"/>
      </w:pPr>
      <w:r>
        <w:rPr>
          <w:sz w:val="14"/>
        </w:rPr>
        <w:t>[2] OpenUSD. USD Physics Schema. D6 joint descriptors, locked-axis convention, and drive equation. https://openusd.org/release/api/usd_physics_page_front.html</w:t>
      </w:r>
    </w:p>
    <w:p>
      <w:pPr>
        <w:pStyle w:val="Small"/>
        <w:spacing w:after="20" w:line="240" w:lineRule="auto"/>
        <w:ind w:left="216" w:hanging="216"/>
      </w:pPr>
      <w:r>
        <w:rPr>
          <w:sz w:val="14"/>
        </w:rPr>
        <w:t>[3] NVIDIA PhysX SDK. Joints — Configuring PhysX Joint Types for Best Behavior. Iterative solver convergence, mass-ratio guidance, solver iterations. https://nvidia-omniverse.github.io/PhysX/physx/5.4.0/docs/Joints.html</w:t>
      </w:r>
    </w:p>
    <w:p>
      <w:pPr>
        <w:pStyle w:val="Small"/>
        <w:spacing w:after="20" w:line="240" w:lineRule="auto"/>
        <w:ind w:left="216" w:hanging="216"/>
      </w:pPr>
      <w:r>
        <w:rPr>
          <w:sz w:val="14"/>
        </w:rPr>
        <w:t>[4] NVIDIA. Articulation and Robot Simulation Stability Guide. Natural frequency, damping ratio, inertia, timestep, and solver guidance. https://nvidia-omniverse.github.io/PhysX/ovphysx/latest/guides/articulation_stability.html</w:t>
      </w:r>
    </w:p>
    <w:p>
      <w:pPr>
        <w:pStyle w:val="Small"/>
        <w:spacing w:after="20" w:line="240" w:lineRule="auto"/>
        <w:ind w:left="216" w:hanging="216"/>
      </w:pPr>
      <w:r>
        <w:rPr>
          <w:sz w:val="14"/>
        </w:rPr>
        <w:t>[5] OpenUSD. Encoding Stage Linear Units. Fallback metersPerUnit = 0.01 if unauthored. https://openusd.org/release/api/group___usd_geom_linear_units__group.html</w:t>
      </w:r>
    </w:p>
    <w:p>
      <w:pPr>
        <w:pStyle w:val="Small"/>
        <w:spacing w:after="20" w:line="240" w:lineRule="auto"/>
        <w:ind w:left="216" w:hanging="216"/>
      </w:pPr>
      <w:r>
        <w:rPr>
          <w:sz w:val="14"/>
        </w:rPr>
        <w:t>[6] NVIDIA Omniverse Asset Requirements. meters-per-unit requirement; physics simulations require explicit physical dimensions. https://docs.omniverse.nvidia.com/kit/docs/asset-requirements/1.15.1/capabilities/core/units/requirements/meters-per-unit.html</w:t>
      </w:r>
    </w:p>
    <w:p>
      <w:pPr>
        <w:pStyle w:val="Small"/>
        <w:spacing w:after="20" w:line="240" w:lineRule="auto"/>
        <w:ind w:left="216" w:hanging="216"/>
      </w:pPr>
      <w:r>
        <w:rPr>
          <w:sz w:val="14"/>
        </w:rPr>
        <w:t>[7] Coutand C, Julien JL, Moulia B, Mauget JC, Guitard D. Biomechanical study of the effect of a controlled bending on tomato stem elongation: global mechanical analysis. Journal of Experimental Botany. 2000;51(352):1813-1824. doi:10.1093/jexbot/51.352.1813.</w:t>
      </w:r>
    </w:p>
    <w:p>
      <w:pPr>
        <w:pStyle w:val="Small"/>
        <w:spacing w:after="20" w:line="240" w:lineRule="auto"/>
        <w:ind w:left="216" w:hanging="216"/>
      </w:pPr>
      <w:r>
        <w:rPr>
          <w:sz w:val="14"/>
        </w:rPr>
        <w:t>[8] Coutand C, Moulia B. Biomechanical study of the effect of a controlled bending on tomato stem elongation: local strain sensing and spatial integration of the signal. Journal of Experimental Botany. 2000;51(352):1825-1842. doi:10.1093/jexbot/51.352.1825.</w:t>
      </w:r>
    </w:p>
    <w:p>
      <w:pPr>
        <w:pStyle w:val="Small"/>
        <w:spacing w:after="20" w:line="240" w:lineRule="auto"/>
        <w:ind w:left="216" w:hanging="216"/>
      </w:pPr>
      <w:r>
        <w:rPr>
          <w:sz w:val="14"/>
        </w:rPr>
        <w:t>[9] Gao Q, Cheng L, Wang R, Chen M, Zhao W, Fu J, Wang Z. Discrete Element Model Building and Optimization of Tomato Stalks at Harvest. Agriculture. 2024;14(4):531. doi:10.3390/agriculture14040531.</w:t>
      </w:r>
    </w:p>
    <w:p>
      <w:pPr>
        <w:pStyle w:val="Small"/>
        <w:spacing w:after="20" w:line="240" w:lineRule="auto"/>
        <w:ind w:left="216" w:hanging="216"/>
      </w:pPr>
      <w:r>
        <w:rPr>
          <w:sz w:val="14"/>
        </w:rPr>
        <w:t>[10] Robertson DJ et al. Axial variation in flexural stiffness of plant stem segments: measurement methods and the influence of measurement uncertainty. Plant Methods. 2021. PMCID: PMC8499455.</w:t>
      </w:r>
    </w:p>
    <w:p>
      <w:pPr>
        <w:pStyle w:val="Small"/>
        <w:spacing w:after="20" w:line="240" w:lineRule="auto"/>
        <w:ind w:left="216" w:hanging="216"/>
      </w:pPr>
      <w:r>
        <w:rPr>
          <w:sz w:val="14"/>
        </w:rPr>
        <w:t>[11] Bergou M, Wardetzky M, Robinson S, Audoly B, Grinspun E. Discrete Elastic Rods. ACM Transactions on Graphics. 2008;27(3):63. https://www.cs.columbia.edu/cg/rods/</w:t>
      </w:r>
    </w:p>
    <w:p>
      <w:pPr>
        <w:pStyle w:val="Small"/>
        <w:spacing w:after="20" w:line="240" w:lineRule="auto"/>
        <w:ind w:left="216" w:hanging="216"/>
      </w:pPr>
      <w:r>
        <w:rPr>
          <w:sz w:val="14"/>
        </w:rPr>
        <w:t>[12] Niklas / plant biomechanics literature summarized in: Mechanical properties and structure–function trade-offs in secondary xylem of young roots and stems. Journal of Experimental Botany. 2019;70(14):3679-3692. Circular-section second moment I = πD⁴/64 and structural bending modulus definitions.</w:t>
      </w:r>
    </w:p>
    <w:p>
      <w:pPr>
        <w:pStyle w:val="Small"/>
        <w:spacing w:after="20" w:line="240" w:lineRule="auto"/>
        <w:ind w:left="216" w:hanging="216"/>
      </w:pPr>
      <w:r>
        <w:rPr>
          <w:sz w:val="14"/>
        </w:rPr>
        <w:t>[13] Bao B et al. Stem bending reduces internode elongation and enhances stem diameter in tomato, with potential involvement of jasmonate-gibberellin and jasmonate-abscisic acid signaling. Plant Physiology and Biochemistry. 2026;234:111329. doi:10.1016/j.plaphy.2026.111329.</w:t>
      </w:r>
    </w:p>
    <w:p>
      <w:pPr>
        <w:pStyle w:val="Heading1"/>
      </w:pPr>
      <w:r>
        <w:t>Repository evidence reviewed</w:t>
      </w:r>
    </w:p>
    <w:p>
      <w:pPr>
        <w:pStyle w:val="ListBullet"/>
        <w:spacing w:after="20" w:line="240" w:lineRule="auto"/>
      </w:pPr>
      <w:r>
        <w:rPr>
          <w:sz w:val="16"/>
        </w:rPr>
        <w:t>src/plant_model/constants.py — current joint constants, GLOBAL_SCALE, segment target length and physics toggles.</w:t>
      </w:r>
    </w:p>
    <w:p>
      <w:pPr>
        <w:pStyle w:val="ListBullet"/>
        <w:spacing w:after="20" w:line="240" w:lineRule="auto"/>
      </w:pPr>
      <w:r>
        <w:rPr>
          <w:sz w:val="16"/>
        </w:rPr>
        <w:t>src/plant_model/usd_exporter_v2.py — segment creation, mass calculation, D6 joint configuration, base-to-tip stiffness interpolation, and leaf attachment.</w:t>
      </w:r>
    </w:p>
    <w:p>
      <w:pPr>
        <w:pStyle w:val="ListBullet"/>
        <w:spacing w:after="20" w:line="240" w:lineRule="auto"/>
      </w:pPr>
      <w:r>
        <w:rPr>
          <w:sz w:val="16"/>
        </w:rPr>
        <w:t>src/experiments/articulation_subbranch/generate_articulation_usda.py — fixed link HEIGHT/MASS, branch n_links, branch stiffness/damping, and D6 joint setup.</w:t>
      </w:r>
    </w:p>
    <w:p>
      <w:pPr>
        <w:pStyle w:val="Small"/>
        <w:spacing w:after="20" w:line="240" w:lineRule="auto"/>
      </w:pPr>
      <w:r>
        <w:rPr>
          <w:sz w:val="16"/>
        </w:rPr>
        <w:t>Note: this document is a modeling review, not a claim that a single Young’s modulus value can fully describe a living tomato organ. Living stems are heterogeneous, anisotropic, hydrated, viscoelastic, geometrically tapered structures. EI-based calibration is recommended precisely because it can absorb some of this structural complexity at the reduced-order level.</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4"/>
      </w:rPr>
      <w:t>autotom_digital_twin — Branch/Stem Physics Technical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80" w:line="240" w:lineRule="auto"/>
      <w:ind w:left="288" w:right="144"/>
    </w:pPr>
    <w:rPr>
      <w:rFonts w:ascii="Liberation Mono" w:hAnsi="Liberation Mono"/>
      <w:sz w:val="16"/>
    </w:rPr>
  </w:style>
  <w:style w:type="paragraph" w:customStyle="1" w:styleId="Equation">
    <w:name w:val="Equation"/>
    <w:pPr>
      <w:spacing w:before="100" w:after="100"/>
      <w:jc w:val="center"/>
    </w:pPr>
    <w:rPr>
      <w:rFonts w:ascii="Cambria Math" w:hAnsi="Cambria Math"/>
      <w:sz w:val="21"/>
    </w:rPr>
  </w:style>
  <w:style w:type="paragraph" w:customStyle="1" w:styleId="Small">
    <w:name w:val="Small"/>
    <w:pPr>
      <w:spacing w:after="60"/>
    </w:pPr>
    <w:rPr>
      <w:rFonts w:ascii="Aptos" w:hAnsi="Aptos"/>
      <w:color w:val="5A5A5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