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567" w:before="3969" w:lineRule="auto"/>
        <w:rPr/>
      </w:pPr>
      <w:r w:rsidDel="00000000" w:rsidR="00000000" w:rsidRPr="00000000">
        <w:rPr>
          <w:rtl w:val="0"/>
        </w:rPr>
        <w:t xml:space="preserve">Fundación Atabal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Actores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Escuela Virgen de Guadalupe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2022-2023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Cristian Silva Guerrero, Alejandro Fernández Banda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jc w:val="both"/>
        <w:rPr>
          <w:i w:val="1"/>
        </w:rPr>
      </w:pPr>
      <w:bookmarkStart w:colFirst="0" w:colLast="0" w:name="_scqj1ryt6sgm" w:id="0"/>
      <w:bookmarkEnd w:id="0"/>
      <w:r w:rsidDel="00000000" w:rsidR="00000000" w:rsidRPr="00000000">
        <w:rPr>
          <w:rtl w:val="0"/>
        </w:rPr>
        <w:t xml:space="preserve">Entidades privadas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Toda aquella empresa privada la cual busque colaborar con la responsabilidad social corporativa y el bienestar de la comunidad, ya sea económicamente o mediante otros medios.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jc w:val="both"/>
        <w:rPr>
          <w:rFonts w:ascii="Liberation Sans" w:cs="Liberation Sans" w:eastAsia="Liberation Sans" w:hAnsi="Liberation Sans"/>
          <w:b w:val="1"/>
          <w:color w:val="2a6099"/>
          <w:sz w:val="36"/>
          <w:szCs w:val="36"/>
        </w:rPr>
      </w:pPr>
      <w:bookmarkStart w:colFirst="0" w:colLast="0" w:name="_ddiuyap5city" w:id="1"/>
      <w:bookmarkEnd w:id="1"/>
      <w:r w:rsidDel="00000000" w:rsidR="00000000" w:rsidRPr="00000000">
        <w:rPr>
          <w:rtl w:val="0"/>
        </w:rPr>
        <w:t xml:space="preserve">Administraciones públicas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Administraciones que, sobre el beneficio propio, buscan mejorar el estado de la comunidad ofreciendo todo tipo de servicios a fundaciones como Atabal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jc w:val="both"/>
        <w:rPr>
          <w:rFonts w:ascii="Liberation Sans" w:cs="Liberation Sans" w:eastAsia="Liberation Sans" w:hAnsi="Liberation Sans"/>
          <w:b w:val="1"/>
          <w:color w:val="2a6099"/>
          <w:sz w:val="36"/>
          <w:szCs w:val="36"/>
        </w:rPr>
      </w:pPr>
      <w:bookmarkStart w:colFirst="0" w:colLast="0" w:name="_plddadv2ppi6" w:id="2"/>
      <w:bookmarkEnd w:id="2"/>
      <w:r w:rsidDel="00000000" w:rsidR="00000000" w:rsidRPr="00000000">
        <w:rPr>
          <w:rtl w:val="0"/>
        </w:rPr>
        <w:t xml:space="preserve">Administradores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Son los propios creadores de la aplicación, los cuales comparten los mismos objetivos que la fundación, y la impulsan, de manera que atraen a más actores para colaborar con la causa.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jc w:val="both"/>
      </w:pPr>
      <w:bookmarkStart w:colFirst="0" w:colLast="0" w:name="_jdva85b00nf3" w:id="3"/>
      <w:bookmarkEnd w:id="3"/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Usuarios particulares no pertenecientes a ninguna organización, con el único objetivo de ayudar a personas necesitadas, ya sea psicológicamente o económicamente, colaborando con los proyectos de la propia fundación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jc w:val="both"/>
        <w:rPr>
          <w:rFonts w:ascii="Liberation Sans" w:cs="Liberation Sans" w:eastAsia="Liberation Sans" w:hAnsi="Liberation Sans"/>
          <w:b w:val="1"/>
          <w:color w:val="2a6099"/>
          <w:sz w:val="36"/>
          <w:szCs w:val="36"/>
        </w:rPr>
      </w:pPr>
      <w:bookmarkStart w:colFirst="0" w:colLast="0" w:name="_5xbf9tj95ugo" w:id="4"/>
      <w:bookmarkEnd w:id="4"/>
      <w:r w:rsidDel="00000000" w:rsidR="00000000" w:rsidRPr="00000000">
        <w:rPr>
          <w:rtl w:val="0"/>
        </w:rPr>
        <w:t xml:space="preserve">Personas en situación de vulnerabilidad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Los beneficiarios son los grupos de personas vulnerables, ya sea por su situación económica o situación mental causadas por enfermedades o por terceros.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Buscan cambiar su situación actual, ya sea buscando ayuda psicológica como buscando una fuente de ingresos para poder mantenerse económicamente. Buscan mejorar sus calidades de vida apoyándose en fundaciones.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jc w:val="both"/>
        <w:rPr/>
      </w:pPr>
      <w:bookmarkStart w:colFirst="0" w:colLast="0" w:name="_sexvfxx10dj0" w:id="5"/>
      <w:bookmarkEnd w:id="5"/>
      <w:r w:rsidDel="00000000" w:rsidR="00000000" w:rsidRPr="00000000">
        <w:rPr>
          <w:rtl w:val="0"/>
        </w:rPr>
        <w:t xml:space="preserve">Tribunal del Proyecto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Formado por Ernesto González Trives, Isabel Muñoz Dominguez y Miguel Jaque Barbero.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Su interés en el proyecto es comprobar que la formación que hemos recibido en el módulo de DAW ha sido eficaz y evaluar los niveles de desarrollo personal y profesional que hemos alcanzado.</w:t>
      </w:r>
    </w:p>
    <w:p w:rsidR="00000000" w:rsidDel="00000000" w:rsidP="00000000" w:rsidRDefault="00000000" w:rsidRPr="00000000" w14:paraId="0000001B">
      <w:pPr>
        <w:pStyle w:val="Heading1"/>
        <w:pageBreakBefore w:val="0"/>
        <w:numPr>
          <w:ilvl w:val="0"/>
          <w:numId w:val="1"/>
        </w:numPr>
        <w:jc w:val="both"/>
        <w:rPr>
          <w:rFonts w:ascii="Liberation Sans" w:cs="Liberation Sans" w:eastAsia="Liberation Sans" w:hAnsi="Liberation Sans"/>
          <w:b w:val="1"/>
          <w:color w:val="2a6099"/>
          <w:sz w:val="36"/>
          <w:szCs w:val="36"/>
        </w:rPr>
      </w:pPr>
      <w:bookmarkStart w:colFirst="0" w:colLast="0" w:name="_ryanzm2k10s0" w:id="6"/>
      <w:bookmarkEnd w:id="6"/>
      <w:r w:rsidDel="00000000" w:rsidR="00000000" w:rsidRPr="00000000">
        <w:rPr>
          <w:rtl w:val="0"/>
        </w:rPr>
        <w:t xml:space="preserve">Escuela Virgen de Guadalupe y Fundación Loyola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Son las instituciones responsables de mi proceso formativo.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Su interés en el proyecto es comprobar que la formación que he recibido es acorde a los valores de la institución y que estoy en condiciones de contribuir a la sociedad.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FreeSans" w:cs="FreeSans" w:eastAsia="FreeSans" w:hAnsi="FreeSans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700" w:top="1932" w:left="1134" w:right="1134" w:header="113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eration Sans"/>
  <w:font w:name="Free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tabs>
        <w:tab w:val="center" w:leader="none" w:pos="4252"/>
        <w:tab w:val="right" w:leader="none" w:pos="8504"/>
      </w:tabs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29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2A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2F">
    <w:pPr>
      <w:pageBreakBefore w:val="0"/>
      <w:tabs>
        <w:tab w:val="center" w:leader="none" w:pos="4252"/>
        <w:tab w:val="right" w:leader="none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0">
    <w:pPr>
      <w:pageBreakBefore w:val="0"/>
      <w:tabs>
        <w:tab w:val="center" w:leader="none" w:pos="4252"/>
        <w:tab w:val="right" w:leader="none" w:pos="8504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6372" w:firstLine="0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Fonts w:ascii="Arial" w:cs="Arial" w:eastAsia="Arial" w:hAnsi="Arial"/>
        <w:b w:val="1"/>
        <w:color w:val="0065a1"/>
        <w:sz w:val="22"/>
        <w:szCs w:val="22"/>
        <w:rtl w:val="0"/>
      </w:rPr>
      <w:t xml:space="preserve">Alejandro FB, Cristian SG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-276224</wp:posOffset>
          </wp:positionH>
          <wp:positionV relativeFrom="paragraph">
            <wp:posOffset>-371474</wp:posOffset>
          </wp:positionV>
          <wp:extent cx="1759842" cy="10287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9842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ind w:left="6372" w:firstLine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Fundación Atabal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spacing w:line="276" w:lineRule="auto"/>
      <w:ind w:left="6377.952755905511" w:firstLine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after="200" w:line="276" w:lineRule="auto"/>
      <w:ind w:left="720" w:firstLine="720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alejandrofernandezbanda.guadalupe@alumnado.fundacionloyola.es</w:t>
    </w:r>
  </w:p>
  <w:p w:rsidR="00000000" w:rsidDel="00000000" w:rsidP="00000000" w:rsidRDefault="00000000" w:rsidRPr="00000000" w14:paraId="00000026">
    <w:pPr>
      <w:spacing w:after="200" w:line="276" w:lineRule="auto"/>
      <w:ind w:left="5040" w:firstLine="0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csilvaguerrero.guadalupe@alumnado.fundacionloyola.es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shd w:fill="ffffff" w:val="clear"/>
      <w:tabs>
        <w:tab w:val="center" w:leader="none" w:pos="4819"/>
        <w:tab w:val="right" w:leader="none" w:pos="9638"/>
      </w:tabs>
      <w:rPr>
        <w:rFonts w:ascii="FreeSans" w:cs="FreeSans" w:eastAsia="FreeSans" w:hAnsi="FreeSans"/>
        <w:b w:val="1"/>
        <w:color w:val="2a60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pageBreakBefore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2a60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567" w:before="3969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2835" w:before="62" w:lineRule="auto"/>
      <w:jc w:val="center"/>
    </w:pPr>
    <w:rPr>
      <w:rFonts w:ascii="Liberation Sans" w:cs="Liberation Sans" w:eastAsia="Liberation Sans" w:hAnsi="Liberation Sans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