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A3019" w14:textId="77777777" w:rsidR="000824EF" w:rsidRPr="00263DC7" w:rsidRDefault="000824EF" w:rsidP="00E96B70">
      <w:pPr>
        <w:pStyle w:val="TitlePage"/>
        <w:rPr>
          <w:caps/>
          <w:sz w:val="40"/>
          <w:lang w:val="es-ES_tradnl"/>
        </w:rPr>
      </w:pPr>
    </w:p>
    <w:p w14:paraId="6763E9C0" w14:textId="77777777" w:rsidR="000824EF" w:rsidRPr="00263DC7" w:rsidRDefault="000824EF" w:rsidP="00E96B70">
      <w:pPr>
        <w:pStyle w:val="TitlePage"/>
        <w:rPr>
          <w:caps/>
          <w:sz w:val="40"/>
          <w:lang w:val="es-ES_tradnl"/>
        </w:rPr>
      </w:pPr>
    </w:p>
    <w:p w14:paraId="5EFC9847" w14:textId="1CEAFBCE" w:rsidR="006671FA" w:rsidRDefault="006671FA" w:rsidP="006D3EA5">
      <w:pPr>
        <w:pStyle w:val="TitlePage"/>
        <w:spacing w:before="120"/>
        <w:rPr>
          <w:caps/>
          <w:sz w:val="40"/>
          <w:lang w:val="es-ES_tradnl"/>
        </w:rPr>
      </w:pPr>
      <w:r w:rsidRPr="006671FA">
        <w:rPr>
          <w:caps/>
          <w:sz w:val="40"/>
          <w:lang w:val="es-ES_tradnl"/>
        </w:rPr>
        <w:t>Optimización de carteras basada en la predicción de retornos mediante modelos de machine learning y series temporales</w:t>
      </w:r>
    </w:p>
    <w:p w14:paraId="6BE8A9EE" w14:textId="77777777" w:rsidR="006671FA" w:rsidRDefault="006671FA" w:rsidP="006D3EA5">
      <w:pPr>
        <w:pStyle w:val="TitlePage"/>
        <w:spacing w:before="120"/>
        <w:rPr>
          <w:caps/>
          <w:sz w:val="40"/>
          <w:lang w:val="es-ES_tradnl"/>
        </w:rPr>
      </w:pPr>
    </w:p>
    <w:p w14:paraId="109B73F0" w14:textId="35A0C78C" w:rsidR="00245D61" w:rsidRPr="00800533" w:rsidRDefault="006671FA" w:rsidP="006D3EA5">
      <w:pPr>
        <w:pStyle w:val="TitlePage"/>
        <w:spacing w:before="120"/>
        <w:rPr>
          <w:caps/>
          <w:sz w:val="40"/>
        </w:rPr>
      </w:pPr>
      <w:r w:rsidRPr="00800533">
        <w:rPr>
          <w:caps/>
          <w:sz w:val="40"/>
        </w:rPr>
        <w:t>Dynamic portfolio optimization based on return forecasting using time series and machine learning models</w:t>
      </w:r>
    </w:p>
    <w:p w14:paraId="36BB71D0" w14:textId="77777777" w:rsidR="008E36E4" w:rsidRPr="00800533" w:rsidRDefault="008E36E4">
      <w:pPr>
        <w:pStyle w:val="TitlePage"/>
      </w:pPr>
    </w:p>
    <w:p w14:paraId="500A182C" w14:textId="77777777" w:rsidR="00BE2360" w:rsidRPr="00800533" w:rsidRDefault="00BE2360">
      <w:pPr>
        <w:pStyle w:val="TitlePage"/>
      </w:pPr>
    </w:p>
    <w:p w14:paraId="2E4E2122" w14:textId="77777777" w:rsidR="00F333C0" w:rsidRPr="00263DC7" w:rsidRDefault="001F5B98" w:rsidP="00F333C0">
      <w:pPr>
        <w:pStyle w:val="TitlePage"/>
        <w:rPr>
          <w:lang w:val="es-ES_tradnl"/>
        </w:rPr>
      </w:pPr>
      <w:r w:rsidRPr="00263DC7">
        <w:rPr>
          <w:noProof/>
          <w:lang w:val="es-ES_tradnl" w:eastAsia="es-ES_tradnl"/>
        </w:rPr>
        <w:drawing>
          <wp:inline distT="0" distB="0" distL="0" distR="0" wp14:anchorId="67F47147" wp14:editId="5A86390C">
            <wp:extent cx="1503485" cy="1631923"/>
            <wp:effectExtent l="0" t="0" r="0" b="0"/>
            <wp:docPr id="1" name="Imagen 1" descr="3-2016-07-21-EscudoUCMTrans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2016-07-21-EscudoUCMTranspar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314" cy="1662129"/>
                    </a:xfrm>
                    <a:prstGeom prst="rect">
                      <a:avLst/>
                    </a:prstGeom>
                    <a:noFill/>
                    <a:ln>
                      <a:noFill/>
                    </a:ln>
                  </pic:spPr>
                </pic:pic>
              </a:graphicData>
            </a:graphic>
          </wp:inline>
        </w:drawing>
      </w:r>
    </w:p>
    <w:p w14:paraId="0659E454" w14:textId="77777777" w:rsidR="00D862DB" w:rsidRPr="00263DC7" w:rsidRDefault="00D862DB">
      <w:pPr>
        <w:pStyle w:val="TitlePage"/>
        <w:rPr>
          <w:lang w:val="es-ES_tradnl"/>
        </w:rPr>
      </w:pPr>
    </w:p>
    <w:p w14:paraId="41992F3A" w14:textId="77777777" w:rsidR="008E36E4" w:rsidRPr="00263DC7" w:rsidRDefault="00F333C0" w:rsidP="00EF05DF">
      <w:pPr>
        <w:pStyle w:val="TitlePage"/>
        <w:rPr>
          <w:lang w:val="es-ES_tradnl"/>
        </w:rPr>
      </w:pPr>
      <w:r w:rsidRPr="00263DC7">
        <w:rPr>
          <w:lang w:val="es-ES_tradnl"/>
        </w:rPr>
        <w:t xml:space="preserve">Trabajo Fin </w:t>
      </w:r>
      <w:r w:rsidR="00E736EB" w:rsidRPr="00263DC7">
        <w:rPr>
          <w:lang w:val="es-ES_tradnl"/>
        </w:rPr>
        <w:t>de</w:t>
      </w:r>
      <w:r w:rsidR="00C60031">
        <w:rPr>
          <w:lang w:val="es-ES_tradnl"/>
        </w:rPr>
        <w:t xml:space="preserve"> </w:t>
      </w:r>
      <w:r w:rsidR="00CB5E4C" w:rsidRPr="00263DC7">
        <w:rPr>
          <w:lang w:val="es-ES_tradnl"/>
        </w:rPr>
        <w:t>Máster</w:t>
      </w:r>
    </w:p>
    <w:p w14:paraId="2CB58D34" w14:textId="38C10A75" w:rsidR="005716FE" w:rsidRDefault="00263DC7" w:rsidP="005716FE">
      <w:pPr>
        <w:pStyle w:val="TitlePage"/>
        <w:rPr>
          <w:lang w:val="es-ES_tradnl"/>
        </w:rPr>
      </w:pPr>
      <w:r w:rsidRPr="00263DC7">
        <w:rPr>
          <w:lang w:val="es-ES_tradnl"/>
        </w:rPr>
        <w:t xml:space="preserve">Curso </w:t>
      </w:r>
      <w:r w:rsidR="001C7BF4">
        <w:rPr>
          <w:lang w:val="es-ES_tradnl"/>
        </w:rPr>
        <w:t>2025</w:t>
      </w:r>
      <w:r w:rsidRPr="00263DC7">
        <w:rPr>
          <w:lang w:val="es-ES_tradnl"/>
        </w:rPr>
        <w:t>-20</w:t>
      </w:r>
      <w:r w:rsidR="001C7BF4">
        <w:rPr>
          <w:lang w:val="es-ES_tradnl"/>
        </w:rPr>
        <w:t>26</w:t>
      </w:r>
    </w:p>
    <w:p w14:paraId="72186079" w14:textId="77777777" w:rsidR="005F6988" w:rsidRDefault="005F6988" w:rsidP="005716FE">
      <w:pPr>
        <w:pStyle w:val="TitlePage"/>
        <w:rPr>
          <w:lang w:val="es-ES_tradnl"/>
        </w:rPr>
      </w:pPr>
    </w:p>
    <w:p w14:paraId="4740FE5A" w14:textId="77777777" w:rsidR="005F6988" w:rsidRDefault="005F6988" w:rsidP="005716FE">
      <w:pPr>
        <w:pStyle w:val="TitlePage"/>
        <w:rPr>
          <w:lang w:val="es-ES_tradnl"/>
        </w:rPr>
      </w:pPr>
    </w:p>
    <w:p w14:paraId="497782CC" w14:textId="77777777" w:rsidR="005F6988" w:rsidRDefault="005F6988" w:rsidP="005716FE">
      <w:pPr>
        <w:pStyle w:val="TitlePage"/>
        <w:rPr>
          <w:lang w:val="es-ES_tradnl"/>
        </w:rPr>
      </w:pPr>
    </w:p>
    <w:p w14:paraId="55CD343F" w14:textId="77777777" w:rsidR="005F6988" w:rsidRPr="00263DC7" w:rsidRDefault="005F6988" w:rsidP="005716FE">
      <w:pPr>
        <w:pStyle w:val="TitlePage"/>
        <w:rPr>
          <w:lang w:val="es-ES_tradnl"/>
        </w:rPr>
      </w:pPr>
    </w:p>
    <w:p w14:paraId="4BF6C228" w14:textId="77777777" w:rsidR="00CB5E4C" w:rsidRPr="00263DC7" w:rsidRDefault="00CB5E4C" w:rsidP="00CB5E4C">
      <w:pPr>
        <w:pStyle w:val="TitlePage"/>
        <w:rPr>
          <w:lang w:val="es-ES_tradnl"/>
        </w:rPr>
      </w:pPr>
    </w:p>
    <w:p w14:paraId="54835032" w14:textId="77777777" w:rsidR="00CB5E4C" w:rsidRPr="00263DC7" w:rsidRDefault="00CB5E4C" w:rsidP="00CB5E4C">
      <w:pPr>
        <w:pStyle w:val="TitlePage"/>
        <w:rPr>
          <w:lang w:val="es-ES_tradnl"/>
        </w:rPr>
      </w:pPr>
      <w:r w:rsidRPr="00263DC7">
        <w:rPr>
          <w:lang w:val="es-ES_tradnl"/>
        </w:rPr>
        <w:lastRenderedPageBreak/>
        <w:t>Autor</w:t>
      </w:r>
    </w:p>
    <w:p w14:paraId="4CA87BEF" w14:textId="2DA7E9F7" w:rsidR="00CB5E4C" w:rsidRPr="00263DC7" w:rsidRDefault="006671FA" w:rsidP="00CB5E4C">
      <w:pPr>
        <w:pStyle w:val="TitlePage"/>
        <w:rPr>
          <w:caps/>
          <w:szCs w:val="32"/>
          <w:lang w:val="es-ES_tradnl"/>
        </w:rPr>
      </w:pPr>
      <w:r>
        <w:rPr>
          <w:caps/>
          <w:szCs w:val="32"/>
          <w:lang w:val="es-ES_tradnl"/>
        </w:rPr>
        <w:t>Alejandra LLord Muñoz de la espada</w:t>
      </w:r>
    </w:p>
    <w:p w14:paraId="76A75DA2" w14:textId="77777777" w:rsidR="00CB5E4C" w:rsidRPr="00263DC7" w:rsidRDefault="00CB5E4C" w:rsidP="00CB5E4C">
      <w:pPr>
        <w:pStyle w:val="TitlePage"/>
        <w:rPr>
          <w:caps/>
          <w:szCs w:val="32"/>
          <w:lang w:val="es-ES_tradnl"/>
        </w:rPr>
      </w:pPr>
    </w:p>
    <w:p w14:paraId="0DBFF994" w14:textId="77777777" w:rsidR="00CB5E4C" w:rsidRPr="00263DC7" w:rsidRDefault="00CB5E4C" w:rsidP="00CB5E4C">
      <w:pPr>
        <w:pStyle w:val="TitlePage"/>
        <w:rPr>
          <w:caps/>
          <w:szCs w:val="32"/>
          <w:lang w:val="es-ES_tradnl"/>
        </w:rPr>
      </w:pPr>
      <w:r w:rsidRPr="00263DC7">
        <w:rPr>
          <w:caps/>
          <w:szCs w:val="32"/>
          <w:lang w:val="es-ES_tradnl"/>
        </w:rPr>
        <w:t>Director</w:t>
      </w:r>
    </w:p>
    <w:p w14:paraId="18D661A2" w14:textId="50ED2E2D" w:rsidR="00CB5E4C" w:rsidRDefault="006671FA" w:rsidP="00CB5E4C">
      <w:pPr>
        <w:pStyle w:val="TitlePage"/>
        <w:rPr>
          <w:lang w:val="es-ES_tradnl"/>
        </w:rPr>
      </w:pPr>
      <w:r>
        <w:rPr>
          <w:lang w:val="es-ES_tradnl"/>
        </w:rPr>
        <w:t>Rafael Caballero</w:t>
      </w:r>
    </w:p>
    <w:p w14:paraId="4396791A" w14:textId="77777777" w:rsidR="006D3EA5" w:rsidRPr="00263DC7" w:rsidRDefault="006D3EA5" w:rsidP="00CB5E4C">
      <w:pPr>
        <w:pStyle w:val="TitlePage"/>
        <w:rPr>
          <w:lang w:val="es-ES_tradnl"/>
        </w:rPr>
      </w:pPr>
    </w:p>
    <w:p w14:paraId="0BBA03E8" w14:textId="3DE05A35" w:rsidR="006D3EA5" w:rsidRPr="00263DC7" w:rsidRDefault="006D3EA5" w:rsidP="006D3EA5">
      <w:pPr>
        <w:pStyle w:val="TitlePage"/>
        <w:rPr>
          <w:caps/>
          <w:szCs w:val="32"/>
          <w:lang w:val="es-ES_tradnl"/>
        </w:rPr>
      </w:pPr>
      <w:r>
        <w:rPr>
          <w:caps/>
          <w:szCs w:val="32"/>
          <w:lang w:val="es-ES_tradnl"/>
        </w:rPr>
        <w:t>Colaborador</w:t>
      </w:r>
    </w:p>
    <w:p w14:paraId="7A34944C" w14:textId="23224A9C" w:rsidR="006D3EA5" w:rsidRPr="00263DC7" w:rsidRDefault="006D3EA5" w:rsidP="006D3EA5">
      <w:pPr>
        <w:pStyle w:val="TitlePage"/>
        <w:rPr>
          <w:lang w:val="es-ES_tradnl"/>
        </w:rPr>
      </w:pPr>
      <w:r>
        <w:rPr>
          <w:lang w:val="es-ES_tradnl"/>
        </w:rPr>
        <w:fldChar w:fldCharType="begin">
          <w:ffData>
            <w:name w:val=""/>
            <w:enabled/>
            <w:calcOnExit w:val="0"/>
            <w:textInput>
              <w:default w:val="Colaborador"/>
            </w:textInput>
          </w:ffData>
        </w:fldChar>
      </w:r>
      <w:r>
        <w:rPr>
          <w:lang w:val="es-ES_tradnl"/>
        </w:rPr>
        <w:instrText xml:space="preserve"> FORMTEXT </w:instrText>
      </w:r>
      <w:r>
        <w:rPr>
          <w:lang w:val="es-ES_tradnl"/>
        </w:rPr>
      </w:r>
      <w:r>
        <w:rPr>
          <w:lang w:val="es-ES_tradnl"/>
        </w:rPr>
        <w:fldChar w:fldCharType="separate"/>
      </w:r>
      <w:r>
        <w:rPr>
          <w:noProof/>
          <w:lang w:val="es-ES_tradnl"/>
        </w:rPr>
        <w:t>Colaborador</w:t>
      </w:r>
      <w:r>
        <w:rPr>
          <w:lang w:val="es-ES_tradnl"/>
        </w:rPr>
        <w:fldChar w:fldCharType="end"/>
      </w:r>
    </w:p>
    <w:p w14:paraId="736C4689" w14:textId="77777777" w:rsidR="00E736EB" w:rsidRPr="00263DC7" w:rsidRDefault="00E736EB" w:rsidP="00EF05DF">
      <w:pPr>
        <w:pStyle w:val="TitlePage"/>
        <w:rPr>
          <w:lang w:val="es-ES_tradnl"/>
        </w:rPr>
      </w:pPr>
    </w:p>
    <w:p w14:paraId="1BDAE8F0" w14:textId="77777777" w:rsidR="008E36E4" w:rsidRPr="00263DC7" w:rsidRDefault="008E36E4">
      <w:pPr>
        <w:pStyle w:val="TitlePage"/>
        <w:rPr>
          <w:lang w:val="es-ES_tradnl"/>
        </w:rPr>
      </w:pPr>
    </w:p>
    <w:p w14:paraId="3826F9B5" w14:textId="4754DB6F" w:rsidR="00CB5E4C" w:rsidRPr="00263DC7" w:rsidRDefault="006671FA" w:rsidP="00BF3AC4">
      <w:pPr>
        <w:pStyle w:val="FooterPage"/>
        <w:rPr>
          <w:lang w:val="es-ES_tradnl"/>
        </w:rPr>
      </w:pPr>
      <w:r>
        <w:rPr>
          <w:lang w:val="es-ES_tradnl"/>
        </w:rPr>
        <w:t>Máster en Inteligencia Artificial</w:t>
      </w:r>
    </w:p>
    <w:p w14:paraId="4A466946" w14:textId="77777777" w:rsidR="00CB5E4C" w:rsidRPr="00263DC7" w:rsidRDefault="00CB5E4C" w:rsidP="00BF3AC4">
      <w:pPr>
        <w:pStyle w:val="FooterPage"/>
        <w:rPr>
          <w:lang w:val="es-ES_tradnl"/>
        </w:rPr>
      </w:pPr>
      <w:r w:rsidRPr="00263DC7">
        <w:rPr>
          <w:lang w:val="es-ES_tradnl"/>
        </w:rPr>
        <w:t>Facultad de Informática</w:t>
      </w:r>
    </w:p>
    <w:p w14:paraId="2D11E62D" w14:textId="114D7B17" w:rsidR="00263DC7" w:rsidRPr="006671FA" w:rsidRDefault="00CB5E4C" w:rsidP="006671FA">
      <w:pPr>
        <w:pStyle w:val="FooterPage"/>
        <w:rPr>
          <w:lang w:val="es-ES_tradnl"/>
        </w:rPr>
        <w:sectPr w:rsidR="00263DC7" w:rsidRPr="006671FA" w:rsidSect="00C36C16">
          <w:footerReference w:type="even" r:id="rId9"/>
          <w:footerReference w:type="default" r:id="rId10"/>
          <w:type w:val="continuous"/>
          <w:pgSz w:w="12240" w:h="15840"/>
          <w:pgMar w:top="1440" w:right="1440" w:bottom="1440" w:left="1440" w:header="720" w:footer="720" w:gutter="0"/>
          <w:pgNumType w:fmt="lowerRoman" w:start="1"/>
          <w:cols w:space="720"/>
          <w:docGrid w:linePitch="360"/>
        </w:sectPr>
      </w:pPr>
      <w:r w:rsidRPr="00263DC7">
        <w:rPr>
          <w:lang w:val="es-ES_tradnl"/>
        </w:rPr>
        <w:t>Universidad Complutense de Madrid</w:t>
      </w:r>
    </w:p>
    <w:p w14:paraId="08BB695F" w14:textId="77777777" w:rsidR="00263DC7" w:rsidRPr="00263DC7" w:rsidRDefault="00263DC7" w:rsidP="006671FA">
      <w:pPr>
        <w:pStyle w:val="TitlePage"/>
        <w:jc w:val="both"/>
        <w:rPr>
          <w:caps/>
          <w:sz w:val="40"/>
          <w:lang w:val="es-ES_tradnl"/>
        </w:rPr>
      </w:pPr>
    </w:p>
    <w:p w14:paraId="72C84927" w14:textId="3C5A40C9" w:rsidR="006671FA" w:rsidRDefault="006671FA" w:rsidP="006671FA">
      <w:pPr>
        <w:pStyle w:val="TitlePage"/>
        <w:spacing w:before="120"/>
        <w:rPr>
          <w:caps/>
          <w:sz w:val="40"/>
          <w:lang w:val="es-ES_tradnl"/>
        </w:rPr>
      </w:pPr>
      <w:r w:rsidRPr="006671FA">
        <w:rPr>
          <w:caps/>
          <w:sz w:val="40"/>
          <w:lang w:val="es-ES_tradnl"/>
        </w:rPr>
        <w:t>Optimización de carteras basada en la predicción de retornos mediante modelos de machine learning y series temporales</w:t>
      </w:r>
    </w:p>
    <w:p w14:paraId="28267443" w14:textId="77777777" w:rsidR="006671FA" w:rsidRDefault="006671FA" w:rsidP="006671FA">
      <w:pPr>
        <w:pStyle w:val="TitlePage"/>
        <w:spacing w:before="120"/>
        <w:rPr>
          <w:caps/>
          <w:sz w:val="40"/>
          <w:lang w:val="es-ES_tradnl"/>
        </w:rPr>
      </w:pPr>
    </w:p>
    <w:p w14:paraId="0C804CCE" w14:textId="3F19F27E" w:rsidR="006671FA" w:rsidRPr="00800533" w:rsidRDefault="006671FA" w:rsidP="006671FA">
      <w:pPr>
        <w:pStyle w:val="TitlePage"/>
        <w:spacing w:before="120"/>
        <w:rPr>
          <w:caps/>
          <w:sz w:val="40"/>
        </w:rPr>
      </w:pPr>
      <w:r w:rsidRPr="00800533">
        <w:rPr>
          <w:caps/>
          <w:sz w:val="40"/>
        </w:rPr>
        <w:t>Dynamic portfolio optimization based on return</w:t>
      </w:r>
      <w:r w:rsidR="005F6988" w:rsidRPr="00800533">
        <w:rPr>
          <w:caps/>
          <w:sz w:val="40"/>
        </w:rPr>
        <w:t xml:space="preserve"> </w:t>
      </w:r>
      <w:r w:rsidRPr="00800533">
        <w:rPr>
          <w:caps/>
          <w:sz w:val="40"/>
        </w:rPr>
        <w:t>forecasting using time series and machine learning models</w:t>
      </w:r>
    </w:p>
    <w:p w14:paraId="5CBEDF24" w14:textId="77777777" w:rsidR="00AA14E6" w:rsidRPr="00800533" w:rsidRDefault="00AA14E6" w:rsidP="00000C0D">
      <w:pPr>
        <w:pStyle w:val="TitlePage"/>
      </w:pPr>
    </w:p>
    <w:p w14:paraId="347A3A6C" w14:textId="77777777" w:rsidR="00042575" w:rsidRPr="00800533" w:rsidRDefault="00042575" w:rsidP="00000C0D">
      <w:pPr>
        <w:pStyle w:val="TitlePage"/>
      </w:pPr>
    </w:p>
    <w:p w14:paraId="06CDC291" w14:textId="60FE064D" w:rsidR="006D3EA5" w:rsidRPr="00263DC7" w:rsidRDefault="00000C0D" w:rsidP="006D3EA5">
      <w:pPr>
        <w:pStyle w:val="TitlePage"/>
        <w:rPr>
          <w:lang w:val="es-ES_tradnl"/>
        </w:rPr>
      </w:pPr>
      <w:r w:rsidRPr="00F65C8D">
        <w:rPr>
          <w:lang w:val="es-ES_tradnl"/>
        </w:rPr>
        <w:t xml:space="preserve">Trabajo de Fin de </w:t>
      </w:r>
      <w:r w:rsidR="006671FA">
        <w:rPr>
          <w:lang w:val="es-ES_tradnl"/>
        </w:rPr>
        <w:t>Máster en Inteligencia Artificial</w:t>
      </w:r>
    </w:p>
    <w:p w14:paraId="21834B3F" w14:textId="2708D344" w:rsidR="00F65C8D" w:rsidRPr="00F65C8D" w:rsidRDefault="00000C0D" w:rsidP="00F65C8D">
      <w:pPr>
        <w:pStyle w:val="TitlePage"/>
        <w:rPr>
          <w:lang w:val="es-ES_tradnl"/>
        </w:rPr>
      </w:pPr>
      <w:r w:rsidRPr="00F65C8D">
        <w:rPr>
          <w:lang w:val="es-ES_tradnl"/>
        </w:rPr>
        <w:t>Departamento de</w:t>
      </w:r>
      <w:r w:rsidR="00F65C8D" w:rsidRPr="00F65C8D">
        <w:rPr>
          <w:lang w:val="es-ES_tradnl"/>
        </w:rPr>
        <w:t xml:space="preserve"> </w:t>
      </w:r>
      <w:r w:rsidR="006671FA" w:rsidRPr="00800533">
        <w:rPr>
          <w:lang w:val="es-ES"/>
        </w:rPr>
        <w:t>Informática</w:t>
      </w:r>
    </w:p>
    <w:p w14:paraId="44EA85E8" w14:textId="77777777" w:rsidR="00263DC7" w:rsidRPr="00263DC7" w:rsidRDefault="00000C0D" w:rsidP="00000C0D">
      <w:pPr>
        <w:pStyle w:val="TitlePage"/>
        <w:rPr>
          <w:lang w:val="es-ES_tradnl"/>
        </w:rPr>
      </w:pPr>
      <w:r w:rsidRPr="00000C0D">
        <w:rPr>
          <w:lang w:val="es-ES_tradnl"/>
        </w:rPr>
        <w:t xml:space="preserve"> </w:t>
      </w:r>
    </w:p>
    <w:p w14:paraId="741FDCD6" w14:textId="77777777" w:rsidR="00263DC7" w:rsidRPr="00263DC7" w:rsidRDefault="00263DC7" w:rsidP="00263DC7">
      <w:pPr>
        <w:pStyle w:val="TitlePage"/>
        <w:rPr>
          <w:lang w:val="es-ES_tradnl"/>
        </w:rPr>
      </w:pPr>
    </w:p>
    <w:p w14:paraId="0567E97E" w14:textId="77777777" w:rsidR="00263DC7" w:rsidRPr="00263DC7" w:rsidRDefault="00263DC7" w:rsidP="00263DC7">
      <w:pPr>
        <w:pStyle w:val="TitlePage"/>
        <w:rPr>
          <w:lang w:val="es-ES_tradnl"/>
        </w:rPr>
      </w:pPr>
      <w:r w:rsidRPr="00263DC7">
        <w:rPr>
          <w:lang w:val="es-ES_tradnl"/>
        </w:rPr>
        <w:t>Autor</w:t>
      </w:r>
    </w:p>
    <w:p w14:paraId="7E75420A" w14:textId="79CA9055" w:rsidR="00263DC7" w:rsidRPr="00263DC7" w:rsidRDefault="006671FA" w:rsidP="00263DC7">
      <w:pPr>
        <w:pStyle w:val="TitlePage"/>
        <w:rPr>
          <w:caps/>
          <w:szCs w:val="32"/>
          <w:lang w:val="es-ES_tradnl"/>
        </w:rPr>
      </w:pPr>
      <w:r>
        <w:rPr>
          <w:caps/>
          <w:szCs w:val="32"/>
          <w:lang w:val="es-ES_tradnl"/>
        </w:rPr>
        <w:t>Alejandra Llord</w:t>
      </w:r>
    </w:p>
    <w:p w14:paraId="73736D78" w14:textId="77777777" w:rsidR="00263DC7" w:rsidRPr="00263DC7" w:rsidRDefault="00263DC7" w:rsidP="00263DC7">
      <w:pPr>
        <w:pStyle w:val="TitlePage"/>
        <w:rPr>
          <w:caps/>
          <w:szCs w:val="32"/>
          <w:lang w:val="es-ES_tradnl"/>
        </w:rPr>
      </w:pPr>
    </w:p>
    <w:p w14:paraId="00205D43" w14:textId="77777777" w:rsidR="006D3EA5" w:rsidRPr="00263DC7" w:rsidRDefault="006D3EA5" w:rsidP="006D3EA5">
      <w:pPr>
        <w:pStyle w:val="TitlePage"/>
        <w:rPr>
          <w:caps/>
          <w:szCs w:val="32"/>
          <w:lang w:val="es-ES_tradnl"/>
        </w:rPr>
      </w:pPr>
      <w:r w:rsidRPr="00263DC7">
        <w:rPr>
          <w:caps/>
          <w:szCs w:val="32"/>
          <w:lang w:val="es-ES_tradnl"/>
        </w:rPr>
        <w:t>Director</w:t>
      </w:r>
    </w:p>
    <w:p w14:paraId="74A688FC" w14:textId="1BD169C1" w:rsidR="006D3EA5" w:rsidRDefault="006671FA" w:rsidP="006D3EA5">
      <w:pPr>
        <w:pStyle w:val="TitlePage"/>
        <w:rPr>
          <w:lang w:val="es-ES_tradnl"/>
        </w:rPr>
      </w:pPr>
      <w:r>
        <w:rPr>
          <w:lang w:val="es-ES_tradnl"/>
        </w:rPr>
        <w:t>Rafael Caballero</w:t>
      </w:r>
    </w:p>
    <w:p w14:paraId="33E22DDA" w14:textId="77777777" w:rsidR="006D3EA5" w:rsidRPr="00263DC7" w:rsidRDefault="006D3EA5" w:rsidP="006D3EA5">
      <w:pPr>
        <w:pStyle w:val="TitlePage"/>
        <w:rPr>
          <w:lang w:val="es-ES_tradnl"/>
        </w:rPr>
      </w:pPr>
    </w:p>
    <w:p w14:paraId="0705C144" w14:textId="77777777" w:rsidR="006D3EA5" w:rsidRPr="00263DC7" w:rsidRDefault="006D3EA5" w:rsidP="006D3EA5">
      <w:pPr>
        <w:pStyle w:val="TitlePage"/>
        <w:rPr>
          <w:caps/>
          <w:szCs w:val="32"/>
          <w:lang w:val="es-ES_tradnl"/>
        </w:rPr>
      </w:pPr>
      <w:r>
        <w:rPr>
          <w:caps/>
          <w:szCs w:val="32"/>
          <w:lang w:val="es-ES_tradnl"/>
        </w:rPr>
        <w:t>Colaborador</w:t>
      </w:r>
    </w:p>
    <w:p w14:paraId="02D4029B" w14:textId="77777777" w:rsidR="006D3EA5" w:rsidRPr="00263DC7" w:rsidRDefault="006D3EA5" w:rsidP="006D3EA5">
      <w:pPr>
        <w:pStyle w:val="TitlePage"/>
        <w:rPr>
          <w:lang w:val="es-ES_tradnl"/>
        </w:rPr>
      </w:pPr>
      <w:r>
        <w:rPr>
          <w:lang w:val="es-ES_tradnl"/>
        </w:rPr>
        <w:fldChar w:fldCharType="begin">
          <w:ffData>
            <w:name w:val=""/>
            <w:enabled/>
            <w:calcOnExit w:val="0"/>
            <w:textInput>
              <w:default w:val="Colaborador"/>
            </w:textInput>
          </w:ffData>
        </w:fldChar>
      </w:r>
      <w:r>
        <w:rPr>
          <w:lang w:val="es-ES_tradnl"/>
        </w:rPr>
        <w:instrText xml:space="preserve"> FORMTEXT </w:instrText>
      </w:r>
      <w:r>
        <w:rPr>
          <w:lang w:val="es-ES_tradnl"/>
        </w:rPr>
      </w:r>
      <w:r>
        <w:rPr>
          <w:lang w:val="es-ES_tradnl"/>
        </w:rPr>
        <w:fldChar w:fldCharType="separate"/>
      </w:r>
      <w:r>
        <w:rPr>
          <w:noProof/>
          <w:lang w:val="es-ES_tradnl"/>
        </w:rPr>
        <w:t>Colaborador</w:t>
      </w:r>
      <w:r>
        <w:rPr>
          <w:lang w:val="es-ES_tradnl"/>
        </w:rPr>
        <w:fldChar w:fldCharType="end"/>
      </w:r>
    </w:p>
    <w:p w14:paraId="7E5FCEF9" w14:textId="77777777" w:rsidR="00263DC7" w:rsidRPr="00263DC7" w:rsidRDefault="00263DC7" w:rsidP="00263DC7">
      <w:pPr>
        <w:pStyle w:val="TitlePage"/>
        <w:rPr>
          <w:lang w:val="es-ES_tradnl"/>
        </w:rPr>
      </w:pPr>
    </w:p>
    <w:p w14:paraId="3C941AD2" w14:textId="17C021FC" w:rsidR="00263DC7" w:rsidRDefault="00F65C8D" w:rsidP="006D3EA5">
      <w:pPr>
        <w:pStyle w:val="TitlePage"/>
        <w:rPr>
          <w:lang w:val="es-ES_tradnl"/>
        </w:rPr>
      </w:pPr>
      <w:r w:rsidRPr="00F65C8D">
        <w:rPr>
          <w:b/>
          <w:lang w:val="es-ES_tradnl"/>
        </w:rPr>
        <w:t>Convocatoria</w:t>
      </w:r>
      <w:r>
        <w:rPr>
          <w:lang w:val="es-ES_tradnl"/>
        </w:rPr>
        <w:t xml:space="preserve">: </w:t>
      </w:r>
      <w:r w:rsidR="006671FA">
        <w:rPr>
          <w:lang w:val="es-ES_tradnl"/>
        </w:rPr>
        <w:t>Junio 2026</w:t>
      </w:r>
    </w:p>
    <w:p w14:paraId="417D7424" w14:textId="11ACB188" w:rsidR="006D3EA5" w:rsidRPr="00263DC7" w:rsidRDefault="00F65C8D" w:rsidP="006D3EA5">
      <w:pPr>
        <w:pStyle w:val="TitlePage"/>
        <w:rPr>
          <w:lang w:val="es-ES_tradnl"/>
        </w:rPr>
      </w:pPr>
      <w:r w:rsidRPr="00F65C8D">
        <w:rPr>
          <w:b/>
          <w:lang w:val="es-ES_tradnl"/>
        </w:rPr>
        <w:t>Calificación</w:t>
      </w:r>
      <w:r>
        <w:rPr>
          <w:lang w:val="es-ES_tradnl"/>
        </w:rPr>
        <w:t xml:space="preserve">: </w:t>
      </w:r>
      <w:r w:rsidR="006D3EA5">
        <w:rPr>
          <w:lang w:val="es-ES_tradnl"/>
        </w:rPr>
        <w:fldChar w:fldCharType="begin">
          <w:ffData>
            <w:name w:val=""/>
            <w:enabled/>
            <w:calcOnExit w:val="0"/>
            <w:textInput>
              <w:default w:val="Nota"/>
            </w:textInput>
          </w:ffData>
        </w:fldChar>
      </w:r>
      <w:r w:rsidR="006D3EA5">
        <w:rPr>
          <w:lang w:val="es-ES_tradnl"/>
        </w:rPr>
        <w:instrText xml:space="preserve"> FORMTEXT </w:instrText>
      </w:r>
      <w:r w:rsidR="006D3EA5">
        <w:rPr>
          <w:lang w:val="es-ES_tradnl"/>
        </w:rPr>
      </w:r>
      <w:r w:rsidR="006D3EA5">
        <w:rPr>
          <w:lang w:val="es-ES_tradnl"/>
        </w:rPr>
        <w:fldChar w:fldCharType="separate"/>
      </w:r>
      <w:r w:rsidR="006D3EA5">
        <w:rPr>
          <w:noProof/>
          <w:lang w:val="es-ES_tradnl"/>
        </w:rPr>
        <w:t>Nota</w:t>
      </w:r>
      <w:r w:rsidR="006D3EA5">
        <w:rPr>
          <w:lang w:val="es-ES_tradnl"/>
        </w:rPr>
        <w:fldChar w:fldCharType="end"/>
      </w:r>
    </w:p>
    <w:p w14:paraId="5C5631B6" w14:textId="77777777" w:rsidR="00F65C8D" w:rsidRDefault="00F65C8D" w:rsidP="00263DC7">
      <w:pPr>
        <w:pStyle w:val="TitlePage"/>
        <w:rPr>
          <w:lang w:val="es-ES_tradnl"/>
        </w:rPr>
      </w:pPr>
    </w:p>
    <w:p w14:paraId="71BDEEC0" w14:textId="77777777" w:rsidR="00F65C8D" w:rsidRDefault="00F65C8D" w:rsidP="00263DC7">
      <w:pPr>
        <w:pStyle w:val="TitlePage"/>
        <w:rPr>
          <w:lang w:val="es-ES_tradnl"/>
        </w:rPr>
      </w:pPr>
    </w:p>
    <w:p w14:paraId="1E7D4193" w14:textId="77777777" w:rsidR="00F65C8D" w:rsidRPr="00263DC7" w:rsidRDefault="00F65C8D" w:rsidP="00263DC7">
      <w:pPr>
        <w:pStyle w:val="TitlePage"/>
        <w:rPr>
          <w:lang w:val="es-ES_tradnl"/>
        </w:rPr>
      </w:pPr>
    </w:p>
    <w:p w14:paraId="464967C3" w14:textId="10A6FD06" w:rsidR="00263DC7" w:rsidRPr="00263DC7" w:rsidRDefault="006671FA" w:rsidP="00263DC7">
      <w:pPr>
        <w:pStyle w:val="FooterPage"/>
        <w:rPr>
          <w:lang w:val="es-ES_tradnl"/>
        </w:rPr>
      </w:pPr>
      <w:r>
        <w:rPr>
          <w:lang w:val="es-ES_tradnl"/>
        </w:rPr>
        <w:t>Máster en Inteligencia Artificial</w:t>
      </w:r>
    </w:p>
    <w:p w14:paraId="091E88FF" w14:textId="77777777" w:rsidR="00263DC7" w:rsidRPr="00263DC7" w:rsidRDefault="00263DC7" w:rsidP="00263DC7">
      <w:pPr>
        <w:pStyle w:val="FooterPage"/>
        <w:rPr>
          <w:lang w:val="es-ES_tradnl"/>
        </w:rPr>
      </w:pPr>
      <w:r w:rsidRPr="00263DC7">
        <w:rPr>
          <w:lang w:val="es-ES_tradnl"/>
        </w:rPr>
        <w:t>Facultad de Informática</w:t>
      </w:r>
    </w:p>
    <w:p w14:paraId="737A5A5A" w14:textId="77777777" w:rsidR="00263DC7" w:rsidRDefault="00263DC7" w:rsidP="00263DC7">
      <w:pPr>
        <w:pStyle w:val="FooterPage"/>
        <w:rPr>
          <w:lang w:val="es-ES_tradnl"/>
        </w:rPr>
      </w:pPr>
      <w:r w:rsidRPr="00263DC7">
        <w:rPr>
          <w:lang w:val="es-ES_tradnl"/>
        </w:rPr>
        <w:t>Universidad Complutense de Madrid</w:t>
      </w:r>
    </w:p>
    <w:p w14:paraId="37E925FB" w14:textId="77777777" w:rsidR="00F65C8D" w:rsidRDefault="00F65C8D" w:rsidP="00263DC7">
      <w:pPr>
        <w:pStyle w:val="FooterPage"/>
        <w:rPr>
          <w:lang w:val="es-ES_tradnl"/>
        </w:rPr>
      </w:pPr>
    </w:p>
    <w:p w14:paraId="0662EE9F" w14:textId="4698ADA5" w:rsidR="00F65C8D" w:rsidRPr="00263DC7" w:rsidRDefault="006D3EA5" w:rsidP="00F65C8D">
      <w:pPr>
        <w:pStyle w:val="FooterPage"/>
      </w:pPr>
      <w:r>
        <w:fldChar w:fldCharType="begin">
          <w:ffData>
            <w:name w:val="GradYear1"/>
            <w:enabled/>
            <w:calcOnExit w:val="0"/>
            <w:textInput>
              <w:default w:val="DÍA de MES de AÑO"/>
            </w:textInput>
          </w:ffData>
        </w:fldChar>
      </w:r>
      <w:bookmarkStart w:id="0" w:name="GradYear1"/>
      <w:r>
        <w:instrText xml:space="preserve"> FORMTEXT </w:instrText>
      </w:r>
      <w:r>
        <w:fldChar w:fldCharType="separate"/>
      </w:r>
      <w:r>
        <w:rPr>
          <w:noProof/>
        </w:rPr>
        <w:t>DÍA de MES de AÑO</w:t>
      </w:r>
      <w:r>
        <w:fldChar w:fldCharType="end"/>
      </w:r>
      <w:bookmarkEnd w:id="0"/>
    </w:p>
    <w:p w14:paraId="1C68F479" w14:textId="77777777" w:rsidR="00263DC7" w:rsidRDefault="00263DC7" w:rsidP="00F43FCD"/>
    <w:p w14:paraId="01778DF8" w14:textId="77777777" w:rsidR="00F65C8D" w:rsidRPr="006671FA" w:rsidRDefault="00F65C8D" w:rsidP="00F43FCD">
      <w:pPr>
        <w:rPr>
          <w:rFonts w:cstheme="minorHAnsi"/>
        </w:rPr>
        <w:sectPr w:rsidR="00F65C8D" w:rsidRPr="006671FA" w:rsidSect="00263DC7">
          <w:type w:val="oddPage"/>
          <w:pgSz w:w="12240" w:h="15840"/>
          <w:pgMar w:top="1440" w:right="1440" w:bottom="1440" w:left="1440" w:header="720" w:footer="720" w:gutter="0"/>
          <w:pgNumType w:fmt="lowerRoman" w:start="1"/>
          <w:cols w:space="720"/>
          <w:docGrid w:linePitch="360"/>
        </w:sectPr>
      </w:pPr>
    </w:p>
    <w:p w14:paraId="306793E5" w14:textId="77777777" w:rsidR="00A43AEE" w:rsidRPr="006671FA" w:rsidRDefault="00A43AEE" w:rsidP="00A43AEE">
      <w:pPr>
        <w:pStyle w:val="PageHeading"/>
        <w:rPr>
          <w:rFonts w:asciiTheme="minorHAnsi" w:hAnsiTheme="minorHAnsi" w:cstheme="minorHAnsi"/>
          <w:lang w:val="es-ES_tradnl"/>
        </w:rPr>
      </w:pPr>
      <w:bookmarkStart w:id="1" w:name="_Toc229572256"/>
      <w:r w:rsidRPr="006671FA">
        <w:rPr>
          <w:rFonts w:asciiTheme="minorHAnsi" w:hAnsiTheme="minorHAnsi" w:cstheme="minorHAnsi"/>
          <w:lang w:val="es-ES_tradnl"/>
        </w:rPr>
        <w:lastRenderedPageBreak/>
        <w:t>Dedicatoria</w:t>
      </w:r>
      <w:bookmarkEnd w:id="1"/>
    </w:p>
    <w:p w14:paraId="10A17CAE" w14:textId="116FD8C2" w:rsidR="00A43AEE" w:rsidRPr="006671FA" w:rsidRDefault="00A43AEE" w:rsidP="001E4710">
      <w:pPr>
        <w:ind w:left="4820" w:firstLine="0"/>
        <w:jc w:val="right"/>
        <w:rPr>
          <w:rFonts w:cstheme="minorHAnsi"/>
          <w:color w:val="5B9BD5" w:themeColor="accent1"/>
        </w:rPr>
      </w:pPr>
    </w:p>
    <w:p w14:paraId="1E38D370" w14:textId="77777777" w:rsidR="00A43AEE" w:rsidRPr="006671FA" w:rsidRDefault="00A43AEE" w:rsidP="00A43AEE">
      <w:pPr>
        <w:rPr>
          <w:rFonts w:cstheme="minorHAnsi"/>
        </w:rPr>
      </w:pPr>
    </w:p>
    <w:p w14:paraId="05143A52" w14:textId="77777777" w:rsidR="00A43AEE" w:rsidRPr="006671FA" w:rsidRDefault="00A43AEE" w:rsidP="00A43AEE">
      <w:pPr>
        <w:rPr>
          <w:rFonts w:cstheme="minorHAnsi"/>
        </w:rPr>
        <w:sectPr w:rsidR="00A43AEE" w:rsidRPr="006671FA" w:rsidSect="00310A7E">
          <w:footerReference w:type="default" r:id="rId11"/>
          <w:type w:val="oddPage"/>
          <w:pgSz w:w="12240" w:h="15840"/>
          <w:pgMar w:top="1440" w:right="1440" w:bottom="1440" w:left="1440" w:header="720" w:footer="720" w:gutter="0"/>
          <w:pgNumType w:fmt="upperRoman"/>
          <w:cols w:space="720"/>
          <w:docGrid w:linePitch="360"/>
        </w:sectPr>
      </w:pPr>
    </w:p>
    <w:p w14:paraId="740E0BF7" w14:textId="77777777" w:rsidR="00F43FCD" w:rsidRPr="006671FA" w:rsidRDefault="00F43FCD" w:rsidP="00F43FCD">
      <w:pPr>
        <w:pStyle w:val="PageHeading"/>
        <w:rPr>
          <w:rFonts w:asciiTheme="minorHAnsi" w:hAnsiTheme="minorHAnsi" w:cstheme="minorHAnsi"/>
          <w:lang w:val="es-ES"/>
        </w:rPr>
      </w:pPr>
      <w:bookmarkStart w:id="2" w:name="_Toc229572257"/>
      <w:r w:rsidRPr="006671FA">
        <w:rPr>
          <w:rFonts w:asciiTheme="minorHAnsi" w:hAnsiTheme="minorHAnsi" w:cstheme="minorHAnsi"/>
          <w:lang w:val="es-ES"/>
        </w:rPr>
        <w:lastRenderedPageBreak/>
        <w:t>Agradecimientos</w:t>
      </w:r>
      <w:bookmarkEnd w:id="2"/>
    </w:p>
    <w:p w14:paraId="19C58A3A" w14:textId="77777777" w:rsidR="00F43FCD" w:rsidRPr="006671FA" w:rsidRDefault="00F43FCD" w:rsidP="00F43FCD">
      <w:pPr>
        <w:pStyle w:val="Ttulo1"/>
        <w:numPr>
          <w:ilvl w:val="0"/>
          <w:numId w:val="0"/>
        </w:numPr>
        <w:rPr>
          <w:rFonts w:cstheme="minorHAnsi"/>
          <w:lang w:val="es-ES"/>
        </w:rPr>
        <w:sectPr w:rsidR="00F43FCD" w:rsidRPr="006671FA" w:rsidSect="00310A7E">
          <w:type w:val="oddPage"/>
          <w:pgSz w:w="12240" w:h="15840"/>
          <w:pgMar w:top="1440" w:right="1440" w:bottom="1440" w:left="1440" w:header="720" w:footer="720" w:gutter="0"/>
          <w:pgNumType w:fmt="upperRoman"/>
          <w:cols w:space="720"/>
          <w:docGrid w:linePitch="360"/>
        </w:sectPr>
      </w:pPr>
    </w:p>
    <w:p w14:paraId="4A549EBF" w14:textId="3CCA5D1F" w:rsidR="008E36E4" w:rsidRPr="006671FA" w:rsidRDefault="00496D25" w:rsidP="006D3EA5">
      <w:pPr>
        <w:pStyle w:val="PageHeading"/>
        <w:rPr>
          <w:rFonts w:asciiTheme="minorHAnsi" w:hAnsiTheme="minorHAnsi" w:cstheme="minorHAnsi"/>
          <w:lang w:val="es-ES_tradnl"/>
        </w:rPr>
      </w:pPr>
      <w:bookmarkStart w:id="3" w:name="_Toc229572258"/>
      <w:r w:rsidRPr="006671FA">
        <w:rPr>
          <w:rFonts w:asciiTheme="minorHAnsi" w:hAnsiTheme="minorHAnsi" w:cstheme="minorHAnsi"/>
          <w:lang w:val="es-ES_tradnl"/>
        </w:rPr>
        <w:lastRenderedPageBreak/>
        <w:t>Resumen</w:t>
      </w:r>
      <w:bookmarkEnd w:id="3"/>
    </w:p>
    <w:p w14:paraId="2B5AF0C3" w14:textId="77777777" w:rsidR="00E66475" w:rsidRPr="006671FA" w:rsidRDefault="00E66475" w:rsidP="006D3EA5">
      <w:pPr>
        <w:ind w:firstLine="0"/>
        <w:jc w:val="center"/>
        <w:rPr>
          <w:rFonts w:cstheme="minorHAnsi"/>
          <w:lang w:val="es-ES" w:eastAsia="es-ES"/>
        </w:rPr>
      </w:pPr>
      <w:r w:rsidRPr="006671FA">
        <w:rPr>
          <w:rFonts w:cstheme="minorHAnsi"/>
        </w:rPr>
        <w:fldChar w:fldCharType="begin">
          <w:ffData>
            <w:name w:val=""/>
            <w:enabled/>
            <w:calcOnExit w:val="0"/>
            <w:textInput>
              <w:default w:val="Título"/>
            </w:textInput>
          </w:ffData>
        </w:fldChar>
      </w:r>
      <w:r w:rsidRPr="006671FA">
        <w:rPr>
          <w:rFonts w:cstheme="minorHAnsi"/>
        </w:rPr>
        <w:instrText xml:space="preserve"> FORMTEXT </w:instrText>
      </w:r>
      <w:r w:rsidRPr="006671FA">
        <w:rPr>
          <w:rFonts w:cstheme="minorHAnsi"/>
        </w:rPr>
      </w:r>
      <w:r w:rsidRPr="006671FA">
        <w:rPr>
          <w:rFonts w:cstheme="minorHAnsi"/>
        </w:rPr>
        <w:fldChar w:fldCharType="separate"/>
      </w:r>
      <w:r w:rsidRPr="006671FA">
        <w:rPr>
          <w:rFonts w:cstheme="minorHAnsi"/>
        </w:rPr>
        <w:t>Título</w:t>
      </w:r>
      <w:r w:rsidRPr="006671FA">
        <w:rPr>
          <w:rFonts w:cstheme="minorHAnsi"/>
        </w:rPr>
        <w:fldChar w:fldCharType="end"/>
      </w:r>
    </w:p>
    <w:p w14:paraId="5AD3277B" w14:textId="77777777" w:rsidR="008E36E4" w:rsidRPr="006671FA" w:rsidRDefault="00E66475" w:rsidP="00E66475">
      <w:pPr>
        <w:rPr>
          <w:rFonts w:cstheme="minorHAnsi"/>
        </w:rPr>
      </w:pPr>
      <w:r w:rsidRPr="006671FA">
        <w:rPr>
          <w:rFonts w:cstheme="minorHAnsi"/>
          <w:lang w:val="es-ES" w:eastAsia="es-ES"/>
        </w:rPr>
        <w:t xml:space="preserve">Un resumen en castellano de media página, incluyendo el título en castellano. A </w:t>
      </w:r>
      <w:r w:rsidR="00C62B66" w:rsidRPr="006671FA">
        <w:rPr>
          <w:rFonts w:cstheme="minorHAnsi"/>
          <w:lang w:val="es-ES" w:eastAsia="es-ES"/>
        </w:rPr>
        <w:t>continuación,</w:t>
      </w:r>
      <w:r w:rsidRPr="006671FA">
        <w:rPr>
          <w:rFonts w:cstheme="minorHAnsi"/>
          <w:lang w:val="es-ES" w:eastAsia="es-ES"/>
        </w:rPr>
        <w:t xml:space="preserve"> se escribirá una lista de no más de 10 palabras clave en inglés</w:t>
      </w:r>
    </w:p>
    <w:p w14:paraId="719E6DD3" w14:textId="77777777" w:rsidR="00496D25" w:rsidRPr="006671FA" w:rsidRDefault="00496D25" w:rsidP="00E66475">
      <w:pPr>
        <w:rPr>
          <w:rStyle w:val="Fuerte"/>
          <w:rFonts w:cstheme="minorHAnsi"/>
        </w:rPr>
      </w:pPr>
      <w:r w:rsidRPr="006671FA">
        <w:rPr>
          <w:rStyle w:val="Fuerte"/>
          <w:rFonts w:cstheme="minorHAnsi"/>
        </w:rPr>
        <w:t>Palabras clave</w:t>
      </w:r>
    </w:p>
    <w:p w14:paraId="65E8372E" w14:textId="66628A4D" w:rsidR="009545F1" w:rsidRPr="006671FA" w:rsidRDefault="00555BEE" w:rsidP="00F43FCD">
      <w:pPr>
        <w:rPr>
          <w:rFonts w:cstheme="minorHAnsi"/>
        </w:rPr>
      </w:pPr>
      <w:r w:rsidRPr="006671FA">
        <w:rPr>
          <w:rFonts w:cstheme="minorHAnsi"/>
        </w:rPr>
        <w:t>Palabra 1, palabra 2</w:t>
      </w:r>
      <w:r w:rsidR="006D3EA5" w:rsidRPr="006671FA">
        <w:rPr>
          <w:rFonts w:cstheme="minorHAnsi"/>
        </w:rPr>
        <w:t xml:space="preserve"> (máx. 10 palabras separadas por comas)</w:t>
      </w:r>
    </w:p>
    <w:p w14:paraId="1899BF8C" w14:textId="77777777" w:rsidR="00555BEE" w:rsidRPr="006671FA" w:rsidRDefault="00555BEE" w:rsidP="009545F1">
      <w:pPr>
        <w:pStyle w:val="PageHeading"/>
        <w:rPr>
          <w:rStyle w:val="Refdenotaalfinal"/>
          <w:rFonts w:asciiTheme="minorHAnsi" w:hAnsiTheme="minorHAnsi" w:cstheme="minorHAnsi"/>
          <w:lang w:val="es-ES_tradnl"/>
        </w:rPr>
        <w:sectPr w:rsidR="00555BEE" w:rsidRPr="006671FA" w:rsidSect="00310A7E">
          <w:type w:val="oddPage"/>
          <w:pgSz w:w="12240" w:h="15840"/>
          <w:pgMar w:top="1440" w:right="1440" w:bottom="1440" w:left="1440" w:header="720" w:footer="720" w:gutter="0"/>
          <w:pgNumType w:fmt="upperRoman"/>
          <w:cols w:space="720"/>
          <w:docGrid w:linePitch="360"/>
        </w:sectPr>
      </w:pPr>
    </w:p>
    <w:p w14:paraId="5D561D8C" w14:textId="77777777" w:rsidR="00496D25" w:rsidRPr="006671FA" w:rsidRDefault="00C62B66" w:rsidP="006D3EA5">
      <w:pPr>
        <w:pStyle w:val="PageHeading"/>
        <w:rPr>
          <w:rFonts w:asciiTheme="minorHAnsi" w:hAnsiTheme="minorHAnsi" w:cstheme="minorHAnsi"/>
        </w:rPr>
      </w:pPr>
      <w:bookmarkStart w:id="4" w:name="_Toc229572259"/>
      <w:r w:rsidRPr="006671FA">
        <w:rPr>
          <w:rFonts w:asciiTheme="minorHAnsi" w:hAnsiTheme="minorHAnsi" w:cstheme="minorHAnsi"/>
        </w:rPr>
        <w:lastRenderedPageBreak/>
        <w:t>Abstract</w:t>
      </w:r>
      <w:bookmarkEnd w:id="4"/>
    </w:p>
    <w:p w14:paraId="4BB86CD5" w14:textId="77777777" w:rsidR="00C62B66" w:rsidRPr="006671FA" w:rsidRDefault="00C62B66" w:rsidP="006D3EA5">
      <w:pPr>
        <w:ind w:firstLine="0"/>
        <w:jc w:val="center"/>
        <w:rPr>
          <w:rFonts w:cstheme="minorHAnsi"/>
          <w:lang w:val="en-US" w:eastAsia="es-ES"/>
        </w:rPr>
      </w:pPr>
      <w:r w:rsidRPr="006671FA">
        <w:rPr>
          <w:rFonts w:cstheme="minorHAnsi"/>
          <w:lang w:val="en-US"/>
        </w:rPr>
        <w:fldChar w:fldCharType="begin">
          <w:ffData>
            <w:name w:val=""/>
            <w:enabled/>
            <w:calcOnExit w:val="0"/>
            <w:textInput>
              <w:default w:val="Title"/>
            </w:textInput>
          </w:ffData>
        </w:fldChar>
      </w:r>
      <w:r w:rsidRPr="006671FA">
        <w:rPr>
          <w:rFonts w:cstheme="minorHAnsi"/>
          <w:lang w:val="en-US"/>
        </w:rPr>
        <w:instrText xml:space="preserve"> FORMTEXT </w:instrText>
      </w:r>
      <w:r w:rsidRPr="006671FA">
        <w:rPr>
          <w:rFonts w:cstheme="minorHAnsi"/>
          <w:lang w:val="en-US"/>
        </w:rPr>
      </w:r>
      <w:r w:rsidRPr="006671FA">
        <w:rPr>
          <w:rFonts w:cstheme="minorHAnsi"/>
          <w:lang w:val="en-US"/>
        </w:rPr>
        <w:fldChar w:fldCharType="separate"/>
      </w:r>
      <w:r w:rsidRPr="006671FA">
        <w:rPr>
          <w:rFonts w:cstheme="minorHAnsi"/>
          <w:lang w:val="en-US"/>
        </w:rPr>
        <w:t>Title</w:t>
      </w:r>
      <w:r w:rsidRPr="006671FA">
        <w:rPr>
          <w:rFonts w:cstheme="minorHAnsi"/>
          <w:lang w:val="en-US"/>
        </w:rPr>
        <w:fldChar w:fldCharType="end"/>
      </w:r>
    </w:p>
    <w:p w14:paraId="7D341392" w14:textId="77777777" w:rsidR="00C62B66" w:rsidRPr="006671FA" w:rsidRDefault="00C62B66" w:rsidP="00C62B66">
      <w:pPr>
        <w:rPr>
          <w:rFonts w:cstheme="minorHAnsi"/>
          <w:lang w:val="en-US"/>
        </w:rPr>
      </w:pPr>
      <w:r w:rsidRPr="006671FA">
        <w:rPr>
          <w:rFonts w:cstheme="minorHAnsi"/>
          <w:lang w:val="en-US" w:eastAsia="es-ES"/>
        </w:rPr>
        <w:t xml:space="preserve">An abstract in </w:t>
      </w:r>
      <w:r w:rsidR="00C74424" w:rsidRPr="006671FA">
        <w:rPr>
          <w:rFonts w:cstheme="minorHAnsi"/>
          <w:lang w:val="en-US" w:eastAsia="es-ES"/>
        </w:rPr>
        <w:t>English</w:t>
      </w:r>
      <w:r w:rsidRPr="006671FA">
        <w:rPr>
          <w:rFonts w:cstheme="minorHAnsi"/>
          <w:lang w:val="en-US" w:eastAsia="es-ES"/>
        </w:rPr>
        <w:t>, no more than a half page, including the title in English. Below, a list with no more than 10 keywords.</w:t>
      </w:r>
    </w:p>
    <w:p w14:paraId="3258A33E" w14:textId="77777777" w:rsidR="00496D25" w:rsidRPr="006671FA" w:rsidRDefault="00496D25" w:rsidP="006D3EA5">
      <w:pPr>
        <w:rPr>
          <w:rStyle w:val="Fuerte"/>
          <w:rFonts w:cstheme="minorHAnsi"/>
          <w:lang w:val="en-US"/>
        </w:rPr>
      </w:pPr>
      <w:r w:rsidRPr="006671FA">
        <w:rPr>
          <w:rStyle w:val="Fuerte"/>
          <w:rFonts w:cstheme="minorHAnsi"/>
          <w:lang w:val="en-US"/>
        </w:rPr>
        <w:t>Keywords</w:t>
      </w:r>
    </w:p>
    <w:p w14:paraId="0D7B5CB7" w14:textId="7DF9EFE6" w:rsidR="00496D25" w:rsidRPr="006671FA" w:rsidRDefault="006D3EA5" w:rsidP="00F43FCD">
      <w:pPr>
        <w:rPr>
          <w:rFonts w:cstheme="minorHAnsi"/>
          <w:lang w:val="en-US"/>
        </w:rPr>
      </w:pPr>
      <w:r w:rsidRPr="006671FA">
        <w:rPr>
          <w:rFonts w:cstheme="minorHAnsi"/>
          <w:lang w:val="en-US"/>
        </w:rPr>
        <w:t>Keyw</w:t>
      </w:r>
      <w:r w:rsidR="00555BEE" w:rsidRPr="006671FA">
        <w:rPr>
          <w:rFonts w:cstheme="minorHAnsi"/>
          <w:lang w:val="en-US"/>
        </w:rPr>
        <w:t xml:space="preserve">ord1, </w:t>
      </w:r>
      <w:r w:rsidRPr="006671FA">
        <w:rPr>
          <w:rFonts w:cstheme="minorHAnsi"/>
          <w:lang w:val="en-US"/>
        </w:rPr>
        <w:t>Keyw</w:t>
      </w:r>
      <w:r w:rsidR="00555BEE" w:rsidRPr="006671FA">
        <w:rPr>
          <w:rFonts w:cstheme="minorHAnsi"/>
          <w:lang w:val="en-US"/>
        </w:rPr>
        <w:t>ord2</w:t>
      </w:r>
      <w:r w:rsidRPr="006671FA">
        <w:rPr>
          <w:rFonts w:cstheme="minorHAnsi"/>
          <w:lang w:val="en-US"/>
        </w:rPr>
        <w:t xml:space="preserve"> (10 keywords max., separated by commas).</w:t>
      </w:r>
    </w:p>
    <w:p w14:paraId="50A08E21" w14:textId="77777777" w:rsidR="00496D25" w:rsidRPr="006671FA" w:rsidRDefault="00496D25" w:rsidP="00F43FCD">
      <w:pPr>
        <w:rPr>
          <w:rFonts w:cstheme="minorHAnsi"/>
          <w:lang w:val="en-US"/>
        </w:rPr>
      </w:pPr>
    </w:p>
    <w:p w14:paraId="3A7963ED" w14:textId="77777777" w:rsidR="00496D25" w:rsidRPr="006671FA" w:rsidRDefault="00496D25" w:rsidP="00F43FCD">
      <w:pPr>
        <w:rPr>
          <w:rFonts w:cstheme="minorHAnsi"/>
          <w:lang w:val="en-US"/>
        </w:rPr>
      </w:pPr>
    </w:p>
    <w:p w14:paraId="5DFB5011" w14:textId="77777777" w:rsidR="00A36EC1" w:rsidRPr="006671FA" w:rsidRDefault="00A36EC1" w:rsidP="00F43FCD">
      <w:pPr>
        <w:rPr>
          <w:rFonts w:cstheme="minorHAnsi"/>
          <w:lang w:val="en-US"/>
        </w:rPr>
        <w:sectPr w:rsidR="00A36EC1" w:rsidRPr="006671FA" w:rsidSect="00310A7E">
          <w:type w:val="oddPage"/>
          <w:pgSz w:w="12240" w:h="15840"/>
          <w:pgMar w:top="1440" w:right="1440" w:bottom="1440" w:left="1440" w:header="720" w:footer="720" w:gutter="0"/>
          <w:pgNumType w:fmt="upperRoman"/>
          <w:cols w:space="720"/>
          <w:docGrid w:linePitch="360"/>
        </w:sectPr>
      </w:pPr>
    </w:p>
    <w:p w14:paraId="0D3B7545" w14:textId="77777777" w:rsidR="008E36E4" w:rsidRPr="006671FA" w:rsidRDefault="009C490E">
      <w:pPr>
        <w:pStyle w:val="PageHeading"/>
        <w:rPr>
          <w:rFonts w:asciiTheme="minorHAnsi" w:hAnsiTheme="minorHAnsi" w:cstheme="minorHAnsi"/>
          <w:lang w:val="es-ES_tradnl"/>
        </w:rPr>
      </w:pPr>
      <w:bookmarkStart w:id="5" w:name="Indice"/>
      <w:bookmarkStart w:id="6" w:name="_Toc229572260"/>
      <w:r w:rsidRPr="006671FA">
        <w:rPr>
          <w:rFonts w:asciiTheme="minorHAnsi" w:hAnsiTheme="minorHAnsi" w:cstheme="minorHAnsi"/>
          <w:lang w:val="es-ES_tradnl"/>
        </w:rPr>
        <w:lastRenderedPageBreak/>
        <w:t>Índice</w:t>
      </w:r>
      <w:r w:rsidR="00EF05DF" w:rsidRPr="006671FA">
        <w:rPr>
          <w:rFonts w:asciiTheme="minorHAnsi" w:hAnsiTheme="minorHAnsi" w:cstheme="minorHAnsi"/>
          <w:lang w:val="es-ES_tradnl"/>
        </w:rPr>
        <w:t xml:space="preserve"> de contenidos</w:t>
      </w:r>
      <w:bookmarkEnd w:id="5"/>
      <w:bookmarkEnd w:id="6"/>
    </w:p>
    <w:p w14:paraId="75C67727" w14:textId="3BAC7DE4" w:rsidR="008360E1" w:rsidRDefault="00913EDA">
      <w:pPr>
        <w:pStyle w:val="TDC1"/>
        <w:rPr>
          <w:rFonts w:eastAsiaTheme="minorEastAsia" w:cstheme="minorBidi"/>
          <w:noProof/>
          <w:kern w:val="2"/>
          <w:sz w:val="24"/>
          <w:lang w:val="es-ES" w:eastAsia="es-ES"/>
          <w14:ligatures w14:val="standardContextual"/>
        </w:rPr>
      </w:pPr>
      <w:r w:rsidRPr="006671FA">
        <w:rPr>
          <w:rFonts w:cstheme="minorHAnsi"/>
        </w:rPr>
        <w:fldChar w:fldCharType="begin"/>
      </w:r>
      <w:r w:rsidRPr="006671FA">
        <w:rPr>
          <w:rFonts w:cstheme="minorHAnsi"/>
        </w:rPr>
        <w:instrText xml:space="preserve"> TOC \o "1-3" \t "Título 5;4" </w:instrText>
      </w:r>
      <w:r w:rsidRPr="006671FA">
        <w:rPr>
          <w:rFonts w:cstheme="minorHAnsi"/>
        </w:rPr>
        <w:fldChar w:fldCharType="separate"/>
      </w:r>
      <w:r w:rsidR="008360E1" w:rsidRPr="006D0BE1">
        <w:rPr>
          <w:rFonts w:cstheme="minorHAnsi"/>
          <w:noProof/>
        </w:rPr>
        <w:t>Dedicatoria</w:t>
      </w:r>
      <w:r w:rsidR="008360E1">
        <w:rPr>
          <w:noProof/>
        </w:rPr>
        <w:tab/>
      </w:r>
      <w:r w:rsidR="008360E1">
        <w:rPr>
          <w:noProof/>
        </w:rPr>
        <w:fldChar w:fldCharType="begin"/>
      </w:r>
      <w:r w:rsidR="008360E1">
        <w:rPr>
          <w:noProof/>
        </w:rPr>
        <w:instrText xml:space="preserve"> PAGEREF _Toc229572256 \h </w:instrText>
      </w:r>
      <w:r w:rsidR="008360E1">
        <w:rPr>
          <w:noProof/>
        </w:rPr>
      </w:r>
      <w:r w:rsidR="008360E1">
        <w:rPr>
          <w:noProof/>
        </w:rPr>
        <w:fldChar w:fldCharType="separate"/>
      </w:r>
      <w:r w:rsidR="008360E1">
        <w:rPr>
          <w:noProof/>
        </w:rPr>
        <w:t>III</w:t>
      </w:r>
      <w:r w:rsidR="008360E1">
        <w:rPr>
          <w:noProof/>
        </w:rPr>
        <w:fldChar w:fldCharType="end"/>
      </w:r>
    </w:p>
    <w:p w14:paraId="59D6188A" w14:textId="6B592CFD"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lang w:val="es-ES"/>
        </w:rPr>
        <w:t>Agradecimientos</w:t>
      </w:r>
      <w:r>
        <w:rPr>
          <w:noProof/>
        </w:rPr>
        <w:tab/>
      </w:r>
      <w:r>
        <w:rPr>
          <w:noProof/>
        </w:rPr>
        <w:fldChar w:fldCharType="begin"/>
      </w:r>
      <w:r>
        <w:rPr>
          <w:noProof/>
        </w:rPr>
        <w:instrText xml:space="preserve"> PAGEREF _Toc229572257 \h </w:instrText>
      </w:r>
      <w:r>
        <w:rPr>
          <w:noProof/>
        </w:rPr>
      </w:r>
      <w:r>
        <w:rPr>
          <w:noProof/>
        </w:rPr>
        <w:fldChar w:fldCharType="separate"/>
      </w:r>
      <w:r>
        <w:rPr>
          <w:noProof/>
        </w:rPr>
        <w:t>V</w:t>
      </w:r>
      <w:r>
        <w:rPr>
          <w:noProof/>
        </w:rPr>
        <w:fldChar w:fldCharType="end"/>
      </w:r>
    </w:p>
    <w:p w14:paraId="05784C44" w14:textId="7CBAA47D"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Resumen</w:t>
      </w:r>
      <w:r>
        <w:rPr>
          <w:noProof/>
        </w:rPr>
        <w:tab/>
      </w:r>
      <w:r>
        <w:rPr>
          <w:noProof/>
        </w:rPr>
        <w:fldChar w:fldCharType="begin"/>
      </w:r>
      <w:r>
        <w:rPr>
          <w:noProof/>
        </w:rPr>
        <w:instrText xml:space="preserve"> PAGEREF _Toc229572258 \h </w:instrText>
      </w:r>
      <w:r>
        <w:rPr>
          <w:noProof/>
        </w:rPr>
      </w:r>
      <w:r>
        <w:rPr>
          <w:noProof/>
        </w:rPr>
        <w:fldChar w:fldCharType="separate"/>
      </w:r>
      <w:r>
        <w:rPr>
          <w:noProof/>
        </w:rPr>
        <w:t>VII</w:t>
      </w:r>
      <w:r>
        <w:rPr>
          <w:noProof/>
        </w:rPr>
        <w:fldChar w:fldCharType="end"/>
      </w:r>
    </w:p>
    <w:p w14:paraId="73126FEB" w14:textId="42289F0E"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Abstract</w:t>
      </w:r>
      <w:r>
        <w:rPr>
          <w:noProof/>
        </w:rPr>
        <w:tab/>
      </w:r>
      <w:r>
        <w:rPr>
          <w:noProof/>
        </w:rPr>
        <w:fldChar w:fldCharType="begin"/>
      </w:r>
      <w:r>
        <w:rPr>
          <w:noProof/>
        </w:rPr>
        <w:instrText xml:space="preserve"> PAGEREF _Toc229572259 \h </w:instrText>
      </w:r>
      <w:r>
        <w:rPr>
          <w:noProof/>
        </w:rPr>
      </w:r>
      <w:r>
        <w:rPr>
          <w:noProof/>
        </w:rPr>
        <w:fldChar w:fldCharType="separate"/>
      </w:r>
      <w:r>
        <w:rPr>
          <w:noProof/>
        </w:rPr>
        <w:t>IX</w:t>
      </w:r>
      <w:r>
        <w:rPr>
          <w:noProof/>
        </w:rPr>
        <w:fldChar w:fldCharType="end"/>
      </w:r>
    </w:p>
    <w:p w14:paraId="255C7273" w14:textId="36314986"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Índice de contenidos</w:t>
      </w:r>
      <w:r>
        <w:rPr>
          <w:noProof/>
        </w:rPr>
        <w:tab/>
      </w:r>
      <w:r>
        <w:rPr>
          <w:noProof/>
        </w:rPr>
        <w:fldChar w:fldCharType="begin"/>
      </w:r>
      <w:r>
        <w:rPr>
          <w:noProof/>
        </w:rPr>
        <w:instrText xml:space="preserve"> PAGEREF _Toc229572260 \h </w:instrText>
      </w:r>
      <w:r>
        <w:rPr>
          <w:noProof/>
        </w:rPr>
      </w:r>
      <w:r>
        <w:rPr>
          <w:noProof/>
        </w:rPr>
        <w:fldChar w:fldCharType="separate"/>
      </w:r>
      <w:r>
        <w:rPr>
          <w:noProof/>
        </w:rPr>
        <w:t>X</w:t>
      </w:r>
      <w:r>
        <w:rPr>
          <w:noProof/>
        </w:rPr>
        <w:fldChar w:fldCharType="end"/>
      </w:r>
    </w:p>
    <w:p w14:paraId="669F64CA" w14:textId="3D8183D4"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Índice de figuras</w:t>
      </w:r>
      <w:r>
        <w:rPr>
          <w:noProof/>
        </w:rPr>
        <w:tab/>
      </w:r>
      <w:r>
        <w:rPr>
          <w:noProof/>
        </w:rPr>
        <w:fldChar w:fldCharType="begin"/>
      </w:r>
      <w:r>
        <w:rPr>
          <w:noProof/>
        </w:rPr>
        <w:instrText xml:space="preserve"> PAGEREF _Toc229572261 \h </w:instrText>
      </w:r>
      <w:r>
        <w:rPr>
          <w:noProof/>
        </w:rPr>
      </w:r>
      <w:r>
        <w:rPr>
          <w:noProof/>
        </w:rPr>
        <w:fldChar w:fldCharType="separate"/>
      </w:r>
      <w:r>
        <w:rPr>
          <w:noProof/>
        </w:rPr>
        <w:t>XIII</w:t>
      </w:r>
      <w:r>
        <w:rPr>
          <w:noProof/>
        </w:rPr>
        <w:fldChar w:fldCharType="end"/>
      </w:r>
    </w:p>
    <w:p w14:paraId="0BEA905F" w14:textId="3EEA87FB"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Índice de tablas</w:t>
      </w:r>
      <w:r>
        <w:rPr>
          <w:noProof/>
        </w:rPr>
        <w:tab/>
      </w:r>
      <w:r>
        <w:rPr>
          <w:noProof/>
        </w:rPr>
        <w:fldChar w:fldCharType="begin"/>
      </w:r>
      <w:r>
        <w:rPr>
          <w:noProof/>
        </w:rPr>
        <w:instrText xml:space="preserve"> PAGEREF _Toc229572262 \h </w:instrText>
      </w:r>
      <w:r>
        <w:rPr>
          <w:noProof/>
        </w:rPr>
      </w:r>
      <w:r>
        <w:rPr>
          <w:noProof/>
        </w:rPr>
        <w:fldChar w:fldCharType="separate"/>
      </w:r>
      <w:r>
        <w:rPr>
          <w:noProof/>
        </w:rPr>
        <w:t>XV</w:t>
      </w:r>
      <w:r>
        <w:rPr>
          <w:noProof/>
        </w:rPr>
        <w:fldChar w:fldCharType="end"/>
      </w:r>
    </w:p>
    <w:p w14:paraId="40B15112" w14:textId="3F744AFF"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Capítulo 1 - INTRODUCCIÓN</w:t>
      </w:r>
      <w:r>
        <w:rPr>
          <w:noProof/>
        </w:rPr>
        <w:tab/>
      </w:r>
      <w:r>
        <w:rPr>
          <w:noProof/>
        </w:rPr>
        <w:fldChar w:fldCharType="begin"/>
      </w:r>
      <w:r>
        <w:rPr>
          <w:noProof/>
        </w:rPr>
        <w:instrText xml:space="preserve"> PAGEREF _Toc229572263 \h </w:instrText>
      </w:r>
      <w:r>
        <w:rPr>
          <w:noProof/>
        </w:rPr>
      </w:r>
      <w:r>
        <w:rPr>
          <w:noProof/>
        </w:rPr>
        <w:fldChar w:fldCharType="separate"/>
      </w:r>
      <w:r>
        <w:rPr>
          <w:noProof/>
        </w:rPr>
        <w:t>1</w:t>
      </w:r>
      <w:r>
        <w:rPr>
          <w:noProof/>
        </w:rPr>
        <w:fldChar w:fldCharType="end"/>
      </w:r>
    </w:p>
    <w:p w14:paraId="6D800118" w14:textId="75AE1076"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1.1 Motivación</w:t>
      </w:r>
      <w:r>
        <w:rPr>
          <w:noProof/>
        </w:rPr>
        <w:tab/>
      </w:r>
      <w:r>
        <w:rPr>
          <w:noProof/>
        </w:rPr>
        <w:fldChar w:fldCharType="begin"/>
      </w:r>
      <w:r>
        <w:rPr>
          <w:noProof/>
        </w:rPr>
        <w:instrText xml:space="preserve"> PAGEREF _Toc229572264 \h </w:instrText>
      </w:r>
      <w:r>
        <w:rPr>
          <w:noProof/>
        </w:rPr>
      </w:r>
      <w:r>
        <w:rPr>
          <w:noProof/>
        </w:rPr>
        <w:fldChar w:fldCharType="separate"/>
      </w:r>
      <w:r>
        <w:rPr>
          <w:noProof/>
        </w:rPr>
        <w:t>1</w:t>
      </w:r>
      <w:r>
        <w:rPr>
          <w:noProof/>
        </w:rPr>
        <w:fldChar w:fldCharType="end"/>
      </w:r>
    </w:p>
    <w:p w14:paraId="62B6E296" w14:textId="5956768C"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1.2 Objetivos</w:t>
      </w:r>
      <w:r>
        <w:rPr>
          <w:noProof/>
        </w:rPr>
        <w:tab/>
      </w:r>
      <w:r>
        <w:rPr>
          <w:noProof/>
        </w:rPr>
        <w:fldChar w:fldCharType="begin"/>
      </w:r>
      <w:r>
        <w:rPr>
          <w:noProof/>
        </w:rPr>
        <w:instrText xml:space="preserve"> PAGEREF _Toc229572265 \h </w:instrText>
      </w:r>
      <w:r>
        <w:rPr>
          <w:noProof/>
        </w:rPr>
      </w:r>
      <w:r>
        <w:rPr>
          <w:noProof/>
        </w:rPr>
        <w:fldChar w:fldCharType="separate"/>
      </w:r>
      <w:r>
        <w:rPr>
          <w:noProof/>
        </w:rPr>
        <w:t>1</w:t>
      </w:r>
      <w:r>
        <w:rPr>
          <w:noProof/>
        </w:rPr>
        <w:fldChar w:fldCharType="end"/>
      </w:r>
    </w:p>
    <w:p w14:paraId="1D1F91DA" w14:textId="7F0738EA"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1.3 Plan de trabajo</w:t>
      </w:r>
      <w:r>
        <w:rPr>
          <w:noProof/>
        </w:rPr>
        <w:tab/>
      </w:r>
      <w:r>
        <w:rPr>
          <w:noProof/>
        </w:rPr>
        <w:fldChar w:fldCharType="begin"/>
      </w:r>
      <w:r>
        <w:rPr>
          <w:noProof/>
        </w:rPr>
        <w:instrText xml:space="preserve"> PAGEREF _Toc229572266 \h </w:instrText>
      </w:r>
      <w:r>
        <w:rPr>
          <w:noProof/>
        </w:rPr>
      </w:r>
      <w:r>
        <w:rPr>
          <w:noProof/>
        </w:rPr>
        <w:fldChar w:fldCharType="separate"/>
      </w:r>
      <w:r>
        <w:rPr>
          <w:noProof/>
        </w:rPr>
        <w:t>1</w:t>
      </w:r>
      <w:r>
        <w:rPr>
          <w:noProof/>
        </w:rPr>
        <w:fldChar w:fldCharType="end"/>
      </w:r>
    </w:p>
    <w:p w14:paraId="5F2B0740" w14:textId="740ED13A"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lang w:val="es-ES"/>
        </w:rPr>
        <w:t>Capítulo 2 - ESTADO DE LA CUESTIÓN</w:t>
      </w:r>
      <w:r>
        <w:rPr>
          <w:noProof/>
        </w:rPr>
        <w:tab/>
      </w:r>
      <w:r>
        <w:rPr>
          <w:noProof/>
        </w:rPr>
        <w:fldChar w:fldCharType="begin"/>
      </w:r>
      <w:r>
        <w:rPr>
          <w:noProof/>
        </w:rPr>
        <w:instrText xml:space="preserve"> PAGEREF _Toc229572267 \h </w:instrText>
      </w:r>
      <w:r>
        <w:rPr>
          <w:noProof/>
        </w:rPr>
      </w:r>
      <w:r>
        <w:rPr>
          <w:noProof/>
        </w:rPr>
        <w:fldChar w:fldCharType="separate"/>
      </w:r>
      <w:r>
        <w:rPr>
          <w:noProof/>
        </w:rPr>
        <w:t>3</w:t>
      </w:r>
      <w:r>
        <w:rPr>
          <w:noProof/>
        </w:rPr>
        <w:fldChar w:fldCharType="end"/>
      </w:r>
    </w:p>
    <w:p w14:paraId="10C1FECA" w14:textId="24DB070B"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lang w:val="es-ES"/>
        </w:rPr>
        <w:t>Capítulo 3 - DATOS</w:t>
      </w:r>
      <w:r>
        <w:rPr>
          <w:noProof/>
        </w:rPr>
        <w:tab/>
      </w:r>
      <w:r>
        <w:rPr>
          <w:noProof/>
        </w:rPr>
        <w:fldChar w:fldCharType="begin"/>
      </w:r>
      <w:r>
        <w:rPr>
          <w:noProof/>
        </w:rPr>
        <w:instrText xml:space="preserve"> PAGEREF _Toc229572268 \h </w:instrText>
      </w:r>
      <w:r>
        <w:rPr>
          <w:noProof/>
        </w:rPr>
      </w:r>
      <w:r>
        <w:rPr>
          <w:noProof/>
        </w:rPr>
        <w:fldChar w:fldCharType="separate"/>
      </w:r>
      <w:r>
        <w:rPr>
          <w:noProof/>
        </w:rPr>
        <w:t>5</w:t>
      </w:r>
      <w:r>
        <w:rPr>
          <w:noProof/>
        </w:rPr>
        <w:fldChar w:fldCharType="end"/>
      </w:r>
    </w:p>
    <w:p w14:paraId="7D584B5E" w14:textId="71C5188D"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3.1 Descripción de los datos</w:t>
      </w:r>
      <w:r>
        <w:rPr>
          <w:noProof/>
        </w:rPr>
        <w:tab/>
      </w:r>
      <w:r>
        <w:rPr>
          <w:noProof/>
        </w:rPr>
        <w:fldChar w:fldCharType="begin"/>
      </w:r>
      <w:r>
        <w:rPr>
          <w:noProof/>
        </w:rPr>
        <w:instrText xml:space="preserve"> PAGEREF _Toc229572269 \h </w:instrText>
      </w:r>
      <w:r>
        <w:rPr>
          <w:noProof/>
        </w:rPr>
      </w:r>
      <w:r>
        <w:rPr>
          <w:noProof/>
        </w:rPr>
        <w:fldChar w:fldCharType="separate"/>
      </w:r>
      <w:r>
        <w:rPr>
          <w:noProof/>
        </w:rPr>
        <w:t>5</w:t>
      </w:r>
      <w:r>
        <w:rPr>
          <w:noProof/>
        </w:rPr>
        <w:fldChar w:fldCharType="end"/>
      </w:r>
    </w:p>
    <w:p w14:paraId="3F5059FF" w14:textId="453A4F62"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lang w:val="es-ES" w:eastAsia="es-ES"/>
        </w:rPr>
        <w:t>3.1.1 Mercado estadounidense (Core US)</w:t>
      </w:r>
      <w:r>
        <w:rPr>
          <w:noProof/>
        </w:rPr>
        <w:tab/>
      </w:r>
      <w:r>
        <w:rPr>
          <w:noProof/>
        </w:rPr>
        <w:fldChar w:fldCharType="begin"/>
      </w:r>
      <w:r>
        <w:rPr>
          <w:noProof/>
        </w:rPr>
        <w:instrText xml:space="preserve"> PAGEREF _Toc229572270 \h </w:instrText>
      </w:r>
      <w:r>
        <w:rPr>
          <w:noProof/>
        </w:rPr>
      </w:r>
      <w:r>
        <w:rPr>
          <w:noProof/>
        </w:rPr>
        <w:fldChar w:fldCharType="separate"/>
      </w:r>
      <w:r>
        <w:rPr>
          <w:noProof/>
        </w:rPr>
        <w:t>5</w:t>
      </w:r>
      <w:r>
        <w:rPr>
          <w:noProof/>
        </w:rPr>
        <w:fldChar w:fldCharType="end"/>
      </w:r>
    </w:p>
    <w:p w14:paraId="0899676D" w14:textId="64B49405"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lang w:val="es-ES" w:eastAsia="es-ES"/>
        </w:rPr>
        <w:t>3.1.2 Factores y estilos</w:t>
      </w:r>
      <w:r>
        <w:rPr>
          <w:noProof/>
        </w:rPr>
        <w:tab/>
      </w:r>
      <w:r>
        <w:rPr>
          <w:noProof/>
        </w:rPr>
        <w:fldChar w:fldCharType="begin"/>
      </w:r>
      <w:r>
        <w:rPr>
          <w:noProof/>
        </w:rPr>
        <w:instrText xml:space="preserve"> PAGEREF _Toc229572271 \h </w:instrText>
      </w:r>
      <w:r>
        <w:rPr>
          <w:noProof/>
        </w:rPr>
      </w:r>
      <w:r>
        <w:rPr>
          <w:noProof/>
        </w:rPr>
        <w:fldChar w:fldCharType="separate"/>
      </w:r>
      <w:r>
        <w:rPr>
          <w:noProof/>
        </w:rPr>
        <w:t>6</w:t>
      </w:r>
      <w:r>
        <w:rPr>
          <w:noProof/>
        </w:rPr>
        <w:fldChar w:fldCharType="end"/>
      </w:r>
    </w:p>
    <w:p w14:paraId="002187A2" w14:textId="458D8889"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lang w:val="es-ES" w:eastAsia="es-ES"/>
        </w:rPr>
        <w:t>3.1.3 Sectores económicos</w:t>
      </w:r>
      <w:r>
        <w:rPr>
          <w:noProof/>
        </w:rPr>
        <w:tab/>
      </w:r>
      <w:r>
        <w:rPr>
          <w:noProof/>
        </w:rPr>
        <w:fldChar w:fldCharType="begin"/>
      </w:r>
      <w:r>
        <w:rPr>
          <w:noProof/>
        </w:rPr>
        <w:instrText xml:space="preserve"> PAGEREF _Toc229572272 \h </w:instrText>
      </w:r>
      <w:r>
        <w:rPr>
          <w:noProof/>
        </w:rPr>
      </w:r>
      <w:r>
        <w:rPr>
          <w:noProof/>
        </w:rPr>
        <w:fldChar w:fldCharType="separate"/>
      </w:r>
      <w:r>
        <w:rPr>
          <w:noProof/>
        </w:rPr>
        <w:t>6</w:t>
      </w:r>
      <w:r>
        <w:rPr>
          <w:noProof/>
        </w:rPr>
        <w:fldChar w:fldCharType="end"/>
      </w:r>
    </w:p>
    <w:p w14:paraId="215D0CD3" w14:textId="7CC7B09E"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lang w:val="es-ES" w:eastAsia="es-ES"/>
        </w:rPr>
        <w:t>3.1.4 Mercados internacionales</w:t>
      </w:r>
      <w:r>
        <w:rPr>
          <w:noProof/>
        </w:rPr>
        <w:tab/>
      </w:r>
      <w:r>
        <w:rPr>
          <w:noProof/>
        </w:rPr>
        <w:fldChar w:fldCharType="begin"/>
      </w:r>
      <w:r>
        <w:rPr>
          <w:noProof/>
        </w:rPr>
        <w:instrText xml:space="preserve"> PAGEREF _Toc229572273 \h </w:instrText>
      </w:r>
      <w:r>
        <w:rPr>
          <w:noProof/>
        </w:rPr>
      </w:r>
      <w:r>
        <w:rPr>
          <w:noProof/>
        </w:rPr>
        <w:fldChar w:fldCharType="separate"/>
      </w:r>
      <w:r>
        <w:rPr>
          <w:noProof/>
        </w:rPr>
        <w:t>7</w:t>
      </w:r>
      <w:r>
        <w:rPr>
          <w:noProof/>
        </w:rPr>
        <w:fldChar w:fldCharType="end"/>
      </w:r>
    </w:p>
    <w:p w14:paraId="09C1AC43" w14:textId="1B6E5645"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lang w:val="es-ES" w:eastAsia="es-ES"/>
        </w:rPr>
        <w:t>3.1.5 Renta fija (Bonos)</w:t>
      </w:r>
      <w:r>
        <w:rPr>
          <w:noProof/>
        </w:rPr>
        <w:tab/>
      </w:r>
      <w:r>
        <w:rPr>
          <w:noProof/>
        </w:rPr>
        <w:fldChar w:fldCharType="begin"/>
      </w:r>
      <w:r>
        <w:rPr>
          <w:noProof/>
        </w:rPr>
        <w:instrText xml:space="preserve"> PAGEREF _Toc229572274 \h </w:instrText>
      </w:r>
      <w:r>
        <w:rPr>
          <w:noProof/>
        </w:rPr>
      </w:r>
      <w:r>
        <w:rPr>
          <w:noProof/>
        </w:rPr>
        <w:fldChar w:fldCharType="separate"/>
      </w:r>
      <w:r>
        <w:rPr>
          <w:noProof/>
        </w:rPr>
        <w:t>8</w:t>
      </w:r>
      <w:r>
        <w:rPr>
          <w:noProof/>
        </w:rPr>
        <w:fldChar w:fldCharType="end"/>
      </w:r>
    </w:p>
    <w:p w14:paraId="65FA2B47" w14:textId="07582B75"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lang w:val="es-ES" w:eastAsia="es-ES"/>
        </w:rPr>
        <w:t>3.1.6 Materias primas y activos reales</w:t>
      </w:r>
      <w:r>
        <w:rPr>
          <w:noProof/>
        </w:rPr>
        <w:tab/>
      </w:r>
      <w:r>
        <w:rPr>
          <w:noProof/>
        </w:rPr>
        <w:fldChar w:fldCharType="begin"/>
      </w:r>
      <w:r>
        <w:rPr>
          <w:noProof/>
        </w:rPr>
        <w:instrText xml:space="preserve"> PAGEREF _Toc229572275 \h </w:instrText>
      </w:r>
      <w:r>
        <w:rPr>
          <w:noProof/>
        </w:rPr>
      </w:r>
      <w:r>
        <w:rPr>
          <w:noProof/>
        </w:rPr>
        <w:fldChar w:fldCharType="separate"/>
      </w:r>
      <w:r>
        <w:rPr>
          <w:noProof/>
        </w:rPr>
        <w:t>8</w:t>
      </w:r>
      <w:r>
        <w:rPr>
          <w:noProof/>
        </w:rPr>
        <w:fldChar w:fldCharType="end"/>
      </w:r>
    </w:p>
    <w:p w14:paraId="495B31B0" w14:textId="6161B271"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3.2 Construcción de variables</w:t>
      </w:r>
      <w:r>
        <w:rPr>
          <w:noProof/>
        </w:rPr>
        <w:tab/>
      </w:r>
      <w:r>
        <w:rPr>
          <w:noProof/>
        </w:rPr>
        <w:fldChar w:fldCharType="begin"/>
      </w:r>
      <w:r>
        <w:rPr>
          <w:noProof/>
        </w:rPr>
        <w:instrText xml:space="preserve"> PAGEREF _Toc229572276 \h </w:instrText>
      </w:r>
      <w:r>
        <w:rPr>
          <w:noProof/>
        </w:rPr>
      </w:r>
      <w:r>
        <w:rPr>
          <w:noProof/>
        </w:rPr>
        <w:fldChar w:fldCharType="separate"/>
      </w:r>
      <w:r>
        <w:rPr>
          <w:noProof/>
        </w:rPr>
        <w:t>9</w:t>
      </w:r>
      <w:r>
        <w:rPr>
          <w:noProof/>
        </w:rPr>
        <w:fldChar w:fldCharType="end"/>
      </w:r>
    </w:p>
    <w:p w14:paraId="4A8E002F" w14:textId="483EFEED"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3.3 Análisis descriptivo inicial</w:t>
      </w:r>
      <w:r>
        <w:rPr>
          <w:noProof/>
        </w:rPr>
        <w:tab/>
      </w:r>
      <w:r>
        <w:rPr>
          <w:noProof/>
        </w:rPr>
        <w:fldChar w:fldCharType="begin"/>
      </w:r>
      <w:r>
        <w:rPr>
          <w:noProof/>
        </w:rPr>
        <w:instrText xml:space="preserve"> PAGEREF _Toc229572277 \h </w:instrText>
      </w:r>
      <w:r>
        <w:rPr>
          <w:noProof/>
        </w:rPr>
      </w:r>
      <w:r>
        <w:rPr>
          <w:noProof/>
        </w:rPr>
        <w:fldChar w:fldCharType="separate"/>
      </w:r>
      <w:r>
        <w:rPr>
          <w:noProof/>
        </w:rPr>
        <w:t>10</w:t>
      </w:r>
      <w:r>
        <w:rPr>
          <w:noProof/>
        </w:rPr>
        <w:fldChar w:fldCharType="end"/>
      </w:r>
    </w:p>
    <w:p w14:paraId="44A9DD58" w14:textId="67387819"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3.3.1 Estadística descriptiva</w:t>
      </w:r>
      <w:r>
        <w:rPr>
          <w:noProof/>
        </w:rPr>
        <w:tab/>
      </w:r>
      <w:r>
        <w:rPr>
          <w:noProof/>
        </w:rPr>
        <w:fldChar w:fldCharType="begin"/>
      </w:r>
      <w:r>
        <w:rPr>
          <w:noProof/>
        </w:rPr>
        <w:instrText xml:space="preserve"> PAGEREF _Toc229572278 \h </w:instrText>
      </w:r>
      <w:r>
        <w:rPr>
          <w:noProof/>
        </w:rPr>
      </w:r>
      <w:r>
        <w:rPr>
          <w:noProof/>
        </w:rPr>
        <w:fldChar w:fldCharType="separate"/>
      </w:r>
      <w:r>
        <w:rPr>
          <w:noProof/>
        </w:rPr>
        <w:t>10</w:t>
      </w:r>
      <w:r>
        <w:rPr>
          <w:noProof/>
        </w:rPr>
        <w:fldChar w:fldCharType="end"/>
      </w:r>
    </w:p>
    <w:p w14:paraId="439D63BE" w14:textId="2DD4BB74"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lastRenderedPageBreak/>
        <w:t>3.3.2 Histogramas</w:t>
      </w:r>
      <w:r>
        <w:rPr>
          <w:noProof/>
        </w:rPr>
        <w:tab/>
      </w:r>
      <w:r>
        <w:rPr>
          <w:noProof/>
        </w:rPr>
        <w:fldChar w:fldCharType="begin"/>
      </w:r>
      <w:r>
        <w:rPr>
          <w:noProof/>
        </w:rPr>
        <w:instrText xml:space="preserve"> PAGEREF _Toc229572279 \h </w:instrText>
      </w:r>
      <w:r>
        <w:rPr>
          <w:noProof/>
        </w:rPr>
      </w:r>
      <w:r>
        <w:rPr>
          <w:noProof/>
        </w:rPr>
        <w:fldChar w:fldCharType="separate"/>
      </w:r>
      <w:r>
        <w:rPr>
          <w:noProof/>
        </w:rPr>
        <w:t>11</w:t>
      </w:r>
      <w:r>
        <w:rPr>
          <w:noProof/>
        </w:rPr>
        <w:fldChar w:fldCharType="end"/>
      </w:r>
    </w:p>
    <w:p w14:paraId="080843A6" w14:textId="01BDA895"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3.3.3 Boxplot</w:t>
      </w:r>
      <w:r>
        <w:rPr>
          <w:noProof/>
        </w:rPr>
        <w:tab/>
      </w:r>
      <w:r>
        <w:rPr>
          <w:noProof/>
        </w:rPr>
        <w:fldChar w:fldCharType="begin"/>
      </w:r>
      <w:r>
        <w:rPr>
          <w:noProof/>
        </w:rPr>
        <w:instrText xml:space="preserve"> PAGEREF _Toc229572280 \h </w:instrText>
      </w:r>
      <w:r>
        <w:rPr>
          <w:noProof/>
        </w:rPr>
      </w:r>
      <w:r>
        <w:rPr>
          <w:noProof/>
        </w:rPr>
        <w:fldChar w:fldCharType="separate"/>
      </w:r>
      <w:r>
        <w:rPr>
          <w:noProof/>
        </w:rPr>
        <w:t>11</w:t>
      </w:r>
      <w:r>
        <w:rPr>
          <w:noProof/>
        </w:rPr>
        <w:fldChar w:fldCharType="end"/>
      </w:r>
    </w:p>
    <w:p w14:paraId="4017DFB1" w14:textId="657F377B"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3.3.4 Matriz de correlaciones</w:t>
      </w:r>
      <w:r>
        <w:rPr>
          <w:noProof/>
        </w:rPr>
        <w:tab/>
      </w:r>
      <w:r>
        <w:rPr>
          <w:noProof/>
        </w:rPr>
        <w:fldChar w:fldCharType="begin"/>
      </w:r>
      <w:r>
        <w:rPr>
          <w:noProof/>
        </w:rPr>
        <w:instrText xml:space="preserve"> PAGEREF _Toc229572281 \h </w:instrText>
      </w:r>
      <w:r>
        <w:rPr>
          <w:noProof/>
        </w:rPr>
      </w:r>
      <w:r>
        <w:rPr>
          <w:noProof/>
        </w:rPr>
        <w:fldChar w:fldCharType="separate"/>
      </w:r>
      <w:r>
        <w:rPr>
          <w:noProof/>
        </w:rPr>
        <w:t>13</w:t>
      </w:r>
      <w:r>
        <w:rPr>
          <w:noProof/>
        </w:rPr>
        <w:fldChar w:fldCharType="end"/>
      </w:r>
    </w:p>
    <w:p w14:paraId="6EED5F77" w14:textId="41B945AF"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3.3.5 Periodo Temporal</w:t>
      </w:r>
      <w:r>
        <w:rPr>
          <w:noProof/>
        </w:rPr>
        <w:tab/>
      </w:r>
      <w:r>
        <w:rPr>
          <w:noProof/>
        </w:rPr>
        <w:fldChar w:fldCharType="begin"/>
      </w:r>
      <w:r>
        <w:rPr>
          <w:noProof/>
        </w:rPr>
        <w:instrText xml:space="preserve"> PAGEREF _Toc229572282 \h </w:instrText>
      </w:r>
      <w:r>
        <w:rPr>
          <w:noProof/>
        </w:rPr>
      </w:r>
      <w:r>
        <w:rPr>
          <w:noProof/>
        </w:rPr>
        <w:fldChar w:fldCharType="separate"/>
      </w:r>
      <w:r>
        <w:rPr>
          <w:noProof/>
        </w:rPr>
        <w:t>13</w:t>
      </w:r>
      <w:r>
        <w:rPr>
          <w:noProof/>
        </w:rPr>
        <w:fldChar w:fldCharType="end"/>
      </w:r>
    </w:p>
    <w:p w14:paraId="23745417" w14:textId="246E9253"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lang w:val="es-ES"/>
        </w:rPr>
        <w:t>Capítulo 4 - METODOLOGÍA</w:t>
      </w:r>
      <w:r>
        <w:rPr>
          <w:noProof/>
        </w:rPr>
        <w:tab/>
      </w:r>
      <w:r>
        <w:rPr>
          <w:noProof/>
        </w:rPr>
        <w:fldChar w:fldCharType="begin"/>
      </w:r>
      <w:r>
        <w:rPr>
          <w:noProof/>
        </w:rPr>
        <w:instrText xml:space="preserve"> PAGEREF _Toc229572283 \h </w:instrText>
      </w:r>
      <w:r>
        <w:rPr>
          <w:noProof/>
        </w:rPr>
      </w:r>
      <w:r>
        <w:rPr>
          <w:noProof/>
        </w:rPr>
        <w:fldChar w:fldCharType="separate"/>
      </w:r>
      <w:r>
        <w:rPr>
          <w:noProof/>
        </w:rPr>
        <w:t>14</w:t>
      </w:r>
      <w:r>
        <w:rPr>
          <w:noProof/>
        </w:rPr>
        <w:fldChar w:fldCharType="end"/>
      </w:r>
    </w:p>
    <w:p w14:paraId="40CAB392" w14:textId="5DE193CF"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4.1 MODELIZACIÓN MEDIANTE SERIES TEMPORALES</w:t>
      </w:r>
      <w:r>
        <w:rPr>
          <w:noProof/>
        </w:rPr>
        <w:tab/>
      </w:r>
      <w:r>
        <w:rPr>
          <w:noProof/>
        </w:rPr>
        <w:fldChar w:fldCharType="begin"/>
      </w:r>
      <w:r>
        <w:rPr>
          <w:noProof/>
        </w:rPr>
        <w:instrText xml:space="preserve"> PAGEREF _Toc229572284 \h </w:instrText>
      </w:r>
      <w:r>
        <w:rPr>
          <w:noProof/>
        </w:rPr>
      </w:r>
      <w:r>
        <w:rPr>
          <w:noProof/>
        </w:rPr>
        <w:fldChar w:fldCharType="separate"/>
      </w:r>
      <w:r>
        <w:rPr>
          <w:noProof/>
        </w:rPr>
        <w:t>14</w:t>
      </w:r>
      <w:r>
        <w:rPr>
          <w:noProof/>
        </w:rPr>
        <w:fldChar w:fldCharType="end"/>
      </w:r>
    </w:p>
    <w:p w14:paraId="3B57D13D" w14:textId="69CCFE8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4.1.1 Elección de la variable objetivo</w:t>
      </w:r>
      <w:r>
        <w:rPr>
          <w:noProof/>
        </w:rPr>
        <w:tab/>
      </w:r>
      <w:r>
        <w:rPr>
          <w:noProof/>
        </w:rPr>
        <w:fldChar w:fldCharType="begin"/>
      </w:r>
      <w:r>
        <w:rPr>
          <w:noProof/>
        </w:rPr>
        <w:instrText xml:space="preserve"> PAGEREF _Toc229572285 \h </w:instrText>
      </w:r>
      <w:r>
        <w:rPr>
          <w:noProof/>
        </w:rPr>
      </w:r>
      <w:r>
        <w:rPr>
          <w:noProof/>
        </w:rPr>
        <w:fldChar w:fldCharType="separate"/>
      </w:r>
      <w:r>
        <w:rPr>
          <w:noProof/>
        </w:rPr>
        <w:t>14</w:t>
      </w:r>
      <w:r>
        <w:rPr>
          <w:noProof/>
        </w:rPr>
        <w:fldChar w:fldCharType="end"/>
      </w:r>
    </w:p>
    <w:p w14:paraId="3302EBE6" w14:textId="4C9E4B03"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4.1.2 Estacionariedad</w:t>
      </w:r>
      <w:r>
        <w:rPr>
          <w:noProof/>
        </w:rPr>
        <w:tab/>
      </w:r>
      <w:r>
        <w:rPr>
          <w:noProof/>
        </w:rPr>
        <w:fldChar w:fldCharType="begin"/>
      </w:r>
      <w:r>
        <w:rPr>
          <w:noProof/>
        </w:rPr>
        <w:instrText xml:space="preserve"> PAGEREF _Toc229572286 \h </w:instrText>
      </w:r>
      <w:r>
        <w:rPr>
          <w:noProof/>
        </w:rPr>
      </w:r>
      <w:r>
        <w:rPr>
          <w:noProof/>
        </w:rPr>
        <w:fldChar w:fldCharType="separate"/>
      </w:r>
      <w:r>
        <w:rPr>
          <w:noProof/>
        </w:rPr>
        <w:t>14</w:t>
      </w:r>
      <w:r>
        <w:rPr>
          <w:noProof/>
        </w:rPr>
        <w:fldChar w:fldCharType="end"/>
      </w:r>
    </w:p>
    <w:p w14:paraId="1220AF20" w14:textId="63737571"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iCs/>
          <w:noProof/>
        </w:rPr>
        <w:t>4.1.3 Análisis de autocorrelación</w:t>
      </w:r>
      <w:r>
        <w:rPr>
          <w:noProof/>
        </w:rPr>
        <w:tab/>
      </w:r>
      <w:r>
        <w:rPr>
          <w:noProof/>
        </w:rPr>
        <w:fldChar w:fldCharType="begin"/>
      </w:r>
      <w:r>
        <w:rPr>
          <w:noProof/>
        </w:rPr>
        <w:instrText xml:space="preserve"> PAGEREF _Toc229572287 \h </w:instrText>
      </w:r>
      <w:r>
        <w:rPr>
          <w:noProof/>
        </w:rPr>
      </w:r>
      <w:r>
        <w:rPr>
          <w:noProof/>
        </w:rPr>
        <w:fldChar w:fldCharType="separate"/>
      </w:r>
      <w:r>
        <w:rPr>
          <w:noProof/>
        </w:rPr>
        <w:t>15</w:t>
      </w:r>
      <w:r>
        <w:rPr>
          <w:noProof/>
        </w:rPr>
        <w:fldChar w:fldCharType="end"/>
      </w:r>
    </w:p>
    <w:p w14:paraId="0AEB0691" w14:textId="003F6FEA"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iCs/>
          <w:noProof/>
        </w:rPr>
        <w:t>4.1.4 Selección del modelo ARIMA</w:t>
      </w:r>
      <w:r>
        <w:rPr>
          <w:noProof/>
        </w:rPr>
        <w:tab/>
      </w:r>
      <w:r>
        <w:rPr>
          <w:noProof/>
        </w:rPr>
        <w:fldChar w:fldCharType="begin"/>
      </w:r>
      <w:r>
        <w:rPr>
          <w:noProof/>
        </w:rPr>
        <w:instrText xml:space="preserve"> PAGEREF _Toc229572288 \h </w:instrText>
      </w:r>
      <w:r>
        <w:rPr>
          <w:noProof/>
        </w:rPr>
      </w:r>
      <w:r>
        <w:rPr>
          <w:noProof/>
        </w:rPr>
        <w:fldChar w:fldCharType="separate"/>
      </w:r>
      <w:r>
        <w:rPr>
          <w:noProof/>
        </w:rPr>
        <w:t>15</w:t>
      </w:r>
      <w:r>
        <w:rPr>
          <w:noProof/>
        </w:rPr>
        <w:fldChar w:fldCharType="end"/>
      </w:r>
    </w:p>
    <w:p w14:paraId="75679508" w14:textId="6C8068A1"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iCs/>
          <w:noProof/>
        </w:rPr>
        <w:t>4.1.5 Comparación con modelos base</w:t>
      </w:r>
      <w:r>
        <w:rPr>
          <w:noProof/>
        </w:rPr>
        <w:tab/>
      </w:r>
      <w:r>
        <w:rPr>
          <w:noProof/>
        </w:rPr>
        <w:fldChar w:fldCharType="begin"/>
      </w:r>
      <w:r>
        <w:rPr>
          <w:noProof/>
        </w:rPr>
        <w:instrText xml:space="preserve"> PAGEREF _Toc229572289 \h </w:instrText>
      </w:r>
      <w:r>
        <w:rPr>
          <w:noProof/>
        </w:rPr>
      </w:r>
      <w:r>
        <w:rPr>
          <w:noProof/>
        </w:rPr>
        <w:fldChar w:fldCharType="separate"/>
      </w:r>
      <w:r>
        <w:rPr>
          <w:noProof/>
        </w:rPr>
        <w:t>17</w:t>
      </w:r>
      <w:r>
        <w:rPr>
          <w:noProof/>
        </w:rPr>
        <w:fldChar w:fldCharType="end"/>
      </w:r>
    </w:p>
    <w:p w14:paraId="21CD4221" w14:textId="0D403F9B"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lang w:val="es-ES"/>
        </w:rPr>
        <w:t>4.2 MODELIZACIÓN MEDIANTE APRENDIZAJE AUTOMÁTICO</w:t>
      </w:r>
      <w:r>
        <w:rPr>
          <w:noProof/>
        </w:rPr>
        <w:tab/>
      </w:r>
      <w:r>
        <w:rPr>
          <w:noProof/>
        </w:rPr>
        <w:fldChar w:fldCharType="begin"/>
      </w:r>
      <w:r>
        <w:rPr>
          <w:noProof/>
        </w:rPr>
        <w:instrText xml:space="preserve"> PAGEREF _Toc229572290 \h </w:instrText>
      </w:r>
      <w:r>
        <w:rPr>
          <w:noProof/>
        </w:rPr>
      </w:r>
      <w:r>
        <w:rPr>
          <w:noProof/>
        </w:rPr>
        <w:fldChar w:fldCharType="separate"/>
      </w:r>
      <w:r>
        <w:rPr>
          <w:noProof/>
        </w:rPr>
        <w:t>18</w:t>
      </w:r>
      <w:r>
        <w:rPr>
          <w:noProof/>
        </w:rPr>
        <w:fldChar w:fldCharType="end"/>
      </w:r>
    </w:p>
    <w:p w14:paraId="5A6EA6F5" w14:textId="258B077A"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4.2.1 Introducción y motivación del enfoque</w:t>
      </w:r>
      <w:r>
        <w:rPr>
          <w:noProof/>
        </w:rPr>
        <w:tab/>
      </w:r>
      <w:r>
        <w:rPr>
          <w:noProof/>
        </w:rPr>
        <w:fldChar w:fldCharType="begin"/>
      </w:r>
      <w:r>
        <w:rPr>
          <w:noProof/>
        </w:rPr>
        <w:instrText xml:space="preserve"> PAGEREF _Toc229572291 \h </w:instrText>
      </w:r>
      <w:r>
        <w:rPr>
          <w:noProof/>
        </w:rPr>
      </w:r>
      <w:r>
        <w:rPr>
          <w:noProof/>
        </w:rPr>
        <w:fldChar w:fldCharType="separate"/>
      </w:r>
      <w:r>
        <w:rPr>
          <w:noProof/>
        </w:rPr>
        <w:t>18</w:t>
      </w:r>
      <w:r>
        <w:rPr>
          <w:noProof/>
        </w:rPr>
        <w:fldChar w:fldCharType="end"/>
      </w:r>
    </w:p>
    <w:p w14:paraId="6207DCF8" w14:textId="66414EEF"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Preprocesado de los datos</w:t>
      </w:r>
      <w:r>
        <w:rPr>
          <w:noProof/>
        </w:rPr>
        <w:tab/>
      </w:r>
      <w:r>
        <w:rPr>
          <w:noProof/>
        </w:rPr>
        <w:fldChar w:fldCharType="begin"/>
      </w:r>
      <w:r>
        <w:rPr>
          <w:noProof/>
        </w:rPr>
        <w:instrText xml:space="preserve"> PAGEREF _Toc229572292 \h </w:instrText>
      </w:r>
      <w:r>
        <w:rPr>
          <w:noProof/>
        </w:rPr>
      </w:r>
      <w:r>
        <w:rPr>
          <w:noProof/>
        </w:rPr>
        <w:fldChar w:fldCharType="separate"/>
      </w:r>
      <w:r>
        <w:rPr>
          <w:noProof/>
        </w:rPr>
        <w:t>19</w:t>
      </w:r>
      <w:r>
        <w:rPr>
          <w:noProof/>
        </w:rPr>
        <w:fldChar w:fldCharType="end"/>
      </w:r>
    </w:p>
    <w:p w14:paraId="62B4F95F" w14:textId="6A84220B"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Preprocesado para la frecuencia diaria</w:t>
      </w:r>
      <w:r>
        <w:rPr>
          <w:noProof/>
        </w:rPr>
        <w:tab/>
      </w:r>
      <w:r>
        <w:rPr>
          <w:noProof/>
        </w:rPr>
        <w:fldChar w:fldCharType="begin"/>
      </w:r>
      <w:r>
        <w:rPr>
          <w:noProof/>
        </w:rPr>
        <w:instrText xml:space="preserve"> PAGEREF _Toc229572293 \h </w:instrText>
      </w:r>
      <w:r>
        <w:rPr>
          <w:noProof/>
        </w:rPr>
      </w:r>
      <w:r>
        <w:rPr>
          <w:noProof/>
        </w:rPr>
        <w:fldChar w:fldCharType="separate"/>
      </w:r>
      <w:r>
        <w:rPr>
          <w:noProof/>
        </w:rPr>
        <w:t>19</w:t>
      </w:r>
      <w:r>
        <w:rPr>
          <w:noProof/>
        </w:rPr>
        <w:fldChar w:fldCharType="end"/>
      </w:r>
    </w:p>
    <w:p w14:paraId="53CFA533" w14:textId="26B00F8D"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Preprocesado para la frecuencia semanal</w:t>
      </w:r>
      <w:r>
        <w:rPr>
          <w:noProof/>
        </w:rPr>
        <w:tab/>
      </w:r>
      <w:r>
        <w:rPr>
          <w:noProof/>
        </w:rPr>
        <w:fldChar w:fldCharType="begin"/>
      </w:r>
      <w:r>
        <w:rPr>
          <w:noProof/>
        </w:rPr>
        <w:instrText xml:space="preserve"> PAGEREF _Toc229572294 \h </w:instrText>
      </w:r>
      <w:r>
        <w:rPr>
          <w:noProof/>
        </w:rPr>
      </w:r>
      <w:r>
        <w:rPr>
          <w:noProof/>
        </w:rPr>
        <w:fldChar w:fldCharType="separate"/>
      </w:r>
      <w:r>
        <w:rPr>
          <w:noProof/>
        </w:rPr>
        <w:t>20</w:t>
      </w:r>
      <w:r>
        <w:rPr>
          <w:noProof/>
        </w:rPr>
        <w:fldChar w:fldCharType="end"/>
      </w:r>
    </w:p>
    <w:p w14:paraId="600180C0" w14:textId="0877ACDC"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Diseño del experimento</w:t>
      </w:r>
      <w:r>
        <w:rPr>
          <w:noProof/>
        </w:rPr>
        <w:tab/>
      </w:r>
      <w:r>
        <w:rPr>
          <w:noProof/>
        </w:rPr>
        <w:fldChar w:fldCharType="begin"/>
      </w:r>
      <w:r>
        <w:rPr>
          <w:noProof/>
        </w:rPr>
        <w:instrText xml:space="preserve"> PAGEREF _Toc229572295 \h </w:instrText>
      </w:r>
      <w:r>
        <w:rPr>
          <w:noProof/>
        </w:rPr>
      </w:r>
      <w:r>
        <w:rPr>
          <w:noProof/>
        </w:rPr>
        <w:fldChar w:fldCharType="separate"/>
      </w:r>
      <w:r>
        <w:rPr>
          <w:noProof/>
        </w:rPr>
        <w:t>21</w:t>
      </w:r>
      <w:r>
        <w:rPr>
          <w:noProof/>
        </w:rPr>
        <w:fldChar w:fldCharType="end"/>
      </w:r>
    </w:p>
    <w:p w14:paraId="34B51CD1" w14:textId="13DF5E8F"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Estructura general</w:t>
      </w:r>
      <w:r>
        <w:rPr>
          <w:noProof/>
        </w:rPr>
        <w:tab/>
      </w:r>
      <w:r>
        <w:rPr>
          <w:noProof/>
        </w:rPr>
        <w:fldChar w:fldCharType="begin"/>
      </w:r>
      <w:r>
        <w:rPr>
          <w:noProof/>
        </w:rPr>
        <w:instrText xml:space="preserve"> PAGEREF _Toc229572296 \h </w:instrText>
      </w:r>
      <w:r>
        <w:rPr>
          <w:noProof/>
        </w:rPr>
      </w:r>
      <w:r>
        <w:rPr>
          <w:noProof/>
        </w:rPr>
        <w:fldChar w:fldCharType="separate"/>
      </w:r>
      <w:r>
        <w:rPr>
          <w:noProof/>
        </w:rPr>
        <w:t>21</w:t>
      </w:r>
      <w:r>
        <w:rPr>
          <w:noProof/>
        </w:rPr>
        <w:fldChar w:fldCharType="end"/>
      </w:r>
    </w:p>
    <w:p w14:paraId="231F5A51" w14:textId="2FBC496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Separación temporal de los datos</w:t>
      </w:r>
      <w:r>
        <w:rPr>
          <w:noProof/>
        </w:rPr>
        <w:tab/>
      </w:r>
      <w:r>
        <w:rPr>
          <w:noProof/>
        </w:rPr>
        <w:fldChar w:fldCharType="begin"/>
      </w:r>
      <w:r>
        <w:rPr>
          <w:noProof/>
        </w:rPr>
        <w:instrText xml:space="preserve"> PAGEREF _Toc229572297 \h </w:instrText>
      </w:r>
      <w:r>
        <w:rPr>
          <w:noProof/>
        </w:rPr>
      </w:r>
      <w:r>
        <w:rPr>
          <w:noProof/>
        </w:rPr>
        <w:fldChar w:fldCharType="separate"/>
      </w:r>
      <w:r>
        <w:rPr>
          <w:noProof/>
        </w:rPr>
        <w:t>22</w:t>
      </w:r>
      <w:r>
        <w:rPr>
          <w:noProof/>
        </w:rPr>
        <w:fldChar w:fldCharType="end"/>
      </w:r>
    </w:p>
    <w:p w14:paraId="04D8877B" w14:textId="1B32888C"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Validación walk-forward con ventana expandible</w:t>
      </w:r>
      <w:r>
        <w:rPr>
          <w:noProof/>
        </w:rPr>
        <w:tab/>
      </w:r>
      <w:r>
        <w:rPr>
          <w:noProof/>
        </w:rPr>
        <w:fldChar w:fldCharType="begin"/>
      </w:r>
      <w:r>
        <w:rPr>
          <w:noProof/>
        </w:rPr>
        <w:instrText xml:space="preserve"> PAGEREF _Toc229572298 \h </w:instrText>
      </w:r>
      <w:r>
        <w:rPr>
          <w:noProof/>
        </w:rPr>
      </w:r>
      <w:r>
        <w:rPr>
          <w:noProof/>
        </w:rPr>
        <w:fldChar w:fldCharType="separate"/>
      </w:r>
      <w:r>
        <w:rPr>
          <w:noProof/>
        </w:rPr>
        <w:t>22</w:t>
      </w:r>
      <w:r>
        <w:rPr>
          <w:noProof/>
        </w:rPr>
        <w:fldChar w:fldCharType="end"/>
      </w:r>
    </w:p>
    <w:p w14:paraId="01D23A0D" w14:textId="199A57C2"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Métricas de evaluación y benchmarks</w:t>
      </w:r>
      <w:r>
        <w:rPr>
          <w:noProof/>
        </w:rPr>
        <w:tab/>
      </w:r>
      <w:r>
        <w:rPr>
          <w:noProof/>
        </w:rPr>
        <w:fldChar w:fldCharType="begin"/>
      </w:r>
      <w:r>
        <w:rPr>
          <w:noProof/>
        </w:rPr>
        <w:instrText xml:space="preserve"> PAGEREF _Toc229572299 \h </w:instrText>
      </w:r>
      <w:r>
        <w:rPr>
          <w:noProof/>
        </w:rPr>
      </w:r>
      <w:r>
        <w:rPr>
          <w:noProof/>
        </w:rPr>
        <w:fldChar w:fldCharType="separate"/>
      </w:r>
      <w:r>
        <w:rPr>
          <w:noProof/>
        </w:rPr>
        <w:t>23</w:t>
      </w:r>
      <w:r>
        <w:rPr>
          <w:noProof/>
        </w:rPr>
        <w:fldChar w:fldCharType="end"/>
      </w:r>
    </w:p>
    <w:p w14:paraId="7909B952" w14:textId="247DA5DD"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Modelos utilizados</w:t>
      </w:r>
      <w:r>
        <w:rPr>
          <w:noProof/>
        </w:rPr>
        <w:tab/>
      </w:r>
      <w:r>
        <w:rPr>
          <w:noProof/>
        </w:rPr>
        <w:fldChar w:fldCharType="begin"/>
      </w:r>
      <w:r>
        <w:rPr>
          <w:noProof/>
        </w:rPr>
        <w:instrText xml:space="preserve"> PAGEREF _Toc229572300 \h </w:instrText>
      </w:r>
      <w:r>
        <w:rPr>
          <w:noProof/>
        </w:rPr>
      </w:r>
      <w:r>
        <w:rPr>
          <w:noProof/>
        </w:rPr>
        <w:fldChar w:fldCharType="separate"/>
      </w:r>
      <w:r>
        <w:rPr>
          <w:noProof/>
        </w:rPr>
        <w:t>23</w:t>
      </w:r>
      <w:r>
        <w:rPr>
          <w:noProof/>
        </w:rPr>
        <w:fldChar w:fldCharType="end"/>
      </w:r>
    </w:p>
    <w:p w14:paraId="05176C44" w14:textId="4E57ACF9"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Regresión lineal</w:t>
      </w:r>
      <w:r>
        <w:rPr>
          <w:noProof/>
        </w:rPr>
        <w:tab/>
      </w:r>
      <w:r>
        <w:rPr>
          <w:noProof/>
        </w:rPr>
        <w:fldChar w:fldCharType="begin"/>
      </w:r>
      <w:r>
        <w:rPr>
          <w:noProof/>
        </w:rPr>
        <w:instrText xml:space="preserve"> PAGEREF _Toc229572301 \h </w:instrText>
      </w:r>
      <w:r>
        <w:rPr>
          <w:noProof/>
        </w:rPr>
      </w:r>
      <w:r>
        <w:rPr>
          <w:noProof/>
        </w:rPr>
        <w:fldChar w:fldCharType="separate"/>
      </w:r>
      <w:r>
        <w:rPr>
          <w:noProof/>
        </w:rPr>
        <w:t>23</w:t>
      </w:r>
      <w:r>
        <w:rPr>
          <w:noProof/>
        </w:rPr>
        <w:fldChar w:fldCharType="end"/>
      </w:r>
    </w:p>
    <w:p w14:paraId="6EA11F47" w14:textId="01E37D52"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Ridge</w:t>
      </w:r>
      <w:r>
        <w:rPr>
          <w:noProof/>
        </w:rPr>
        <w:tab/>
      </w:r>
      <w:r>
        <w:rPr>
          <w:noProof/>
        </w:rPr>
        <w:fldChar w:fldCharType="begin"/>
      </w:r>
      <w:r>
        <w:rPr>
          <w:noProof/>
        </w:rPr>
        <w:instrText xml:space="preserve"> PAGEREF _Toc229572302 \h </w:instrText>
      </w:r>
      <w:r>
        <w:rPr>
          <w:noProof/>
        </w:rPr>
      </w:r>
      <w:r>
        <w:rPr>
          <w:noProof/>
        </w:rPr>
        <w:fldChar w:fldCharType="separate"/>
      </w:r>
      <w:r>
        <w:rPr>
          <w:noProof/>
        </w:rPr>
        <w:t>24</w:t>
      </w:r>
      <w:r>
        <w:rPr>
          <w:noProof/>
        </w:rPr>
        <w:fldChar w:fldCharType="end"/>
      </w:r>
    </w:p>
    <w:p w14:paraId="3639D7F0" w14:textId="58D604F0"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Random Forest</w:t>
      </w:r>
      <w:r>
        <w:rPr>
          <w:noProof/>
        </w:rPr>
        <w:tab/>
      </w:r>
      <w:r>
        <w:rPr>
          <w:noProof/>
        </w:rPr>
        <w:fldChar w:fldCharType="begin"/>
      </w:r>
      <w:r>
        <w:rPr>
          <w:noProof/>
        </w:rPr>
        <w:instrText xml:space="preserve"> PAGEREF _Toc229572303 \h </w:instrText>
      </w:r>
      <w:r>
        <w:rPr>
          <w:noProof/>
        </w:rPr>
      </w:r>
      <w:r>
        <w:rPr>
          <w:noProof/>
        </w:rPr>
        <w:fldChar w:fldCharType="separate"/>
      </w:r>
      <w:r>
        <w:rPr>
          <w:noProof/>
        </w:rPr>
        <w:t>24</w:t>
      </w:r>
      <w:r>
        <w:rPr>
          <w:noProof/>
        </w:rPr>
        <w:fldChar w:fldCharType="end"/>
      </w:r>
    </w:p>
    <w:p w14:paraId="641DD073" w14:textId="7BA402FB"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lastRenderedPageBreak/>
        <w:t>Gradient Boosting</w:t>
      </w:r>
      <w:r>
        <w:rPr>
          <w:noProof/>
        </w:rPr>
        <w:tab/>
      </w:r>
      <w:r>
        <w:rPr>
          <w:noProof/>
        </w:rPr>
        <w:fldChar w:fldCharType="begin"/>
      </w:r>
      <w:r>
        <w:rPr>
          <w:noProof/>
        </w:rPr>
        <w:instrText xml:space="preserve"> PAGEREF _Toc229572304 \h </w:instrText>
      </w:r>
      <w:r>
        <w:rPr>
          <w:noProof/>
        </w:rPr>
      </w:r>
      <w:r>
        <w:rPr>
          <w:noProof/>
        </w:rPr>
        <w:fldChar w:fldCharType="separate"/>
      </w:r>
      <w:r>
        <w:rPr>
          <w:noProof/>
        </w:rPr>
        <w:t>25</w:t>
      </w:r>
      <w:r>
        <w:rPr>
          <w:noProof/>
        </w:rPr>
        <w:fldChar w:fldCharType="end"/>
      </w:r>
    </w:p>
    <w:p w14:paraId="66D2C9CE" w14:textId="287C3229"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Resultados del modelo semanal</w:t>
      </w:r>
      <w:r>
        <w:rPr>
          <w:noProof/>
        </w:rPr>
        <w:tab/>
      </w:r>
      <w:r>
        <w:rPr>
          <w:noProof/>
        </w:rPr>
        <w:fldChar w:fldCharType="begin"/>
      </w:r>
      <w:r>
        <w:rPr>
          <w:noProof/>
        </w:rPr>
        <w:instrText xml:space="preserve"> PAGEREF _Toc229572305 \h </w:instrText>
      </w:r>
      <w:r>
        <w:rPr>
          <w:noProof/>
        </w:rPr>
      </w:r>
      <w:r>
        <w:rPr>
          <w:noProof/>
        </w:rPr>
        <w:fldChar w:fldCharType="separate"/>
      </w:r>
      <w:r>
        <w:rPr>
          <w:noProof/>
        </w:rPr>
        <w:t>25</w:t>
      </w:r>
      <w:r>
        <w:rPr>
          <w:noProof/>
        </w:rPr>
        <w:fldChar w:fldCharType="end"/>
      </w:r>
    </w:p>
    <w:p w14:paraId="3F94D19B" w14:textId="07DACC62"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Resultados del modelo diario</w:t>
      </w:r>
      <w:r>
        <w:rPr>
          <w:noProof/>
        </w:rPr>
        <w:tab/>
      </w:r>
      <w:r>
        <w:rPr>
          <w:noProof/>
        </w:rPr>
        <w:fldChar w:fldCharType="begin"/>
      </w:r>
      <w:r>
        <w:rPr>
          <w:noProof/>
        </w:rPr>
        <w:instrText xml:space="preserve"> PAGEREF _Toc229572306 \h </w:instrText>
      </w:r>
      <w:r>
        <w:rPr>
          <w:noProof/>
        </w:rPr>
      </w:r>
      <w:r>
        <w:rPr>
          <w:noProof/>
        </w:rPr>
        <w:fldChar w:fldCharType="separate"/>
      </w:r>
      <w:r>
        <w:rPr>
          <w:noProof/>
        </w:rPr>
        <w:t>25</w:t>
      </w:r>
      <w:r>
        <w:rPr>
          <w:noProof/>
        </w:rPr>
        <w:fldChar w:fldCharType="end"/>
      </w:r>
    </w:p>
    <w:p w14:paraId="4B3A051E" w14:textId="6B7CDB0C"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lang w:val="es-ES"/>
        </w:rPr>
        <w:t>4.3 Criterio de selección de modelos: Comparación entre ML y Series Temporales</w:t>
      </w:r>
      <w:r>
        <w:rPr>
          <w:noProof/>
        </w:rPr>
        <w:tab/>
      </w:r>
      <w:r>
        <w:rPr>
          <w:noProof/>
        </w:rPr>
        <w:fldChar w:fldCharType="begin"/>
      </w:r>
      <w:r>
        <w:rPr>
          <w:noProof/>
        </w:rPr>
        <w:instrText xml:space="preserve"> PAGEREF _Toc229572307 \h </w:instrText>
      </w:r>
      <w:r>
        <w:rPr>
          <w:noProof/>
        </w:rPr>
      </w:r>
      <w:r>
        <w:rPr>
          <w:noProof/>
        </w:rPr>
        <w:fldChar w:fldCharType="separate"/>
      </w:r>
      <w:r>
        <w:rPr>
          <w:noProof/>
        </w:rPr>
        <w:t>28</w:t>
      </w:r>
      <w:r>
        <w:rPr>
          <w:noProof/>
        </w:rPr>
        <w:fldChar w:fldCharType="end"/>
      </w:r>
    </w:p>
    <w:p w14:paraId="0BE339A0" w14:textId="18EBFBC9"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lang w:val="es-ES"/>
        </w:rPr>
        <w:t>4.4 OPTIMIZACIÓN DE CARTERAS - MARKOWITZ</w:t>
      </w:r>
      <w:r>
        <w:rPr>
          <w:noProof/>
        </w:rPr>
        <w:tab/>
      </w:r>
      <w:r>
        <w:rPr>
          <w:noProof/>
        </w:rPr>
        <w:fldChar w:fldCharType="begin"/>
      </w:r>
      <w:r>
        <w:rPr>
          <w:noProof/>
        </w:rPr>
        <w:instrText xml:space="preserve"> PAGEREF _Toc229572308 \h </w:instrText>
      </w:r>
      <w:r>
        <w:rPr>
          <w:noProof/>
        </w:rPr>
      </w:r>
      <w:r>
        <w:rPr>
          <w:noProof/>
        </w:rPr>
        <w:fldChar w:fldCharType="separate"/>
      </w:r>
      <w:r>
        <w:rPr>
          <w:noProof/>
        </w:rPr>
        <w:t>34</w:t>
      </w:r>
      <w:r>
        <w:rPr>
          <w:noProof/>
        </w:rPr>
        <w:fldChar w:fldCharType="end"/>
      </w:r>
    </w:p>
    <w:p w14:paraId="27266DEB" w14:textId="67C9A4C2"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Pr>
          <w:noProof/>
        </w:rPr>
        <w:t>4.5 Semana 1</w:t>
      </w:r>
      <w:r>
        <w:rPr>
          <w:noProof/>
        </w:rPr>
        <w:tab/>
      </w:r>
      <w:r>
        <w:rPr>
          <w:noProof/>
        </w:rPr>
        <w:fldChar w:fldCharType="begin"/>
      </w:r>
      <w:r>
        <w:rPr>
          <w:noProof/>
        </w:rPr>
        <w:instrText xml:space="preserve"> PAGEREF _Toc229572309 \h </w:instrText>
      </w:r>
      <w:r>
        <w:rPr>
          <w:noProof/>
        </w:rPr>
      </w:r>
      <w:r>
        <w:rPr>
          <w:noProof/>
        </w:rPr>
        <w:fldChar w:fldCharType="separate"/>
      </w:r>
      <w:r>
        <w:rPr>
          <w:noProof/>
        </w:rPr>
        <w:t>48</w:t>
      </w:r>
      <w:r>
        <w:rPr>
          <w:noProof/>
        </w:rPr>
        <w:fldChar w:fldCharType="end"/>
      </w:r>
    </w:p>
    <w:p w14:paraId="08538C18" w14:textId="6C25B98D"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Pr>
          <w:noProof/>
        </w:rPr>
        <w:t>4.5.1 Modelo 1: Markowitz clásico</w:t>
      </w:r>
      <w:r>
        <w:rPr>
          <w:noProof/>
        </w:rPr>
        <w:tab/>
      </w:r>
      <w:r>
        <w:rPr>
          <w:noProof/>
        </w:rPr>
        <w:fldChar w:fldCharType="begin"/>
      </w:r>
      <w:r>
        <w:rPr>
          <w:noProof/>
        </w:rPr>
        <w:instrText xml:space="preserve"> PAGEREF _Toc229572310 \h </w:instrText>
      </w:r>
      <w:r>
        <w:rPr>
          <w:noProof/>
        </w:rPr>
      </w:r>
      <w:r>
        <w:rPr>
          <w:noProof/>
        </w:rPr>
        <w:fldChar w:fldCharType="separate"/>
      </w:r>
      <w:r>
        <w:rPr>
          <w:noProof/>
        </w:rPr>
        <w:t>49</w:t>
      </w:r>
      <w:r>
        <w:rPr>
          <w:noProof/>
        </w:rPr>
        <w:fldChar w:fldCharType="end"/>
      </w:r>
    </w:p>
    <w:p w14:paraId="08321F48" w14:textId="4C7AC085"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Pr>
          <w:noProof/>
        </w:rPr>
        <w:t>4.5.2 Modelo 2: Markowitz con último valor</w:t>
      </w:r>
      <w:r>
        <w:rPr>
          <w:noProof/>
        </w:rPr>
        <w:tab/>
      </w:r>
      <w:r>
        <w:rPr>
          <w:noProof/>
        </w:rPr>
        <w:fldChar w:fldCharType="begin"/>
      </w:r>
      <w:r>
        <w:rPr>
          <w:noProof/>
        </w:rPr>
        <w:instrText xml:space="preserve"> PAGEREF _Toc229572311 \h </w:instrText>
      </w:r>
      <w:r>
        <w:rPr>
          <w:noProof/>
        </w:rPr>
      </w:r>
      <w:r>
        <w:rPr>
          <w:noProof/>
        </w:rPr>
        <w:fldChar w:fldCharType="separate"/>
      </w:r>
      <w:r>
        <w:rPr>
          <w:noProof/>
        </w:rPr>
        <w:t>49</w:t>
      </w:r>
      <w:r>
        <w:rPr>
          <w:noProof/>
        </w:rPr>
        <w:fldChar w:fldCharType="end"/>
      </w:r>
    </w:p>
    <w:p w14:paraId="05E6C73B" w14:textId="425B9AB8"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Pr>
          <w:noProof/>
        </w:rPr>
        <w:t>4.5.3 Modelo 3: Markowitz con ARIMA</w:t>
      </w:r>
      <w:r>
        <w:rPr>
          <w:noProof/>
        </w:rPr>
        <w:tab/>
      </w:r>
      <w:r>
        <w:rPr>
          <w:noProof/>
        </w:rPr>
        <w:fldChar w:fldCharType="begin"/>
      </w:r>
      <w:r>
        <w:rPr>
          <w:noProof/>
        </w:rPr>
        <w:instrText xml:space="preserve"> PAGEREF _Toc229572312 \h </w:instrText>
      </w:r>
      <w:r>
        <w:rPr>
          <w:noProof/>
        </w:rPr>
      </w:r>
      <w:r>
        <w:rPr>
          <w:noProof/>
        </w:rPr>
        <w:fldChar w:fldCharType="separate"/>
      </w:r>
      <w:r>
        <w:rPr>
          <w:noProof/>
        </w:rPr>
        <w:t>49</w:t>
      </w:r>
      <w:r>
        <w:rPr>
          <w:noProof/>
        </w:rPr>
        <w:fldChar w:fldCharType="end"/>
      </w:r>
    </w:p>
    <w:p w14:paraId="0175CD26" w14:textId="1696929D"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lang w:val="es-ES"/>
        </w:rPr>
        <w:t>Capítulo 5 - RESULTADOS</w:t>
      </w:r>
      <w:r>
        <w:rPr>
          <w:noProof/>
        </w:rPr>
        <w:tab/>
      </w:r>
      <w:r>
        <w:rPr>
          <w:noProof/>
        </w:rPr>
        <w:fldChar w:fldCharType="begin"/>
      </w:r>
      <w:r>
        <w:rPr>
          <w:noProof/>
        </w:rPr>
        <w:instrText xml:space="preserve"> PAGEREF _Toc229572313 \h </w:instrText>
      </w:r>
      <w:r>
        <w:rPr>
          <w:noProof/>
        </w:rPr>
      </w:r>
      <w:r>
        <w:rPr>
          <w:noProof/>
        </w:rPr>
        <w:fldChar w:fldCharType="separate"/>
      </w:r>
      <w:r>
        <w:rPr>
          <w:noProof/>
        </w:rPr>
        <w:t>51</w:t>
      </w:r>
      <w:r>
        <w:rPr>
          <w:noProof/>
        </w:rPr>
        <w:fldChar w:fldCharType="end"/>
      </w:r>
    </w:p>
    <w:p w14:paraId="1F4BCC73" w14:textId="2FF2F8B5"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lang w:val="es-ES"/>
        </w:rPr>
        <w:t>Capítulo 6 - Conclusiones y trabajo futuro</w:t>
      </w:r>
      <w:r>
        <w:rPr>
          <w:noProof/>
        </w:rPr>
        <w:tab/>
      </w:r>
      <w:r>
        <w:rPr>
          <w:noProof/>
        </w:rPr>
        <w:fldChar w:fldCharType="begin"/>
      </w:r>
      <w:r>
        <w:rPr>
          <w:noProof/>
        </w:rPr>
        <w:instrText xml:space="preserve"> PAGEREF _Toc229572314 \h </w:instrText>
      </w:r>
      <w:r>
        <w:rPr>
          <w:noProof/>
        </w:rPr>
      </w:r>
      <w:r>
        <w:rPr>
          <w:noProof/>
        </w:rPr>
        <w:fldChar w:fldCharType="separate"/>
      </w:r>
      <w:r>
        <w:rPr>
          <w:noProof/>
        </w:rPr>
        <w:t>53</w:t>
      </w:r>
      <w:r>
        <w:rPr>
          <w:noProof/>
        </w:rPr>
        <w:fldChar w:fldCharType="end"/>
      </w:r>
    </w:p>
    <w:p w14:paraId="39EF209C" w14:textId="728DB327"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Bibliografía</w:t>
      </w:r>
      <w:r>
        <w:rPr>
          <w:noProof/>
        </w:rPr>
        <w:tab/>
      </w:r>
      <w:r>
        <w:rPr>
          <w:noProof/>
        </w:rPr>
        <w:fldChar w:fldCharType="begin"/>
      </w:r>
      <w:r>
        <w:rPr>
          <w:noProof/>
        </w:rPr>
        <w:instrText xml:space="preserve"> PAGEREF _Toc229572315 \h </w:instrText>
      </w:r>
      <w:r>
        <w:rPr>
          <w:noProof/>
        </w:rPr>
      </w:r>
      <w:r>
        <w:rPr>
          <w:noProof/>
        </w:rPr>
        <w:fldChar w:fldCharType="separate"/>
      </w:r>
      <w:r>
        <w:rPr>
          <w:noProof/>
        </w:rPr>
        <w:t>59</w:t>
      </w:r>
      <w:r>
        <w:rPr>
          <w:noProof/>
        </w:rPr>
        <w:fldChar w:fldCharType="end"/>
      </w:r>
    </w:p>
    <w:p w14:paraId="25C2D4EE" w14:textId="560AACAD"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Apéndices</w:t>
      </w:r>
      <w:r>
        <w:rPr>
          <w:noProof/>
        </w:rPr>
        <w:tab/>
      </w:r>
      <w:r>
        <w:rPr>
          <w:noProof/>
        </w:rPr>
        <w:fldChar w:fldCharType="begin"/>
      </w:r>
      <w:r>
        <w:rPr>
          <w:noProof/>
        </w:rPr>
        <w:instrText xml:space="preserve"> PAGEREF _Toc229572316 \h </w:instrText>
      </w:r>
      <w:r>
        <w:rPr>
          <w:noProof/>
        </w:rPr>
      </w:r>
      <w:r>
        <w:rPr>
          <w:noProof/>
        </w:rPr>
        <w:fldChar w:fldCharType="separate"/>
      </w:r>
      <w:r>
        <w:rPr>
          <w:noProof/>
        </w:rPr>
        <w:t>61</w:t>
      </w:r>
      <w:r>
        <w:rPr>
          <w:noProof/>
        </w:rPr>
        <w:fldChar w:fldCharType="end"/>
      </w:r>
    </w:p>
    <w:p w14:paraId="0E94A1F6" w14:textId="3E6F7EEF" w:rsidR="00AA1A72" w:rsidRDefault="00913EDA" w:rsidP="008C4756">
      <w:pPr>
        <w:pStyle w:val="TDC4"/>
        <w:rPr>
          <w:rFonts w:cstheme="minorHAnsi"/>
        </w:rPr>
      </w:pPr>
      <w:r w:rsidRPr="006671FA">
        <w:rPr>
          <w:rFonts w:cstheme="minorHAnsi"/>
        </w:rPr>
        <w:fldChar w:fldCharType="end"/>
      </w:r>
    </w:p>
    <w:p w14:paraId="227FFBC4" w14:textId="77777777" w:rsidR="003A0B19" w:rsidRPr="003A0B19" w:rsidRDefault="003A0B19" w:rsidP="003A0B19">
      <w:pPr>
        <w:rPr>
          <w:lang w:val="es-ES" w:eastAsia="es-ES"/>
        </w:rPr>
      </w:pPr>
    </w:p>
    <w:p w14:paraId="128CE35D" w14:textId="77777777" w:rsidR="003A0B19" w:rsidRPr="003A0B19" w:rsidRDefault="003A0B19" w:rsidP="003A0B19">
      <w:pPr>
        <w:rPr>
          <w:lang w:val="es-ES" w:eastAsia="es-ES"/>
        </w:rPr>
      </w:pPr>
    </w:p>
    <w:p w14:paraId="5CD463DA" w14:textId="77777777" w:rsidR="003A0B19" w:rsidRDefault="003A0B19" w:rsidP="003A0B19">
      <w:pPr>
        <w:rPr>
          <w:rFonts w:cstheme="minorHAnsi"/>
        </w:rPr>
      </w:pPr>
    </w:p>
    <w:p w14:paraId="255C90F5" w14:textId="634FCD49" w:rsidR="003A0B19" w:rsidRDefault="003A0B19" w:rsidP="00800533">
      <w:pPr>
        <w:rPr>
          <w:rFonts w:cstheme="minorHAnsi"/>
        </w:rPr>
      </w:pPr>
    </w:p>
    <w:p w14:paraId="6D403A30" w14:textId="0783641B" w:rsidR="003A0B19" w:rsidRPr="003A0B19" w:rsidRDefault="003A0B19" w:rsidP="003A0B19">
      <w:pPr>
        <w:rPr>
          <w:lang w:val="es-ES" w:eastAsia="es-ES"/>
        </w:rPr>
        <w:sectPr w:rsidR="003A0B19" w:rsidRPr="003A0B19" w:rsidSect="00310A7E">
          <w:pgSz w:w="12240" w:h="15840"/>
          <w:pgMar w:top="1440" w:right="1440" w:bottom="1440" w:left="1440" w:header="720" w:footer="720" w:gutter="0"/>
          <w:pgNumType w:fmt="upperRoman"/>
          <w:cols w:space="720"/>
          <w:docGrid w:linePitch="360"/>
        </w:sectPr>
      </w:pPr>
    </w:p>
    <w:p w14:paraId="540521FF" w14:textId="77777777" w:rsidR="00AA1A72" w:rsidRPr="006671FA" w:rsidRDefault="00AA1A72" w:rsidP="00AA1A72">
      <w:pPr>
        <w:pStyle w:val="PageHeading"/>
        <w:rPr>
          <w:rFonts w:asciiTheme="minorHAnsi" w:hAnsiTheme="minorHAnsi" w:cstheme="minorHAnsi"/>
          <w:lang w:val="es-ES_tradnl"/>
        </w:rPr>
      </w:pPr>
      <w:bookmarkStart w:id="7" w:name="IndiceFiguras"/>
      <w:bookmarkStart w:id="8" w:name="_Toc229572261"/>
      <w:r w:rsidRPr="006671FA">
        <w:rPr>
          <w:rFonts w:asciiTheme="minorHAnsi" w:hAnsiTheme="minorHAnsi" w:cstheme="minorHAnsi"/>
          <w:lang w:val="es-ES_tradnl"/>
        </w:rPr>
        <w:lastRenderedPageBreak/>
        <w:t>Índice de figuras</w:t>
      </w:r>
      <w:bookmarkEnd w:id="7"/>
      <w:bookmarkEnd w:id="8"/>
    </w:p>
    <w:p w14:paraId="39DCEF87" w14:textId="049DCC7B" w:rsidR="00894DE2" w:rsidRPr="006671FA" w:rsidRDefault="00EA12EF">
      <w:pPr>
        <w:pStyle w:val="Tabladeilustraciones"/>
        <w:tabs>
          <w:tab w:val="right" w:leader="dot" w:pos="9350"/>
        </w:tabs>
        <w:rPr>
          <w:rFonts w:eastAsiaTheme="minorEastAsia" w:cstheme="minorHAnsi"/>
          <w:noProof/>
          <w:szCs w:val="22"/>
          <w:lang w:val="es-ES" w:eastAsia="es-ES"/>
        </w:rPr>
      </w:pPr>
      <w:r w:rsidRPr="006671FA">
        <w:rPr>
          <w:rFonts w:cstheme="minorHAnsi"/>
        </w:rPr>
        <w:fldChar w:fldCharType="begin"/>
      </w:r>
      <w:r w:rsidRPr="006671FA">
        <w:rPr>
          <w:rFonts w:cstheme="minorHAnsi"/>
        </w:rPr>
        <w:instrText xml:space="preserve"> TOC \h \z \c "Figura" </w:instrText>
      </w:r>
      <w:r w:rsidRPr="006671FA">
        <w:rPr>
          <w:rFonts w:cstheme="minorHAnsi"/>
        </w:rPr>
        <w:fldChar w:fldCharType="separate"/>
      </w:r>
      <w:hyperlink w:anchor="_Toc11912417" w:history="1">
        <w:r w:rsidR="00894DE2" w:rsidRPr="006671FA">
          <w:rPr>
            <w:rStyle w:val="Hipervnculo"/>
            <w:rFonts w:cstheme="minorHAnsi"/>
            <w:noProof/>
          </w:rPr>
          <w:t>Figura 3</w:t>
        </w:r>
        <w:r w:rsidR="00894DE2" w:rsidRPr="006671FA">
          <w:rPr>
            <w:rStyle w:val="Hipervnculo"/>
            <w:rFonts w:cstheme="minorHAnsi"/>
            <w:noProof/>
          </w:rPr>
          <w:noBreakHyphen/>
          <w:t>1. Ejemplo de figura</w:t>
        </w:r>
        <w:r w:rsidR="00894DE2" w:rsidRPr="006671FA">
          <w:rPr>
            <w:rFonts w:cstheme="minorHAnsi"/>
            <w:noProof/>
            <w:webHidden/>
          </w:rPr>
          <w:tab/>
        </w:r>
        <w:r w:rsidR="00894DE2" w:rsidRPr="006671FA">
          <w:rPr>
            <w:rFonts w:cstheme="minorHAnsi"/>
            <w:noProof/>
            <w:webHidden/>
          </w:rPr>
          <w:fldChar w:fldCharType="begin"/>
        </w:r>
        <w:r w:rsidR="00894DE2" w:rsidRPr="006671FA">
          <w:rPr>
            <w:rFonts w:cstheme="minorHAnsi"/>
            <w:noProof/>
            <w:webHidden/>
          </w:rPr>
          <w:instrText xml:space="preserve"> PAGEREF _Toc11912417 \h </w:instrText>
        </w:r>
        <w:r w:rsidR="00894DE2" w:rsidRPr="006671FA">
          <w:rPr>
            <w:rFonts w:cstheme="minorHAnsi"/>
            <w:noProof/>
            <w:webHidden/>
          </w:rPr>
        </w:r>
        <w:r w:rsidR="00894DE2" w:rsidRPr="006671FA">
          <w:rPr>
            <w:rFonts w:cstheme="minorHAnsi"/>
            <w:noProof/>
            <w:webHidden/>
          </w:rPr>
          <w:fldChar w:fldCharType="separate"/>
        </w:r>
        <w:r w:rsidR="00894DE2" w:rsidRPr="006671FA">
          <w:rPr>
            <w:rFonts w:cstheme="minorHAnsi"/>
            <w:noProof/>
            <w:webHidden/>
          </w:rPr>
          <w:t>6</w:t>
        </w:r>
        <w:r w:rsidR="00894DE2" w:rsidRPr="006671FA">
          <w:rPr>
            <w:rFonts w:cstheme="minorHAnsi"/>
            <w:noProof/>
            <w:webHidden/>
          </w:rPr>
          <w:fldChar w:fldCharType="end"/>
        </w:r>
      </w:hyperlink>
    </w:p>
    <w:p w14:paraId="72C8C378" w14:textId="3E4A0CE1" w:rsidR="00AA1A72" w:rsidRPr="006671FA" w:rsidRDefault="00EA12EF" w:rsidP="00AA1A72">
      <w:pPr>
        <w:pStyle w:val="Textoindependiente"/>
        <w:rPr>
          <w:rFonts w:cstheme="minorHAnsi"/>
        </w:rPr>
      </w:pPr>
      <w:r w:rsidRPr="006671FA">
        <w:rPr>
          <w:rFonts w:cstheme="minorHAnsi"/>
        </w:rPr>
        <w:fldChar w:fldCharType="end"/>
      </w:r>
    </w:p>
    <w:p w14:paraId="35A416DC" w14:textId="77777777" w:rsidR="00913EDA" w:rsidRPr="006671FA" w:rsidRDefault="00913EDA" w:rsidP="00AA1A72">
      <w:pPr>
        <w:pStyle w:val="PageHeading"/>
        <w:rPr>
          <w:rFonts w:asciiTheme="minorHAnsi" w:hAnsiTheme="minorHAnsi" w:cstheme="minorHAnsi"/>
          <w:lang w:val="es-ES_tradnl"/>
        </w:rPr>
        <w:sectPr w:rsidR="00913EDA" w:rsidRPr="006671FA" w:rsidSect="00310A7E">
          <w:pgSz w:w="12240" w:h="15840"/>
          <w:pgMar w:top="1440" w:right="1440" w:bottom="1440" w:left="1440" w:header="720" w:footer="720" w:gutter="0"/>
          <w:pgNumType w:fmt="upperRoman"/>
          <w:cols w:space="720"/>
          <w:docGrid w:linePitch="360"/>
        </w:sectPr>
      </w:pPr>
      <w:bookmarkStart w:id="9" w:name="IndiceTablas"/>
    </w:p>
    <w:p w14:paraId="63D66763" w14:textId="663FB8DE" w:rsidR="00AA1A72" w:rsidRPr="006671FA" w:rsidRDefault="00AA1A72" w:rsidP="00AA1A72">
      <w:pPr>
        <w:pStyle w:val="PageHeading"/>
        <w:rPr>
          <w:rFonts w:asciiTheme="minorHAnsi" w:hAnsiTheme="minorHAnsi" w:cstheme="minorHAnsi"/>
          <w:u w:val="single"/>
          <w:lang w:val="es-ES_tradnl"/>
        </w:rPr>
      </w:pPr>
      <w:bookmarkStart w:id="10" w:name="_Toc229572262"/>
      <w:r w:rsidRPr="006671FA">
        <w:rPr>
          <w:rFonts w:asciiTheme="minorHAnsi" w:hAnsiTheme="minorHAnsi" w:cstheme="minorHAnsi"/>
          <w:lang w:val="es-ES_tradnl"/>
        </w:rPr>
        <w:lastRenderedPageBreak/>
        <w:t>Índice de tablas</w:t>
      </w:r>
      <w:bookmarkEnd w:id="9"/>
      <w:bookmarkEnd w:id="10"/>
    </w:p>
    <w:p w14:paraId="09582055" w14:textId="68F5CB98" w:rsidR="00894DE2" w:rsidRPr="006671FA" w:rsidRDefault="00EA12EF">
      <w:pPr>
        <w:pStyle w:val="Tabladeilustraciones"/>
        <w:tabs>
          <w:tab w:val="right" w:leader="dot" w:pos="9350"/>
        </w:tabs>
        <w:rPr>
          <w:rFonts w:eastAsiaTheme="minorEastAsia" w:cstheme="minorHAnsi"/>
          <w:noProof/>
          <w:szCs w:val="22"/>
          <w:lang w:val="es-ES" w:eastAsia="es-ES"/>
        </w:rPr>
      </w:pPr>
      <w:r w:rsidRPr="006671FA">
        <w:rPr>
          <w:rFonts w:cstheme="minorHAnsi"/>
        </w:rPr>
        <w:fldChar w:fldCharType="begin"/>
      </w:r>
      <w:r w:rsidRPr="006671FA">
        <w:rPr>
          <w:rFonts w:cstheme="minorHAnsi"/>
        </w:rPr>
        <w:instrText xml:space="preserve"> TOC \h \z \c "Tabla" </w:instrText>
      </w:r>
      <w:r w:rsidRPr="006671FA">
        <w:rPr>
          <w:rFonts w:cstheme="minorHAnsi"/>
        </w:rPr>
        <w:fldChar w:fldCharType="separate"/>
      </w:r>
      <w:hyperlink w:anchor="_Toc11912424" w:history="1">
        <w:r w:rsidR="00894DE2" w:rsidRPr="006671FA">
          <w:rPr>
            <w:rStyle w:val="Hipervnculo"/>
            <w:rFonts w:cstheme="minorHAnsi"/>
            <w:noProof/>
          </w:rPr>
          <w:t>Tabla 3</w:t>
        </w:r>
        <w:r w:rsidR="00894DE2" w:rsidRPr="006671FA">
          <w:rPr>
            <w:rStyle w:val="Hipervnculo"/>
            <w:rFonts w:cstheme="minorHAnsi"/>
            <w:noProof/>
          </w:rPr>
          <w:noBreakHyphen/>
          <w:t>1. Ejemplo de tabla</w:t>
        </w:r>
        <w:r w:rsidR="00894DE2" w:rsidRPr="006671FA">
          <w:rPr>
            <w:rFonts w:cstheme="minorHAnsi"/>
            <w:noProof/>
            <w:webHidden/>
          </w:rPr>
          <w:tab/>
        </w:r>
        <w:r w:rsidR="00894DE2" w:rsidRPr="006671FA">
          <w:rPr>
            <w:rFonts w:cstheme="minorHAnsi"/>
            <w:noProof/>
            <w:webHidden/>
          </w:rPr>
          <w:fldChar w:fldCharType="begin"/>
        </w:r>
        <w:r w:rsidR="00894DE2" w:rsidRPr="006671FA">
          <w:rPr>
            <w:rFonts w:cstheme="minorHAnsi"/>
            <w:noProof/>
            <w:webHidden/>
          </w:rPr>
          <w:instrText xml:space="preserve"> PAGEREF _Toc11912424 \h </w:instrText>
        </w:r>
        <w:r w:rsidR="00894DE2" w:rsidRPr="006671FA">
          <w:rPr>
            <w:rFonts w:cstheme="minorHAnsi"/>
            <w:noProof/>
            <w:webHidden/>
          </w:rPr>
        </w:r>
        <w:r w:rsidR="00894DE2" w:rsidRPr="006671FA">
          <w:rPr>
            <w:rFonts w:cstheme="minorHAnsi"/>
            <w:noProof/>
            <w:webHidden/>
          </w:rPr>
          <w:fldChar w:fldCharType="separate"/>
        </w:r>
        <w:r w:rsidR="00894DE2" w:rsidRPr="006671FA">
          <w:rPr>
            <w:rFonts w:cstheme="minorHAnsi"/>
            <w:noProof/>
            <w:webHidden/>
          </w:rPr>
          <w:t>6</w:t>
        </w:r>
        <w:r w:rsidR="00894DE2" w:rsidRPr="006671FA">
          <w:rPr>
            <w:rFonts w:cstheme="minorHAnsi"/>
            <w:noProof/>
            <w:webHidden/>
          </w:rPr>
          <w:fldChar w:fldCharType="end"/>
        </w:r>
      </w:hyperlink>
    </w:p>
    <w:p w14:paraId="1B2DCD9E" w14:textId="751D8A86" w:rsidR="00AA1A72" w:rsidRPr="006671FA" w:rsidRDefault="00EA12EF" w:rsidP="00AA1A72">
      <w:pPr>
        <w:pStyle w:val="Textoindependiente"/>
        <w:rPr>
          <w:rFonts w:cstheme="minorHAnsi"/>
        </w:rPr>
      </w:pPr>
      <w:r w:rsidRPr="006671FA">
        <w:rPr>
          <w:rFonts w:cstheme="minorHAnsi"/>
        </w:rPr>
        <w:fldChar w:fldCharType="end"/>
      </w:r>
    </w:p>
    <w:p w14:paraId="4735DBE6" w14:textId="77777777" w:rsidR="00AA1A72" w:rsidRPr="006671FA" w:rsidRDefault="00AA1A72" w:rsidP="00AA1A72">
      <w:pPr>
        <w:pStyle w:val="Textoindependiente"/>
        <w:rPr>
          <w:rFonts w:cstheme="minorHAnsi"/>
        </w:rPr>
        <w:sectPr w:rsidR="00AA1A72" w:rsidRPr="006671FA" w:rsidSect="00913EDA">
          <w:type w:val="oddPage"/>
          <w:pgSz w:w="12240" w:h="15840"/>
          <w:pgMar w:top="1440" w:right="1440" w:bottom="1440" w:left="1440" w:header="720" w:footer="720" w:gutter="0"/>
          <w:pgNumType w:fmt="upperRoman"/>
          <w:cols w:space="720"/>
          <w:docGrid w:linePitch="360"/>
        </w:sectPr>
      </w:pPr>
    </w:p>
    <w:p>
      <w:pPr>
        <w:pStyle w:val="Ttulo1"/>
      </w:pPr>
      <w:r>
        <w:t>INTRODUCCIÓN</w:t>
      </w:r>
    </w:p>
    <w:p>
      <w:pPr>
        <w:pStyle w:val="Ttulo2"/>
      </w:pPr>
      <w:r>
        <w:t>Motivación</w:t>
      </w:r>
    </w:p>
    <w:p>
      <w:pPr>
        <w:pStyle w:val="Textoindependiente"/>
      </w:pPr>
      <w:r>
        <w:t>Predecir el comportamiento de los mercados financieros es uno de los problemas más estudiados y, al mismo tiempo, más difíciles de resolver en el ámbito de las finanzas cuantitativas. Los precios de los activos están influidos por un número enorme de factores: condiciones económicas, decisiones de política monetaria, resultados empresariales, eventos geopolíticos y, en ocasiones, simplemente por la psicología colectiva de los inversores. Muchos de estos factores son difíciles de medir de forma directa, lo que hace que cualquier modelo de predicción se enfrente a una incertidumbre inherente.</w:t>
      </w:r>
    </w:p>
    <w:p>
      <w:pPr>
        <w:pStyle w:val="Textoindependiente"/>
      </w:pPr>
      <w:r>
        <w:t>Los retornos financieros son especialmente difíciles de predecir porque su media diaria es muy cercana a cero, su varianza cambia con el tiempo y presentan muy poca autocorrelación lineal. Esto significa que el hecho de que un activo haya subido o bajado ayer aporta muy poca información sobre lo que hará mañana. Esta característica es coherente con la hipótesis de los mercados eficientes en su forma débil [CITAR: Fama, 1970], que sostiene que los precios reflejan en todo momento la información disponible en los precios pasados. Sin embargo, la aparición de grandes volúmenes de datos y técnicas computacionales avanzadas ha renovado el interés en este campo, y la evidencia empírica no es del todo concluyente.</w:t>
      </w:r>
    </w:p>
    <w:p>
      <w:pPr>
        <w:pStyle w:val="Textoindependiente"/>
      </w:pPr>
      <w:r>
        <w:t>En este contexto, este trabajo propone estudiar si es posible extraer señal predictiva de los retornos de un conjunto amplio de ETFs (Exchange Traded Funds) utilizando dos enfoques complementarios: modelos de series temporales y modelos de aprendizaje automático. Pero el trabajo no se detiene en la predicción. El objetivo final es comprobar si esas predicciones pueden traducirse en mejores decisiones de inversión, aplicándolas dentro de un modelo de optimización de carteras basado en la teoría de Markowitz [CITAR: Markowitz, 1952].</w:t>
      </w:r>
    </w:p>
    <w:p>
      <w:pPr>
        <w:pStyle w:val="Textoindependiente"/>
      </w:pPr>
      <w:r>
        <w:t>La elección de ETFs como universo de inversión responde a varias razones. Un ETF es un fondo que agrupa muchos activos y cotiza en bolsa como una acción. A diferencia de los títulos individuales, un ETF diversifica de forma automática el riesgo propio de una empresa concreta y refleja el comportamiento de un segmento completo del mercado. Esta estabilidad relativa facilita la modelización y hace que los resultados sean más representativos. Además, los ETFs cubren prácticamente cualquier tipo de activo: renta variable, sectores económicos, mercados internacionales, renta fija y materias primas, lo que permite construir carteras verdaderamente diversificadas.</w:t>
      </w:r>
    </w:p>
    <w:p>
      <w:pPr>
        <w:pStyle w:val="Textoindependiente"/>
      </w:pPr>
      <w:r>
        <w:t>La comparación entre series temporales y aprendizaje automático tiene también una motivación clara. Los modelos de series temporales como ARIMA tienen décadas de uso en finanzas y ofrecen una estructura interpretable y bien fundamentada teóricamente. Los modelos de machine learning pueden capturar relaciones más complejas entre variables, pero exigen más datos y son más difíciles de interpretar. Estudiar ambos enfoques de forma sistemática permite entender en qué situaciones cada familia aporta más valor.</w:t>
      </w:r>
    </w:p>
    <w:p>
      <w:pPr>
        <w:pStyle w:val="Textoindependiente"/>
      </w:pPr>
      <w:r>
        <w:t>Finalmente, el hecho de que el trabajo no termine en la predicción sino que aplique sus resultados al modelo de Markowitz es lo que le da coherencia completa. Una predicción estadísticamente precisa no tiene por sí sola valor práctico si no se traduce en mejores decisiones. La optimización de carteras es el mecanismo que conecta la predicción con la inversión real, y el backtest semanal permite evaluar ese impacto de forma honesta y controlada.</w:t>
      </w:r>
    </w:p>
    <w:p>
      <w:pPr>
        <w:pStyle w:val="Ttulo2"/>
      </w:pPr>
      <w:r>
        <w:t>Objetivos</w:t>
      </w:r>
    </w:p>
    <w:p>
      <w:pPr>
        <w:pStyle w:val="Textoindependiente"/>
      </w:pPr>
      <w:r>
        <w:t>El objetivo principal de este trabajo es analizar si la predicción de retornos de ETFs mediante modelos de series temporales y machine learning puede mejorar la construcción de una cartera de inversión basada en la optimización de Markowitz.</w:t>
      </w:r>
    </w:p>
    <w:p>
      <w:pPr>
        <w:pStyle w:val="Textoindependiente"/>
      </w:pPr>
      <w:r>
        <w:t>Para alcanzar este objetivo se definen los siguientes objetivos específicos:</w:t>
      </w:r>
    </w:p>
    <w:p>
      <w:pPr>
        <w:pStyle w:val="Listaconvietas"/>
      </w:pPr>
      <w:r>
        <w:t>Descargar y preprocesar datos históricos de un conjunto amplio de ETFs agrupados en seis categorías de activos.</w:t>
      </w:r>
    </w:p>
    <w:p>
      <w:pPr>
        <w:pStyle w:val="Listaconvietas"/>
      </w:pPr>
      <w:r>
        <w:t>Construir y evaluar modelos ARIMA para la predicción de retornos semanales y diarios de cada ETF.</w:t>
      </w:r>
    </w:p>
    <w:p>
      <w:pPr>
        <w:pStyle w:val="Listaconvietas"/>
      </w:pPr>
      <w:r>
        <w:t>Construir y evaluar modelos de aprendizaje automático con distintas configuraciones de variables y retardos temporales para los mismos horizontes de predicción.</w:t>
      </w:r>
    </w:p>
    <w:p>
      <w:pPr>
        <w:pStyle w:val="Listaconvietas"/>
      </w:pPr>
      <w:r>
        <w:t>Comparar ambos enfoques utilizando métricas de error (RMSE y MAE) y benchmarks de referencia.</w:t>
      </w:r>
    </w:p>
    <w:p>
      <w:pPr>
        <w:pStyle w:val="Listaconvietas"/>
      </w:pPr>
      <w:r>
        <w:t>Seleccionar el modelo con mayor capacidad predictiva para su uso como estimador de rentabilidades esperadas en Markowitz.</w:t>
      </w:r>
    </w:p>
    <w:p>
      <w:pPr>
        <w:pStyle w:val="Listaconvietas"/>
      </w:pPr>
      <w:r>
        <w:t>Diseñar e implementar un backtest semanal con tres estrategias de Markowitz que difieran únicamente en la fuente de estimación de rentabilidades esperadas.</w:t>
      </w:r>
    </w:p>
    <w:p>
      <w:pPr>
        <w:pStyle w:val="Listaconvietas"/>
      </w:pPr>
      <w:r>
        <w:t>Evaluar el impacto económico de las predicciones comparando las estrategias en términos de rentabilidad, riesgo y ratio de Sharpe.</w:t>
      </w:r>
    </w:p>
    <w:p>
      <w:pPr>
        <w:pStyle w:val="Ttulo2"/>
      </w:pPr>
      <w:r>
        <w:t>Plan de trabajo</w:t>
      </w:r>
    </w:p>
    <w:p>
      <w:pPr>
        <w:pStyle w:val="Textoindependiente"/>
      </w:pPr>
      <w:r>
        <w:t>El trabajo se organiza siguiendo un flujo que va desde la obtención de los datos hasta la evaluación económica de las predicciones. En primer lugar se descargan y procesan los datos. A continuación se construyen los datasets preparados para los modelos en frecuencia diaria y semanal. Después se aplican los dos enfoques de modelización, se comparan sus resultados y se selecciona el modelo más adecuado. Por último, ese modelo se integra en un backtest de carteras que permite valorar el impacto real de las predicciones.</w:t>
      </w:r>
    </w:p>
    <w:p>
      <w:pPr>
        <w:pStyle w:val="Textoindependiente"/>
      </w:pPr>
      <w:r>
        <w:t>La estructura de la memoria refleja este orden. El capítulo de datos describe el universo de ETFs y el preprocesado. El capítulo de metodología explica los modelos utilizados. El capítulo de resultados presenta y discute los hallazgos. El capítulo de conclusiones recoge las lecciones aprendidas y señala posibles líneas de trabajo futuro.</w:t>
      </w:r>
    </w:p>
    <w:p>
      <w:pPr>
        <w:pStyle w:val="Textoindependiente"/>
      </w:pPr>
      <w:r>
        <w:rPr>
          <w:b/>
          <w:color w:val="C00000"/>
        </w:rPr>
        <w:t>[TODO: insertar figura con el diagrama de flujo del proyecto — Figura 1-1]</w:t>
      </w:r>
    </w:p>
    <w:p>
      <w:r>
        <w:br w:type="page"/>
      </w:r>
    </w:p>
    <w:p>
      <w:pPr>
        <w:pStyle w:val="Ttulo1"/>
      </w:pPr>
      <w:r>
        <w:t>ESTADO DE LA CUESTIÓN</w:t>
      </w:r>
    </w:p>
    <w:p>
      <w:pPr>
        <w:pStyle w:val="Ttulo2"/>
      </w:pPr>
      <w:r>
        <w:t>Predicción de retornos financieros</w:t>
      </w:r>
    </w:p>
    <w:p>
      <w:pPr>
        <w:pStyle w:val="Textoindependiente"/>
      </w:pPr>
      <w:r>
        <w:t>La predicción de retornos financieros ha sido objeto de investigación durante décadas. La hipótesis de los mercados eficientes, formulada por Fama [CITAR: Fama, 1970], sostiene que los precios de los activos reflejan en todo momento toda la información disponible. En su forma débil, implica que los retornos pasados no contienen información útil para predecir los futuros. Sin embargo, la evidencia empírica no es del todo concluyente: estudios posteriores han documentado anomalías como el efecto momentum [CITAR: Jegadeesh y Titman, 1993] o la reversión a la media [CITAR: DeBondt y Thaler, 1985].</w:t>
      </w:r>
    </w:p>
    <w:p>
      <w:pPr>
        <w:pStyle w:val="Textoindependiente"/>
      </w:pPr>
      <w:r>
        <w:t>En este trabajo se adopta una postura empírica: no se parte de la hipótesis de que los retornos son predecibles, sino que se estudia si distintos modelos pueden extraer señal y si esa señal tiene valor económico. Como se mostrará en los resultados, la capacidad predictiva es modesta, lo que resulta coherente con la eficiencia de los mercados. No obstante, incluso una pequeña mejora en la estimación de rentabilidades puede ser relevante cuando se aplica sistemáticamente en una estrategia de inversión.</w:t>
      </w:r>
    </w:p>
    <w:p>
      <w:pPr>
        <w:pStyle w:val="Ttulo2"/>
      </w:pPr>
      <w:r>
        <w:t>ETFs como universo de inversión</w:t>
      </w:r>
    </w:p>
    <w:p>
      <w:pPr>
        <w:pStyle w:val="Textoindependiente"/>
      </w:pPr>
      <w:r>
        <w:t>Los ETFs (Exchange Traded Funds) son fondos de inversión que replican el comportamiento de un índice, sector, región geográfica u otro activo subyacente y cotizan en bolsa de forma continua [CITAR: Gastineau, 2002]. Desde su aparición en los años noventa, han experimentado un crecimiento exponencial, convirtiéndose en instrumentos esenciales en la gestión de carteras cuantitativa.</w:t>
      </w:r>
    </w:p>
    <w:p>
      <w:pPr>
        <w:pStyle w:val="Textoindependiente"/>
      </w:pPr>
      <w:r>
        <w:t>Para los propósitos de este trabajo, los ETFs presentan varias ventajas sobre las acciones individuales. Su comportamiento refleja el de un segmento completo del mercado, lo que reduce el ruido idiosincrático y facilita la modelización estadística. Además, cubren una amplia variedad de clases de activos, lo que permite construir carteras diversificadas con un número manejable de instrumentos.</w:t>
      </w:r>
    </w:p>
    <w:p>
      <w:pPr>
        <w:pStyle w:val="Ttulo2"/>
      </w:pPr>
      <w:r>
        <w:t>Modelos de series temporales</w:t>
      </w:r>
    </w:p>
    <w:p>
      <w:pPr>
        <w:pStyle w:val="Textoindependiente"/>
      </w:pPr>
      <w:r>
        <w:t>Los modelos ARIMA (Autoregressive Integrated Moving Average) fueron introducidos por Box y Jenkins [CITAR: Box, Jenkins y Reinsel, 1994] y representan uno de los enfoques clásicos para la modelización de series temporales. Describen una serie como función de sus propios valores pasados (componente AR) y de los errores de predicción pasados (componente MA). La componente de integración (I) permite trabajar con series no estacionarias.</w:t>
      </w:r>
    </w:p>
    <w:p>
      <w:pPr>
        <w:pStyle w:val="Textoindependiente"/>
      </w:pPr>
      <w:r>
        <w:t>Los modelos ARIMA son interpretables, están bien fundamentados teóricamente y exigen pocas observaciones para ser estimados. Su principal limitación es que trabajan con una única serie a la vez y asumen relaciones lineales. En el contexto de los retornos financieros, la componente MA resulta especialmente relevante porque permite al modelo capturar indirectamente el efecto de variables externas no observadas, como noticias o eventos macroeconómicos, a través de los errores de predicción pasados. Esta propiedad, como se argumentará en la metodología, justifica el uso del criterio AIC para la selección del modelo.</w:t>
      </w:r>
    </w:p>
    <w:p>
      <w:pPr>
        <w:pStyle w:val="Ttulo2"/>
      </w:pPr>
      <w:r>
        <w:t>Modelos de machine learning en finanzas</w:t>
      </w:r>
    </w:p>
    <w:p>
      <w:pPr>
        <w:pStyle w:val="Textoindependiente"/>
      </w:pPr>
      <w:r>
        <w:t>El uso de técnicas de aprendizaje automático en la predicción financiera ha crecido mucho en los últimos años. Modelos como Random Forest [CITAR: Breiman, 2001], Gradient Boosting [CITAR: Friedman, 2001] y Ridge [CITAR: Hoerl y Kennard, 1970] han demostrado capacidad para capturar relaciones no lineales y gestionar datasets de alta dimensionalidad. Sin embargo, aplicarlos a datos financieros presenta retos específicos: las series son ruidosas, tienen baja relación señal-ruido y la validación debe respetar el orden temporal para evitar el look-ahead bias [CITAR: Lopez de Prado, 2018].</w:t>
      </w:r>
    </w:p>
    <w:p>
      <w:pPr>
        <w:pStyle w:val="Textoindependiente"/>
      </w:pPr>
      <w:r>
        <w:t>Un aspecto clave en el diseño del experimento es el uso de validación walk-forward en lugar de validación cruzada estándar. La validación cruzada aleatoria mezcla observaciones de distintos momentos temporales, lo que en series financieras introduce información futura en el entrenamiento y produce estimaciones artificialmente optimistas del rendimiento real.</w:t>
      </w:r>
    </w:p>
    <w:p>
      <w:pPr>
        <w:pStyle w:val="Ttulo2"/>
      </w:pPr>
      <w:r>
        <w:t>Optimización de carteras y modelo de Markowitz</w:t>
      </w:r>
    </w:p>
    <w:p>
      <w:pPr>
        <w:pStyle w:val="Textoindependiente"/>
      </w:pPr>
      <w:r>
        <w:t>La teoría moderna de carteras, formulada por Markowitz en 1952 [CITAR: Markowitz, 1952], establece que la cartera óptima para un inversor racional es aquella que, dado un nivel de rentabilidad esperada, minimiza el riesgo medido como la varianza. Este principio implica que combinar activos con baja correlación entre sí reduce el riesgo total de la cartera, lo que constituye el beneficio de la diversificación.</w:t>
      </w:r>
    </w:p>
    <w:p>
      <w:pPr>
        <w:pStyle w:val="Textoindependiente"/>
      </w:pPr>
      <w:r>
        <w:t>El modelo de Markowitz requiere como inputs la rentabilidad esperada de cada activo y la matriz de covarianzas. La estimación de la rentabilidad esperada es el input más difícil de obtener con precisión. Una de las líneas de investigación más activas consiste en utilizar modelos predictivos para estimar este parámetro de forma más informada que una simple media histórica. Este trabajo se inscribe precisamente en esa línea: las predicciones ARIMA semanales sirven de input al optimizador, y el backtest permite evaluar si esa mejora predictiva se traduce en una mejor cartera.</w:t>
      </w:r>
    </w:p>
    <w:p>
      <w:r>
        <w:br w:type="page"/>
      </w:r>
    </w:p>
    <w:p>
      <w:pPr>
        <w:pStyle w:val="Ttulo1"/>
      </w:pPr>
      <w:r>
        <w:t>DATOS Y PREPROCESADO</w:t>
      </w:r>
    </w:p>
    <w:p>
      <w:pPr>
        <w:pStyle w:val="Ttulo2"/>
      </w:pPr>
      <w:r>
        <w:t>Descripción del universo de ETFs</w:t>
      </w:r>
    </w:p>
    <w:p>
      <w:pPr>
        <w:pStyle w:val="Textoindependiente"/>
      </w:pPr>
      <w:r>
        <w:t>El universo de activos analizados está formado por 63 ETFs seleccionados para representar el mercado financiero global de forma amplia. Un ETF (Exchange Traded Fund) es un fondo que agrupa un conjunto de activos y cotiza en bolsa como una acción individual. Permite invertir en muchos activos a la vez con una única operación, a bajo coste y con alta liquidez.</w:t>
      </w:r>
    </w:p>
    <w:p>
      <w:pPr>
        <w:pStyle w:val="Textoindependiente"/>
      </w:pPr>
      <w:r>
        <w:t>Se trabaja con ETFs en lugar de acciones individuales porque el precio de una acción individual está muy influido por noticias y eventos propios de la empresa, lo que introduce mucho ruido idiosincrático. Un ETF refleja el comportamiento conjunto de un segmento del mercado, lo que hace sus series más estables y representativas, facilitando la modelización estadística. Los 63 ETFs se agrupan en seis categorías:</w:t>
      </w:r>
    </w:p>
    <w:p>
      <w:pPr>
        <w:pStyle w:val="Ttulo3"/>
      </w:pPr>
      <w:r>
        <w:t>Mercado estadounidense (Core US)</w:t>
      </w:r>
    </w:p>
    <w:p>
      <w:pPr>
        <w:pStyle w:val="Textoindependiente"/>
      </w:pPr>
      <w:r>
        <w:t>ETFs que replican los principales índices bursátiles de EE. UU.: SPY, IVV, VOO, QQQ, VTI, ITOT, DIA, IWM, IJR y MDY. Cubren desde grandes empresas del S&amp;P 500 y el Nasdaq-100 hasta pequeñas y medianas compañías. Son los activos más líquidos del universo.</w:t>
      </w:r>
    </w:p>
    <w:p>
      <w:pPr>
        <w:pStyle w:val="Ttulo3"/>
      </w:pPr>
      <w:r>
        <w:t>Factores y estilos</w:t>
      </w:r>
    </w:p>
    <w:p>
      <w:pPr>
        <w:pStyle w:val="Textoindependiente"/>
      </w:pPr>
      <w:r>
        <w:t>ETFs que seleccionan empresas según características concretas: crecimiento (VUG, IWF), valor (VTV, IWD, VLUE), dividendos (SCHD, VIG, DVY), momentum (MTUM), calidad (QUAL) y baja volatilidad (USMV). No replican el mercado completo, sino una estrategia de selección específica.</w:t>
      </w:r>
    </w:p>
    <w:p>
      <w:pPr>
        <w:pStyle w:val="Ttulo3"/>
      </w:pPr>
      <w:r>
        <w:t>Sectores económicos</w:t>
      </w:r>
    </w:p>
    <w:p>
      <w:pPr>
        <w:pStyle w:val="Textoindependiente"/>
      </w:pPr>
      <w:r>
        <w:t>ETFs centrados en sectores concretos: tecnología (XLK), servicios financieros (XLF), salud (XLV), consumo discrecional (XLY), consumo básico (XLP), energía (XLE), industria (XLI), servicios públicos (XLU), materiales (XLB) e inmobiliario (XLRE).</w:t>
      </w:r>
    </w:p>
    <w:p>
      <w:pPr>
        <w:pStyle w:val="Ttulo3"/>
      </w:pPr>
      <w:r>
        <w:t>Mercados internacionales</w:t>
      </w:r>
    </w:p>
    <w:p>
      <w:pPr>
        <w:pStyle w:val="Textoindependiente"/>
      </w:pPr>
      <w:r>
        <w:t>ETFs que invierten fuera de EE. UU.: mercados desarrollados (VEA, IEFA, EFA, EWG, EWU, EWQ, EWJ), emergentes amplios (VWO, IEMG, EEM) y países concretos: India (INDA), Brasil (EWZ), China (FXI, MCHI), Taiwán (EWT) y Corea del Sur (EWY, descartado posteriormente).</w:t>
      </w:r>
    </w:p>
    <w:p>
      <w:pPr>
        <w:pStyle w:val="Ttulo3"/>
      </w:pPr>
      <w:r>
        <w:t>Renta fija</w:t>
      </w:r>
    </w:p>
    <w:p>
      <w:pPr>
        <w:pStyle w:val="Textoindependiente"/>
      </w:pPr>
      <w:r>
        <w:t>ETFs de deuda: bonos agregados (BND, AGG), bonos del Tesoro a largo plazo (TLT, IEF), bonos ligados a la inflación (TIP), deuda corporativa de alta calidad (LQD) y alto rendimiento (HYG, JNK). También se incluyen ETFs de muy corto plazo (SHY, BIL), aunque estos fueron descartados en el filtrado posterior.</w:t>
      </w:r>
    </w:p>
    <w:p>
      <w:pPr>
        <w:pStyle w:val="Ttulo3"/>
      </w:pPr>
      <w:r>
        <w:t>Materias primas y activos reales</w:t>
      </w:r>
    </w:p>
    <w:p>
      <w:pPr>
        <w:pStyle w:val="Textoindependiente"/>
      </w:pPr>
      <w:r>
        <w:t>ETFs sobre activos físicos: oro (GLD, IAU), plata (SLV), petróleo crudo (USO) y materias primas amplias (DBC). El oro es uno de los activos de refugio más utilizados en finanzas. GLD e IAU replican el mismo subyacente y fueron tratados por separado en el filtrado.</w:t>
      </w:r>
    </w:p>
    <w:p>
      <w:pPr>
        <w:pStyle w:val="Ttulo2"/>
      </w:pPr>
      <w:r>
        <w:t>Descarga de datos</w:t>
      </w:r>
    </w:p>
    <w:p>
      <w:pPr>
        <w:pStyle w:val="Textoindependiente"/>
      </w:pPr>
      <w:r>
        <w:t>Los datos históricos se descargaron mediante la librería yfinance de Python, que permite acceder a los datos de Yahoo Finance de forma gratuita y automatizada. La descarga cubre el período desde el 1 de enero de 2021 hasta aproximadamente el 2 de febrero de 2026, obteniendo 1.276 días de trading para 63 ETFs.</w:t>
      </w:r>
    </w:p>
    <w:p>
      <w:pPr>
        <w:pStyle w:val="Textoindependiente"/>
      </w:pPr>
      <w:r>
        <w:t>Para cada ETF y cada día se descargaron dos variables: el precio ajustado de cierre y el volumen negociado. El precio ajustado de cierre incorpora las correcciones por dividendos y splits, lo que garantiza que los precios son comparables a lo largo del tiempo y que los retornos calculados no incluyen saltos artificiales. El volumen refleja cuántas participaciones se compraron y vendieron ese día, y sirve como medida de la liquidez del activo.</w:t>
      </w:r>
    </w:p>
    <w:p>
      <w:pPr>
        <w:pStyle w:val="Textoindependiente"/>
      </w:pPr>
      <w:r>
        <w:t>Se verificó que todos los ETFs presentaban una tasa de valores nulos inferior al 5% y un volumen diario en dólares (precio por volumen) superior a 10 millones de dólares. Los 63 ETFs superaron este umbral de liquidez, por lo que ninguno fue descartado por este motivo.</w:t>
      </w:r>
    </w:p>
    <w:p>
      <w:pPr>
        <w:pStyle w:val="Ttulo2"/>
      </w:pPr>
      <w:r>
        <w:t>Variables financieras construidas</w:t>
      </w:r>
    </w:p>
    <w:p>
      <w:pPr>
        <w:pStyle w:val="Textoindependiente"/>
      </w:pPr>
      <w:r>
        <w:t>A partir de los datos descargados se construyen varias variables derivadas para cada ETF y fecha.</w:t>
      </w:r>
    </w:p>
    <w:p>
      <w:pPr>
        <w:pStyle w:val="Ttulo3"/>
      </w:pPr>
      <w:r>
        <w:t>Retorno logarítmico</w:t>
      </w:r>
    </w:p>
    <w:p>
      <w:pPr>
        <w:pStyle w:val="Textoindependiente"/>
      </w:pPr>
      <w:r>
        <w:t>La variable principal de este trabajo es el retorno logarítmico diario, calculado como:</w:t>
      </w:r>
    </w:p>
    <w:p>
      <w:pPr>
        <w:pStyle w:val="Textoindependiente"/>
        <w:jc w:val="center"/>
      </w:pPr>
      <w:r>
        <w:t>r_log(t) = ln[P(t)] - ln[P(t-1)]</w:t>
      </w:r>
    </w:p>
    <w:p>
      <w:pPr>
        <w:pStyle w:val="Textoindependiente"/>
      </w:pPr>
      <w:r>
        <w:t>donde P(t) es el precio ajustado de cierre en el día t. Se usa el retorno logarítmico en lugar del retorno simple por varias razones. La más importante es su propiedad de aditividad: la suma de los retornos logarítmicos diarios de una semana equivale al retorno logarítmico semanal total, lo que facilita la agregación temporal sin pérdida de información. Además, los retornos logarítmicos presentan propiedades estadísticas más adecuadas para la modelización, incluyendo mayor simetría distribucional.</w:t>
      </w:r>
    </w:p>
    <w:p>
      <w:pPr>
        <w:pStyle w:val="Ttulo3"/>
      </w:pPr>
      <w:r>
        <w:t>Cambio logarítmico del volumen</w:t>
      </w:r>
    </w:p>
    <w:p>
      <w:pPr>
        <w:pStyle w:val="Textoindependiente"/>
      </w:pPr>
      <w:r>
        <w:t>En lugar del nivel absoluto de volumen, que puede variar mucho por razones estructurales, se calcula su variación relativa:</w:t>
      </w:r>
    </w:p>
    <w:p>
      <w:pPr>
        <w:pStyle w:val="Textoindependiente"/>
        <w:jc w:val="center"/>
      </w:pPr>
      <w:r>
        <w:t>Δvol(t) = ln[Vol(t)] - ln[Vol(t-1)]</w:t>
      </w:r>
    </w:p>
    <w:p>
      <w:pPr>
        <w:pStyle w:val="Textoindependiente"/>
      </w:pPr>
      <w:r>
        <w:t>Esta transformación convierte el volumen en una medida de aceleración o desaceleración de la actividad negociadora, más informativa como variable explicativa para los modelos.</w:t>
      </w:r>
    </w:p>
    <w:p>
      <w:pPr>
        <w:pStyle w:val="Ttulo3"/>
      </w:pPr>
      <w:r>
        <w:t>Variables temporales</w:t>
      </w:r>
    </w:p>
    <w:p>
      <w:pPr>
        <w:pStyle w:val="Textoindependiente"/>
      </w:pPr>
      <w:r>
        <w:t>Se añaden variables de contexto temporal: el día de la semana (codificado como variables dummy para la frecuencia diaria) y el mes, indicadores de inicio y fin de mes, inicio y fin de trimestre (para la frecuencia semanal). Estas variables permiten que los modelos de aprendizaje automático detecten eventuales efectos estacionales o de calendario en los retornos.</w:t>
      </w:r>
    </w:p>
    <w:p>
      <w:pPr>
        <w:pStyle w:val="Ttulo2"/>
      </w:pPr>
      <w:r>
        <w:t>Construcción del dataset diario</w:t>
      </w:r>
    </w:p>
    <w:p>
      <w:pPr>
        <w:pStyle w:val="Textoindependiente"/>
      </w:pPr>
      <w:r>
        <w:t>El dataset diario contiene una fila por cada día de trading. Cada fila incluye los retornos logarítmicos de los 58 ETFs válidos, los cambios logarítmicos de volumen y variables temporales de día de la semana. La variable objetivo de cada fila es el retorno del día siguiente de cada ETF, obtenida desplazando los retornos una posición hacia adelante.</w:t>
      </w:r>
    </w:p>
    <w:p>
      <w:pPr>
        <w:pStyle w:val="Textoindependiente"/>
      </w:pPr>
      <w:r>
        <w:t>El dataset sin retardos (df_diario.csv) tiene 1.275 filas y 184 columnas. Se generan también cuatro versiones adicionales con 1 a 4 retardos de los retornos (df_diario_1.csv hasta df_diario_4.csv). La inclusión de retardos permite estudiar si la información de días pasados aporta valor predictivo adicional.</w:t>
      </w:r>
    </w:p>
    <w:p>
      <w:pPr>
        <w:pStyle w:val="Ttulo2"/>
      </w:pPr>
      <w:r>
        <w:t>Construcción del dataset semanal</w:t>
      </w:r>
    </w:p>
    <w:p>
      <w:pPr>
        <w:pStyle w:val="Textoindependiente"/>
      </w:pPr>
      <w:r>
        <w:t>El dataset semanal requiere un paso previo de agregación: los datos diarios se colapsan a nivel de semana utilizando el estándar ISO de numeración de semanas (YYYY-Wnn), que evita problemas al cruzar de año. Para cada semana, el retorno semanal de un ETF es la suma de sus retornos logarítmicos diarios, aprovechando la propiedad aditiva del logaritmo. El volumen semanal se agrega como la media de los cambios logarítmicos de volumen de esa semana.</w:t>
      </w:r>
    </w:p>
    <w:p>
      <w:pPr>
        <w:pStyle w:val="Textoindependiente"/>
      </w:pPr>
      <w:r>
        <w:t>El dataset semanal sin retardos (df_semanal.csv) tiene 264 semanas y 182 columnas, cubriendo desde 2021-W01 hasta 2026-W06. Al igual que en el caso diario, se generan versiones con 1 a 4 retardos semanales.</w:t>
      </w:r>
    </w:p>
    <w:p>
      <w:pPr>
        <w:pStyle w:val="Textoindependiente"/>
      </w:pPr>
      <w:r>
        <w:t>La generación de versiones con distintos números de retardos tiene carácter exploratorio: permite estudiar empíricamente si la información de semanas pasadas aporta valor predictivo, es decir, si existe algún tipo de efecto de autocorrelación explotable en los retornos semanales. Como se verá en los resultados, los retardos no mejoran la predicción, lo que constituye en sí mismo una conclusión relevante y coherente con lo que se observa también en los modelos de series temporales.</w:t>
      </w:r>
    </w:p>
    <w:p>
      <w:pPr>
        <w:pStyle w:val="Ttulo2"/>
      </w:pPr>
      <w:r>
        <w:t>Análisis descriptivo inicial</w:t>
      </w:r>
    </w:p>
    <w:p>
      <w:pPr>
        <w:pStyle w:val="Textoindependiente"/>
      </w:pPr>
      <w:r>
        <w:t>Antes de aplicar ningún modelo se realiza un análisis exploratorio de los retornos logarítmicos diarios de los 63 ETFs. Este análisis tiene dos objetivos: entender el comportamiento estadístico de los activos y detectar posibles anomalías.</w:t>
      </w:r>
    </w:p>
    <w:p>
      <w:pPr>
        <w:pStyle w:val="Ttulo3"/>
      </w:pPr>
      <w:r>
        <w:t>Estadística descriptiva</w:t>
      </w:r>
    </w:p>
    <w:p>
      <w:pPr>
        <w:pStyle w:val="Textoindependiente"/>
      </w:pPr>
      <w:r>
        <w:t>Para cada ETF se calculan la media diaria, la desviación típica, el mínimo y máximo, y varios percentiles. Los resultados confirman patrones conocidos en la literatura financiera: la media diaria es muy cercana a cero para todos los ETFs; la desviación típica es significativamente mayor en materias primas y mercados emergentes que en renta fija. Por ejemplo, SLV y USO presentan una volatilidad diaria en torno al 2,1%, mientras que los ETFs de bonos de corto plazo tienen valores muy inferiores al 0,2%. Las diferencias entre grupos son coherentes con los distintos perfiles de riesgo esperados.</w:t>
      </w:r>
    </w:p>
    <w:p>
      <w:pPr>
        <w:pStyle w:val="Textoindependiente"/>
      </w:pPr>
      <w:r>
        <w:rPr>
          <w:b/>
          <w:color w:val="C00000"/>
        </w:rPr>
        <w:t>[TODO: insertar tabla con estadística descriptiva por ETF o por grupo — Tabla 3-1. Fuente: elaboración propia]</w:t>
      </w:r>
    </w:p>
    <w:p>
      <w:pPr>
        <w:pStyle w:val="Ttulo3"/>
      </w:pPr>
      <w:r>
        <w:t>Histogramas y distribución de retornos</w:t>
      </w:r>
    </w:p>
    <w:p>
      <w:pPr>
        <w:pStyle w:val="Textoindependiente"/>
      </w:pPr>
      <w:r>
        <w:t>Los histogramas muestran que la distribución de retornos es aproximadamente simétrica y centrada en cero, con forma cercana a una campana. Sin embargo, en la mayoría de casos se observan colas más pesadas que las de una distribución normal: hay más observaciones extremas de lo esperado. Esta característica, conocida como exceso de curtosis, es habitual en series financieras y está relacionada con los episodios de alta volatilidad puntual que se observan en los mercados. ETFs amplios como SPY presentan distribuciones más concentradas, mientras que activos como EWZ, SLV o USO muestran colas más anchas.</w:t>
      </w:r>
    </w:p>
    <w:p>
      <w:pPr>
        <w:pStyle w:val="Textoindependiente"/>
      </w:pPr>
      <w:r>
        <w:rPr>
          <w:b/>
          <w:color w:val="C00000"/>
        </w:rPr>
        <w:t>[TODO: insertar figura con histogramas por grupos de ETFs — Figura 3-1. Fuente: elaboración propia]</w:t>
      </w:r>
    </w:p>
    <w:p>
      <w:pPr>
        <w:pStyle w:val="Ttulo3"/>
      </w:pPr>
      <w:r>
        <w:t>Boxplots por grupo</w:t>
      </w:r>
    </w:p>
    <w:p>
      <w:pPr>
        <w:pStyle w:val="Textoindependiente"/>
      </w:pPr>
      <w:r>
        <w:t>Los diagramas de caja confirman el patrón esperado: los ETFs de renta fija presentan rangos intercuartílicos muy estrechos y pocos valores atípicos, mientras que los de materias primas y mercados emergentes muestran cajas más amplias y mayor número de outliers. Los ETFs de renta variable estadounidense se sitúan en posición intermedia. Esta diversidad de perfiles de volatilidad es precisamente lo que hace a este universo de ETFs interesante para el modelo de Markowitz: la combinación de activos con distintos niveles de riesgo y baja correlación entre grupos es la base de la diversificación.</w:t>
      </w:r>
    </w:p>
    <w:p>
      <w:pPr>
        <w:pStyle w:val="Textoindependiente"/>
      </w:pPr>
      <w:r>
        <w:rPr>
          <w:b/>
          <w:color w:val="C00000"/>
        </w:rPr>
        <w:t>[TODO: insertar figura con boxplots comparativos por grupo — Figura 3-2. Fuente: elaboración propia]</w:t>
      </w:r>
    </w:p>
    <w:p>
      <w:pPr>
        <w:pStyle w:val="Ttulo3"/>
      </w:pPr>
      <w:r>
        <w:t>Matriz de correlaciones</w:t>
      </w:r>
    </w:p>
    <w:p>
      <w:pPr>
        <w:pStyle w:val="Textoindependiente"/>
      </w:pPr>
      <w:r>
        <w:t>La matriz de correlaciones entre los retornos diarios muestra agrupaciones claras. Los ETFs de renta variable estadounidense que replican índices similares (SPY, IVV, VOO, VTI) tienen correlaciones próximas a 0,99: son prácticamente el mismo activo. Los ETFs sectoriales presentan correlaciones elevadas con el mercado general pero también entre sí. En contraste, los ETFs de renta fija, especialmente de corto plazo, presentan correlaciones bajas o incluso ligeramente negativas con la renta variable, lo que confirma su papel diversificador.</w:t>
      </w:r>
    </w:p>
    <w:p>
      <w:pPr>
        <w:pStyle w:val="Textoindependiente"/>
      </w:pPr>
      <w:r>
        <w:t>El análisis de correlación sirvió también para identificar grupos de ETFs redundantes. Mediante un grafo con umbral de correlación de 0,95 se detectaron clusters de activos con comportamiento casi idéntico. Esta información, junto con los criterios de estacionariedad descritos a continuación, determinó la selección final de ETFs.</w:t>
      </w:r>
    </w:p>
    <w:p>
      <w:pPr>
        <w:pStyle w:val="Textoindependiente"/>
      </w:pPr>
      <w:r>
        <w:rPr>
          <w:b/>
          <w:color w:val="C00000"/>
        </w:rPr>
        <w:t>[TODO: insertar figura con la matriz de correlaciones completa — Figura 3-3. Fuente: elaboración propia]</w:t>
      </w:r>
    </w:p>
    <w:p>
      <w:pPr>
        <w:pStyle w:val="Ttulo2"/>
      </w:pPr>
      <w:r>
        <w:t>Tratamiento de datos y selección final de ETFs</w:t>
      </w:r>
    </w:p>
    <w:p>
      <w:pPr>
        <w:pStyle w:val="Textoindependiente"/>
      </w:pPr>
      <w:r>
        <w:t>Tras el análisis descriptivo se aplica un proceso de filtrado para garantizar que los ETFs cumplen los requisitos estadísticos necesarios para los modelos de series temporales. El criterio principal es la estacionariedad de los retornos logarítmicos, descrita en detalle en el apartado de metodología.</w:t>
      </w:r>
    </w:p>
    <w:p>
      <w:pPr>
        <w:pStyle w:val="Textoindependiente"/>
      </w:pPr>
      <w:r>
        <w:t>Como resultado de este proceso, cinco ETFs fueron excluidos del análisis: BIL (letra del Tesoro de muy corto plazo), EWY (ETF de Corea del Sur), GLD (oro, ETF de iShares), IAU (oro, ETF alternativo) y SHY (bonos del Tesoro de corto plazo). Estos ETFs presentaron inconsistencias en los tests de estacionariedad sobre sus retornos, lo que podría comprometer la validez de los modelos ARIMA. Adicionalmente, GLD e IAU son prácticamente el mismo activo, por lo que mantener ambos no aportaría diversificación.</w:t>
      </w:r>
    </w:p>
    <w:p>
      <w:pPr>
        <w:pStyle w:val="Textoindependiente"/>
      </w:pPr>
      <w:r>
        <w:t>El conjunto final de trabajo queda formado por 58 ETFs, que son los utilizados en todos los modelos posteriores. El listado completo con descripción y categoría se incluye en el Apéndice A.</w:t>
      </w:r>
    </w:p>
    <w:p>
      <w:r>
        <w:br w:type="page"/>
      </w:r>
    </w:p>
    <w:p>
      <w:pPr>
        <w:pStyle w:val="Ttulo1"/>
      </w:pPr>
      <w:r>
        <w:t>METODOLOGÍA</w:t>
      </w:r>
    </w:p>
    <w:p>
      <w:pPr>
        <w:pStyle w:val="Ttulo2"/>
      </w:pPr>
      <w:r>
        <w:t>Modelización mediante series temporales</w:t>
      </w:r>
    </w:p>
    <w:p>
      <w:pPr>
        <w:pStyle w:val="Ttulo3"/>
      </w:pPr>
      <w:r>
        <w:t>Elección de la variable objetivo</w:t>
      </w:r>
    </w:p>
    <w:p>
      <w:pPr>
        <w:pStyle w:val="Textoindependiente"/>
      </w:pPr>
      <w:r>
        <w:t>La variable que se modela con ARIMA son los retornos logarítmicos, no los precios. Esta decisión es deliberada. El precio ajustado de un ETF presenta una tendencia creciente a largo plazo y no es estacionario, lo que lo hace inadecuado para ARIMA sin transformación previa. Trabajar directamente con retornos logarítmicos, que sí son estacionarios, simplifica el análisis y facilita la interpretación económica de los resultados, ya que la optimización de carteras de Markowitz se basa precisamente en retornos esperados.</w:t>
      </w:r>
    </w:p>
    <w:p>
      <w:pPr>
        <w:pStyle w:val="Ttulo3"/>
      </w:pPr>
      <w:r>
        <w:t>Estacionariedad</w:t>
      </w:r>
    </w:p>
    <w:p>
      <w:pPr>
        <w:pStyle w:val="Textoindependiente"/>
      </w:pPr>
      <w:r>
        <w:t>Una serie temporal es estacionaria cuando sus propiedades estadísticas —media, varianza y estructura de autocorrelación— no cambian a lo largo del tiempo. La estacionariedad es un requisito fundamental para aplicar modelos ARIMA. Una serie no estacionaria presentaría una tendencia o varianza creciente que el modelo no podría capturar correctamente.</w:t>
      </w:r>
    </w:p>
    <w:p>
      <w:pPr>
        <w:pStyle w:val="Textoindependiente"/>
      </w:pPr>
      <w:r>
        <w:t>Para evaluar la estacionariedad se aplican dos tests complementarios sobre los retornos logarítmicos de cada ETF:</w:t>
      </w:r>
    </w:p>
    <w:p>
      <w:pPr>
        <w:pStyle w:val="Listaconvietas"/>
      </w:pPr>
      <w:r>
        <w:t>ADF (Augmented Dickey-Fuller): la hipótesis nula es que la serie NO es estacionaria (tiene raíz unitaria). Un p-valor bajo (&lt; 0,05) permite rechazar la hipótesis nula y concluir que la serie sí es estacionaria.</w:t>
      </w:r>
    </w:p>
    <w:p>
      <w:pPr>
        <w:pStyle w:val="Listaconvietas"/>
      </w:pPr>
      <w:r>
        <w:t>KPSS (Kwiatkowski-Phillips-Schmidt-Shin): la hipótesis nula es que la serie SÍ es estacionaria. Un p-valor alto (&gt; 0,05) no permite rechazar la hipótesis nula, lo que apoya la estacionariedad.</w:t>
      </w:r>
    </w:p>
    <w:p>
      <w:pPr>
        <w:pStyle w:val="Textoindependiente"/>
      </w:pPr>
      <w:r>
        <w:t>La combinación de ambos tests permite una conclusión más robusta. Los resultados confirman que los precios ajustados y sus logaritmos no son estacionarios (presentan tendencia), mientras que los retornos logarítmicos sí lo son para la gran mayoría de ETFs. Los cinco ETFs que presentaron resultados inconsistentes en estos tests fueron eliminados del análisis.</w:t>
      </w:r>
    </w:p>
    <w:p>
      <w:pPr>
        <w:pStyle w:val="Ttulo3"/>
      </w:pPr>
      <w:r>
        <w:t>Análisis de autocorrelación: ACF y PACF</w:t>
      </w:r>
    </w:p>
    <w:p>
      <w:pPr>
        <w:pStyle w:val="Textoindependiente"/>
      </w:pPr>
      <w:r>
        <w:t>Antes de seleccionar el modelo ARIMA se analizan las funciones de autocorrelación (ACF) y autocorrelación parcial (PACF) de los retornos de cada ETF. La ACF mide la correlación entre la serie y sus propios valores pasados a distintos retardos; la PACF hace lo mismo pero eliminando el efecto indirecto de los retardos intermedios.</w:t>
      </w:r>
    </w:p>
    <w:p>
      <w:pPr>
        <w:pStyle w:val="Textoindependiente"/>
      </w:pPr>
      <w:r>
        <w:t>Los resultados muestran que la autocorrelación de los retornos converge rápidamente a cero: no existe dependencia temporal fuerte en la media de los retornos. Esto es coherente con la eficiencia débil del mercado y anticipa uno de los hallazgos más importantes del trabajo: los valores pasados de los retornos contienen muy poca información sobre los valores futuros. Como se verá en el apartado de machine learning, los modelos que incorporan retardos de retornos como variables explicativas tampoco mejoran la predicción, lo que refuerza esta conclusión.</w:t>
      </w:r>
    </w:p>
    <w:p>
      <w:pPr>
        <w:pStyle w:val="Ttulo3"/>
      </w:pPr>
      <w:r>
        <w:t>Estructura del modelo ARIMA</w:t>
      </w:r>
    </w:p>
    <w:p>
      <w:pPr>
        <w:pStyle w:val="Textoindependiente"/>
      </w:pPr>
      <w:r>
        <w:t>Un modelo ARIMA(p, d, q) combina tres componentes. La parte autorregresiva AR(p) modela el valor actual de la serie como función lineal de sus p valores pasados. La parte de integración I(d) diferencia la serie d veces para hacerla estacionaria. La parte de medias móviles MA(q) modela el valor actual como función de los q errores de predicción anteriores.</w:t>
      </w:r>
    </w:p>
    <w:p>
      <w:pPr>
        <w:pStyle w:val="Textoindependiente"/>
      </w:pPr>
      <w:r>
        <w:t>Dado que los retornos logarítmicos ya son estacionarios, se fija d = 0 en todos los modelos. Esto simplifica el ARIMA a un modelo ARMA(p, q), y la búsqueda de parámetros se reduce a encontrar los valores de p y q que mejor ajusten la serie.</w:t>
      </w:r>
    </w:p>
    <w:p>
      <w:pPr>
        <w:pStyle w:val="Ttulo3"/>
      </w:pPr>
      <w:r>
        <w:t>Criterios de selección: AIC, BIC y test de Ljung-Box</w:t>
      </w:r>
    </w:p>
    <w:p>
      <w:pPr>
        <w:pStyle w:val="Textoindependiente"/>
      </w:pPr>
      <w:r>
        <w:t>Para cada ETF se realiza una búsqueda en rejilla sobre los valores de p y q, probando todas las combinaciones de p en {0, 1, 2, 3, 4} y q en {0, 1, 2, 3, 4}. Los modelos candidatos se evalúan con tres criterios:</w:t>
      </w:r>
    </w:p>
    <w:p>
      <w:pPr>
        <w:pStyle w:val="Listaconvietas"/>
      </w:pPr>
      <w:r>
        <w:t>AIC (Criterio de Información de Akaike): penaliza la complejidad del modelo con un coste fijo de 2 unidades por parámetro adicional. Minimizar el AIC equivale a buscar el modelo con menor error de predicción esperado fuera de muestra.</w:t>
      </w:r>
    </w:p>
    <w:p>
      <w:pPr>
        <w:pStyle w:val="Listaconvietas"/>
      </w:pPr>
      <w:r>
        <w:t>BIC (Criterio de Información Bayesiano): penaliza la complejidad más fuertemente que el AIC, con un coste que crece con el logaritmo del número de observaciones. Tiende a seleccionar modelos más simples.</w:t>
      </w:r>
    </w:p>
    <w:p>
      <w:pPr>
        <w:pStyle w:val="Listaconvietas"/>
      </w:pPr>
      <w:r>
        <w:t>Test de Ljung-Box: evalúa si los residuos del modelo presentan autocorrelación significativa. La hipótesis nula es que los residuos son ruido blanco (no están autocorrelacionados). Para que el modelo sea válido se necesita un p-valor superior a 0,05, lo que indica que el modelo ha capturado toda la dependencia temporal relevante y lo que queda son errores sin estructura.</w:t>
      </w:r>
    </w:p>
    <w:p>
      <w:pPr>
        <w:pStyle w:val="Textoindependiente"/>
      </w:pPr>
      <w:r>
        <w:t>En este trabajo se usa el AIC como criterio principal de selección, con el BIC como criterio de desempate y el test de Ljung-Box como verificación de validez. La elección del AIC sobre el BIC es deliberada y responde a una razón importante: el objetivo del trabajo es predecir retornos futuros, no identificar el "modelo verdadero" que generó los datos. El AIC está diseñado específicamente para minimizar el error de predicción fuera de muestra, mientras que el BIC tiende a seleccionar modelos excesivamente simples cuando el número de observaciones es grande, como es el caso con datos semanales de cuatro años.</w:t>
      </w:r>
    </w:p>
    <w:p>
      <w:pPr>
        <w:pStyle w:val="Textoindependiente"/>
      </w:pPr>
      <w:r>
        <w:t>Hay además una razón financiera que refuerza esta elección. La ventaja principal de los modelos ARIMA frente a los modelos de machine learning, como se argumenta en la sección de comparación, proviene de la componente MA. Esta parte del modelo captura la información contenida en los errores de predicción pasados, es decir, aquello que el modelo no pudo explicar con los retornos anteriores. En los mercados financieros, esos errores reflejan el efecto acumulado de variables no observadas: noticias económicas, decisiones de bancos centrales, tensiones geopolíticas, cambios en expectativas. Al no disponer de estas variables como inputs explícitos, el modelo ARIMA las incorpora de forma indirecta a través de la componente MA. El BIC, con su penalización más agresiva, tiende a rechazar órdenes MA elevados que contienen esta señal real, lo que lleva a perder precisamente la fuente de información más valiosa. El AIC, al penalizar menos, es más propenso a retener estos términos y aprovecha mejor esa información.</w:t>
      </w:r>
    </w:p>
    <w:p>
      <w:pPr>
        <w:pStyle w:val="Ttulo3"/>
      </w:pPr>
      <w:r>
        <w:t>Predicción walk-forward y periodo de test</w:t>
      </w:r>
    </w:p>
    <w:p>
      <w:pPr>
        <w:pStyle w:val="Textoindependiente"/>
      </w:pPr>
      <w:r>
        <w:t>La predicción ARIMA se realiza utilizando un esquema walk-forward: en cada semana del periodo de test, el modelo se reestima con todos los datos históricos disponibles hasta ese momento y genera una predicción para la semana siguiente. Esta predicción se registra y, a continuación, la observación real se añade al histórico antes de continuar con la siguiente semana.</w:t>
      </w:r>
    </w:p>
    <w:p>
      <w:pPr>
        <w:pStyle w:val="Textoindependiente"/>
      </w:pPr>
      <w:r>
        <w:t>El período de entrenamiento inicial abarca desde 2021-W01 hasta 2024-W29 (185 semanas). El período de test comprende desde 2024-W30 hasta 2026-W06, con un total de 81 semanas. Este mismo corte temporal se utiliza en los modelos de machine learning y en el backtest de Markowitz, lo que garantiza coherencia metodológica y permite comparar los resultados de forma justa.</w:t>
      </w:r>
    </w:p>
    <w:p>
      <w:pPr>
        <w:pStyle w:val="Ttulo2"/>
      </w:pPr>
      <w:r>
        <w:t>Modelización mediante aprendizaje automático</w:t>
      </w:r>
    </w:p>
    <w:p>
      <w:pPr>
        <w:pStyle w:val="Ttulo3"/>
      </w:pPr>
      <w:r>
        <w:t>Motivación del enfoque</w:t>
      </w:r>
    </w:p>
    <w:p>
      <w:pPr>
        <w:pStyle w:val="Textoindependiente"/>
      </w:pPr>
      <w:r>
        <w:t>Los modelos de aprendizaje automático ofrecen una perspectiva complementaria a la de los modelos de series temporales. Su ventaja potencial reside en que pueden recibir como input múltiples variables simultáneamente: no solo los retornos pasados del propio ETF, sino también los retornos de todos los demás ETFs, los cambios de volumen y las variables temporales. Esto los convierte en modelos multivariantes capaces, en teoría, de capturar relaciones cruzadas entre activos.</w:t>
      </w:r>
    </w:p>
    <w:p>
      <w:pPr>
        <w:pStyle w:val="Textoindependiente"/>
      </w:pPr>
      <w:r>
        <w:t>Sin embargo, como se verá en los resultados, esta ventaja teórica no se traduce siempre en mejores predicciones en la práctica. La baja señal inherente a los retornos financieros y el ruido del dataset hacen que la capacidad predictiva adicional sea modesta.</w:t>
      </w:r>
    </w:p>
    <w:p>
      <w:pPr>
        <w:pStyle w:val="Ttulo3"/>
      </w:pPr>
      <w:r>
        <w:t>Diseño experimental y configuraciones de lags</w:t>
      </w:r>
    </w:p>
    <w:p>
      <w:pPr>
        <w:pStyle w:val="Textoindependiente"/>
      </w:pPr>
      <w:r>
        <w:t>Para cada experimento se define una combinación de tres elementos: el archivo de datos utilizado (con 0, 1, 2, 3 o 4 retardos), el ETF objetivo (el que se quiere predecir) y el modelo aplicado. La combinación de 5 configuraciones de lags, 58 ETFs y 4 modelos genera 1.160 experimentos para cada frecuencia temporal.</w:t>
      </w:r>
    </w:p>
    <w:p>
      <w:pPr>
        <w:pStyle w:val="Textoindependiente"/>
      </w:pPr>
      <w:r>
        <w:t>La exploración de distintos números de retardos (lags) tiene un propósito claro aunque su resultado esperado no era predeterminado: se quería saber si incluir la información de semanas o días pasados mejora la capacidad predictiva. En otras palabras, se estudiaba si existe autocorrelación explotable en los retornos. Como se describirá en los resultados, el mejor modelo en machine learning es siempre el de 0 lags, lo que confirma de forma independiente lo que ya indicaban los análisis ARIMA: los retornos pasados contienen muy poca información predictiva sobre los retornos futuros. Este resultado, coherente entre dos familias de modelos completamente distintas, refuerza la conclusión sobre la baja autocorrelación de estas series.</w:t>
      </w:r>
    </w:p>
    <w:p>
      <w:pPr>
        <w:pStyle w:val="Ttulo3"/>
      </w:pPr>
      <w:r>
        <w:t>Separación temporal train/test</w:t>
      </w:r>
    </w:p>
    <w:p>
      <w:pPr>
        <w:pStyle w:val="Textoindependiente"/>
      </w:pPr>
      <w:r>
        <w:t>Para cada experimento, los datos se dividen en un bloque de entrenamiento y un bloque de test siguiendo un criterio puramente temporal: el 70% de las observaciones más antiguas forman el conjunto de entrenamiento y el 30% restante el conjunto de test. Esta separación nunca se hace de forma aleatoria, porque mezclar observaciones de distintos momentos temporales introduciría información futura en el entrenamiento y produciría resultados artificialmente optimistas.</w:t>
      </w:r>
    </w:p>
    <w:p>
      <w:pPr>
        <w:pStyle w:val="Textoindependiente"/>
      </w:pPr>
      <w:r>
        <w:t>Para la frecuencia semanal, el corte corresponde aproximadamente a finales de julio de 2024 (2024-W29 / 2024-W30), con train desde 2021-W01 hasta 2024-W29 y test desde 2024-W30. Para la frecuencia diaria se usa el mismo criterio proporcional aplicado al número de días.</w:t>
      </w:r>
    </w:p>
    <w:p>
      <w:pPr>
        <w:pStyle w:val="Ttulo3"/>
      </w:pPr>
      <w:r>
        <w:t>Validación walk-forward con ventana expandible</w:t>
      </w:r>
    </w:p>
    <w:p>
      <w:pPr>
        <w:pStyle w:val="Textoindependiente"/>
      </w:pPr>
      <w:r>
        <w:t>El método de evaluación es la validación walk-forward con ventana expandible. El funcionamiento es el siguiente: primero se entrena el modelo con todo el bloque de entrenamiento. Después se le pide que prediga el primer período del test, que no ha visto nunca. Esa predicción se registra. A continuación, esa observación se incorpora al conjunto de entrenamiento, el modelo se reentrena y predice el siguiente período. Este proceso se repite hasta completar todo el periodo de test.</w:t>
      </w:r>
    </w:p>
    <w:p>
      <w:pPr>
        <w:pStyle w:val="Textoindependiente"/>
      </w:pPr>
      <w:r>
        <w:t>Este método simula de forma realista cómo funcionaría el modelo en producción: en cada momento solo utiliza información pasada. El hecho de que el modelo se reentrene completamente en cada paso es computacionalmente costoso pero necesario para que el modelo pueda adaptarse a posibles cambios en el comportamiento de los activos a lo largo del tiempo.</w:t>
      </w:r>
    </w:p>
    <w:p>
      <w:pPr>
        <w:pStyle w:val="Ttulo3"/>
      </w:pPr>
      <w:r>
        <w:t>Métricas de evaluación y benchmarks</w:t>
      </w:r>
    </w:p>
    <w:p>
      <w:pPr>
        <w:pStyle w:val="Textoindependiente"/>
      </w:pPr>
      <w:r>
        <w:t>Para evaluar el rendimiento de los modelos se calculan dos métricas de error sobre el periodo de test:</w:t>
      </w:r>
    </w:p>
    <w:p>
      <w:pPr>
        <w:pStyle w:val="Listaconvietas"/>
      </w:pPr>
      <w:r>
        <w:t>RMSE (Root Mean Squared Error): raíz del error cuadrático medio. Penaliza más los errores grandes al elevarlos al cuadrado, lo que lo hace sensible a predicciones muy equivocadas en días o semanas concretas.</w:t>
      </w:r>
    </w:p>
    <w:p>
      <w:pPr>
        <w:pStyle w:val="Listaconvietas"/>
      </w:pPr>
      <w:r>
        <w:t>MAE (Mean Absolute Error): error absoluto medio. Trata todos los errores de igual manera, lo que da una imagen más equilibrada del error típico del modelo.</w:t>
      </w:r>
    </w:p>
    <w:p>
      <w:pPr>
        <w:pStyle w:val="Textoindependiente"/>
      </w:pPr>
      <w:r>
        <w:t>Estas métricas se calculan también para dos benchmarks de referencia:</w:t>
      </w:r>
    </w:p>
    <w:p>
      <w:pPr>
        <w:pStyle w:val="Listaconvietas"/>
      </w:pPr>
      <w:r>
        <w:t>Baseline naive (último valor): predice siempre el mismo retorno que se observó en el período anterior. Representa la predicción más simple posible sin ningún modelo.</w:t>
      </w:r>
    </w:p>
    <w:p>
      <w:pPr>
        <w:pStyle w:val="Listaconvietas"/>
      </w:pPr>
      <w:r>
        <w:t>Baseline de ceros: predice siempre un retorno de exactamente cero. Este benchmark merece atención especial en el contexto financiero: dado que la media diaria de los retornos es muy cercana a cero, predecir siempre cero puede ser sorprendentemente difícil de superar. Si un modelo no mejora al benchmark de ceros, significa que no está añadiendo información real sobre la dirección ni la magnitud del movimiento futuro.</w:t>
      </w:r>
    </w:p>
    <w:p>
      <w:pPr>
        <w:pStyle w:val="Textoindependiente"/>
      </w:pPr>
      <w:r>
        <w:t>Superar el benchmark de ceros es el estándar más exigente, porque representa la predicción de alguien que sabe que los retornos fluctúan alrededor de cero y apuesta siempre por esa media. Por ello, es posible que un modelo sea mejor que el baseline naive (el que repite el último valor) pero no mejor que el benchmark de ceros, y eso no significa que el modelo sea malo, sino que el mercado es eficiente en ese activo concreto.</w:t>
      </w:r>
    </w:p>
    <w:p>
      <w:pPr>
        <w:pStyle w:val="Ttulo3"/>
      </w:pPr>
      <w:r>
        <w:t>Modelos utilizados</w:t>
      </w:r>
    </w:p>
    <w:p>
      <w:pPr>
        <w:pStyle w:val="Textoindependiente"/>
      </w:pPr>
      <w:r>
        <w:t>Se prueban cuatro modelos de regresión con características distintas:</w:t>
      </w:r>
    </w:p>
    <w:p>
      <w:pPr>
        <w:pStyle w:val="Textoindependiente"/>
      </w:pPr>
      <w:r>
        <w:t>Regresión lineal: modelo de referencia básico. Asume que el retorno futuro es una combinación lineal de todas las variables explicativas. Su ventaja es la total transparencia; su limitación es que no puede capturar relaciones no lineales. Con más variables que observaciones (problema que aparece al añadir lags) sufre sobreajuste severo porque no tiene ningún mecanismo de regularización.</w:t>
      </w:r>
    </w:p>
    <w:p>
      <w:pPr>
        <w:pStyle w:val="Textoindependiente"/>
      </w:pPr>
      <w:r>
        <w:t>Ridge: extensión de la regresión lineal que añade una penalización sobre el tamaño de los coeficientes, controlada por el parámetro alpha. Esta penalización evita que el modelo asigne demasiado peso a variables irrelevantes o muy correlacionadas, lo que es especialmente útil cuando el dataset tiene muchas variables relacionadas entre sí (como los retornos de 58 ETFs correlacionados). Las variables se escalan previamente y el valor óptimo de alpha se busca con validación cruzada temporal.</w:t>
      </w:r>
    </w:p>
    <w:p>
      <w:pPr>
        <w:pStyle w:val="Textoindependiente"/>
      </w:pPr>
      <w:r>
        <w:t>Random Forest: construye simultáneamente un gran número de árboles de decisión, cada uno entrenado sobre una muestra distinta de los datos y con acceso a un subconjunto aleatorio de variables en cada nodo. La predicción final es la media de todos los árboles. Esta diversidad reduce el sobreajuste y permite capturar relaciones no lineales entre variables. Los hiperparámetros se buscan con búsqueda aleatoria y validación cruzada temporal.</w:t>
      </w:r>
    </w:p>
    <w:p>
      <w:pPr>
        <w:pStyle w:val="Textoindependiente"/>
      </w:pPr>
      <w:r>
        <w:t>Gradient Boosting: construye árboles de decisión de forma secuencial, donde cada nuevo árbol se entrena para corregir los errores de los anteriores. Es generalmente más preciso que Random Forest cuando la señal es débil, pero más susceptible al sobreajuste si no se regulariza correctamente y más costoso computacionalmente. También utiliza búsqueda aleatoria de hiperparámetros con validación temporal.</w:t>
      </w:r>
    </w:p>
    <w:p>
      <w:pPr>
        <w:pStyle w:val="Ttulo2"/>
      </w:pPr>
      <w:r>
        <w:t>Comparación entre modelos de series temporales y machine learning</w:t>
      </w:r>
    </w:p>
    <w:p>
      <w:pPr>
        <w:pStyle w:val="Ttulo3"/>
      </w:pPr>
      <w:r>
        <w:t>Comparación diaria</w:t>
      </w:r>
    </w:p>
    <w:p>
      <w:pPr>
        <w:pStyle w:val="Textoindependiente"/>
      </w:pPr>
      <w:r>
        <w:t>En la frecuencia diaria, los resultados muestran que todos los modelos de machine learning (Ridge, Random Forest y Gradient Boosting) obtienen RMSE muy similares entre sí, en torno a 0,0049-0,0050. La Regresión Lineal queda fuera del análisis comparativo porque, como ya se anticipó, sufre sobreajuste severo en cuanto se añaden lags y su RMSE se dispara hasta valores cuatro veces superiores al baseline naive. Esto confirma que la regresión lineal sin regularización no es viable en este contexto de alta dimensionalidad.</w:t>
      </w:r>
    </w:p>
    <w:p>
      <w:pPr>
        <w:pStyle w:val="Textoindependiente"/>
      </w:pPr>
      <w:r>
        <w:t>Los tres modelos buenos mejoran claramente al baseline naive en todos los ETFs. Sin embargo, la mejora sobre el benchmark de ceros es modesta: el modelo ARIMA diario solo supera al benchmark de ceros en 19 de los 56 ETFs analizados. En frecuencia diaria los mercados son especialmente eficientes y el ruido hace que predecir cero sea competitivo casi siempre.</w:t>
      </w:r>
    </w:p>
    <w:p>
      <w:pPr>
        <w:pStyle w:val="Ttulo3"/>
      </w:pPr>
      <w:r>
        <w:t>Comparación semanal</w:t>
      </w:r>
    </w:p>
    <w:p>
      <w:pPr>
        <w:pStyle w:val="Textoindependiente"/>
      </w:pPr>
      <w:r>
        <w:t>En la frecuencia semanal, el mejor modelo de machine learning global es Ridge con 0 lags, con un RMSE medio de 0,00490 y un MAE medio de 0,00365. La mejora sobre el baseline naive es del 31,67% en RMSE, lo que indica que los modelos aportan información real frente a repetir el último valor observado. Sin embargo, la mejora sobre el benchmark de ceros es de solo el 0,66% en RMSE, lo que confirma que en términos absolutos los modelos apenas superan a predecir retorno nulo.</w:t>
      </w:r>
    </w:p>
    <w:p>
      <w:pPr>
        <w:pStyle w:val="Textoindependiente"/>
      </w:pPr>
      <w:r>
        <w:t>Los modelos ARIMA semanales muestran un patrón similar: mejoran al baseline naive en el 100% de los ETFs, pero solo superan al benchmark de ceros en 30 de los 58 casos (52%). El RMSE medio del ARIMA semanal es de 0,00492, prácticamente igual que el de Ridge con 0 lags.</w:t>
      </w:r>
    </w:p>
    <w:p>
      <w:pPr>
        <w:pStyle w:val="Ttulo3"/>
      </w:pPr>
      <w:r>
        <w:t>Impacto de los retardos temporales</w:t>
      </w:r>
    </w:p>
    <w:p>
      <w:pPr>
        <w:pStyle w:val="Textoindependiente"/>
      </w:pPr>
      <w:r>
        <w:t>Uno de los resultados más claros del trabajo es que añadir retardos (lags) de los retornos como variables explicativas no mejora la predicción en los modelos de machine learning. Para Ridge, Random Forest y Gradient Boosting, el RMSE permanece prácticamente constante entre 0 y 4 lags. El mejor modelo global sigue siendo el de 0 lags en todos los casos.</w:t>
      </w:r>
    </w:p>
    <w:p>
      <w:pPr>
        <w:pStyle w:val="Textoindependiente"/>
      </w:pPr>
      <w:r>
        <w:t>Este resultado tiene una interpretación financiera directa y conecta con lo observado en los modelos ARIMA: los retornos semanales de estos ETFs no presentan autocorrelación explotable. La información de semanas pasadas no ayuda a predecir la semana siguiente. Ambos enfoques —series temporales con análisis de ACF/PACF y machine learning con exploración empírica de lags— llegan de forma independiente a la misma conclusión: la parte autorregresiva de la dinámica de estos retornos es muy débil o prácticamente nula. Esto es consistente con la hipótesis de mercados eficientes en su forma débil.</w:t>
      </w:r>
    </w:p>
    <w:p>
      <w:pPr>
        <w:pStyle w:val="Ttulo3"/>
      </w:pPr>
      <w:r>
        <w:t>Por qué ARIMA semanal supera a ML en precisión direccional</w:t>
      </w:r>
    </w:p>
    <w:p>
      <w:pPr>
        <w:pStyle w:val="Textoindependiente"/>
      </w:pPr>
      <w:r>
        <w:t>Aunque en RMSE los modelos ARIMA y ML son muy similares (0,00492 vs 0,00490), hay una diferencia cualitativa importante. Los modelos de machine learning en este trabajo reciben como inputs principalmente los retornos pasados, los cambios de volumen y variables de calendario. Toda esa información equivale, en términos de estructura estadística, a la componente autorregresiva (AR) de un modelo ARIMA. Como se ha visto, esa componente aporta muy poco.</w:t>
      </w:r>
    </w:p>
    <w:p>
      <w:pPr>
        <w:pStyle w:val="Textoindependiente"/>
      </w:pPr>
      <w:r>
        <w:t>La diferencia clave está en la componente MA de los modelos ARIMA. Esta componente no utiliza los valores pasados de la serie, sino los errores de predicción anteriores: la diferencia entre lo que el modelo predijo y lo que realmente ocurrió. En los mercados financieros, esos errores reflejan el efecto acumulado de variables no observadas y no incluidas en el dataset: noticias macroeconómicas, decisiones de política monetaria, tensiones geopolíticas, cambios en las expectativas de los inversores. Al no disponer de estas variables como inputs explícitos, el modelo ARIMA las incorpora indirectamente a través de la componente MA. Los modelos de machine learning no tienen este mecanismo porque nunca reciben esa información como input.</w:t>
      </w:r>
    </w:p>
    <w:p>
      <w:pPr>
        <w:pStyle w:val="Textoindependiente"/>
      </w:pPr>
      <w:r>
        <w:t>Esta diferencia explica por qué, aunque el RMSE global sea similar, el análisis de precisión direccional mediante el kappa de Cohen muestra ventajas para el ARIMA semanal en un número relevante de ETFs. El kappa mide si el modelo acierta en la dirección del movimiento (¿sube o baja?) con más frecuencia de lo que se esperaría por azar, corrigiendo el efecto de la base rates. Para ETFs como DIA, el kappa del ARIMA alcanza 0,23, mientras que el del baseline naive es negativo. Esta capacidad de capturar la dirección del movimiento es más valiosa en el contexto de Markowitz que una ligera mejora en RMSE, porque el optimizador asigna más peso a los activos con rentabilidades esperadas más altas.</w:t>
      </w:r>
    </w:p>
    <w:p>
      <w:pPr>
        <w:pStyle w:val="Textoindependiente"/>
      </w:pPr>
      <w:r>
        <w:t>La elección del AIC como criterio de selección de los modelos ARIMA contribuye a preservar esta ventaja. Al penalizar la complejidad menos que el BIC, el AIC es más propenso a retener términos MA que codifican esa información externa no observable. El BIC, con su penalización más agresiva, tendería a rechazar estos términos y a quedarse con modelos demasiado simples que pierden precisamente la fuente de información más valiosa.</w:t>
      </w:r>
    </w:p>
    <w:p>
      <w:pPr>
        <w:pStyle w:val="Ttulo3"/>
      </w:pPr>
      <w:r>
        <w:t>Selección del modelo para Markowitz</w:t>
      </w:r>
    </w:p>
    <w:p>
      <w:pPr>
        <w:pStyle w:val="Textoindependiente"/>
      </w:pPr>
      <w:r>
        <w:t>Tras comparar los resultados de ambas familias de modelos, se seleccionan las predicciones del modelo ARIMA semanal para su uso como input en el optimizador de carteras. Esta decisión se basa en varios criterios:</w:t>
      </w:r>
    </w:p>
    <w:p>
      <w:pPr>
        <w:pStyle w:val="Listaconvietas"/>
      </w:pPr>
      <w:r>
        <w:t>La frecuencia semanal se alinea mejor con el horizonte de inversión del backtest y reduce el ruido propio de la frecuencia diaria.</w:t>
      </w:r>
    </w:p>
    <w:p>
      <w:pPr>
        <w:pStyle w:val="Listaconvietas"/>
      </w:pPr>
      <w:r>
        <w:t>El modelo ARIMA semanal muestra la mejor precisión direccional medida por el kappa de Cohen en el mayor número de ETFs, lo que lo convierte en el estimador más informativo de rentabilidades esperadas para el optimizador.</w:t>
      </w:r>
    </w:p>
    <w:p>
      <w:pPr>
        <w:pStyle w:val="Listaconvietas"/>
      </w:pPr>
      <w:r>
        <w:t>La componente MA del ARIMA semanal captura información que los modelos de machine learning no pueden incorporar con los inputs disponibles.</w:t>
      </w:r>
    </w:p>
    <w:p>
      <w:pPr>
        <w:pStyle w:val="Listaconvietas"/>
      </w:pPr>
      <w:r>
        <w:t>Los resultados son robustos y se obtienen con el mismo corte temporal que el backtest, garantizando coherencia metodológica.</w:t>
      </w:r>
    </w:p>
    <w:p>
      <w:pPr>
        <w:pStyle w:val="Ttulo2"/>
      </w:pPr>
      <w:r>
        <w:t>Optimización de carteras mediante Markowitz</w:t>
      </w:r>
    </w:p>
    <w:p>
      <w:pPr>
        <w:pStyle w:val="Ttulo3"/>
      </w:pPr>
      <w:r>
        <w:t>Objetivo del análisis</w:t>
      </w:r>
    </w:p>
    <w:p>
      <w:pPr>
        <w:pStyle w:val="Textoindependiente"/>
      </w:pPr>
      <w:r>
        <w:t>Hasta este punto del trabajo, los modelos se han evaluado por su capacidad para reducir el error de predicción. Pero un modelo puede predecir bien y aun así no ayudar a tomar mejores decisiones de inversión. Para cerrar este ciclo, el trabajo aplica las predicciones ARIMA semanales dentro de un optimizador de carteras basado en el modelo de Markowitz, y compara los resultados con dos estrategias alternativas más simples.</w:t>
      </w:r>
    </w:p>
    <w:p>
      <w:pPr>
        <w:pStyle w:val="Textoindependiente"/>
      </w:pPr>
      <w:r>
        <w:t>La pregunta concreta que se busca responder es: dado un mismo método de optimización y las mismas restricciones de inversión, ¿una cartera que usa predicciones ARIMA como estimador de rentabilidades esperadas obtiene mejores resultados económicos que una cartera que usa la media histórica o el último valor conocido?</w:t>
      </w:r>
    </w:p>
    <w:p>
      <w:pPr>
        <w:pStyle w:val="Ttulo3"/>
      </w:pPr>
      <w:r>
        <w:t>Justificación del uso de Markowitz</w:t>
      </w:r>
    </w:p>
    <w:p>
      <w:pPr>
        <w:pStyle w:val="Textoindependiente"/>
      </w:pPr>
      <w:r>
        <w:t>El modelo de Markowitz construye carteras maximizando la utilidad cuadrática del inversor, que combina rentabilidad esperada y varianza:</w:t>
      </w:r>
    </w:p>
    <w:p>
      <w:pPr>
        <w:pStyle w:val="Textoindependiente"/>
        <w:jc w:val="center"/>
      </w:pPr>
      <w:r>
        <w:t>max_w  w^T * mu  -  (lambda/2) * w^T * Sigma * w</w:t>
      </w:r>
    </w:p>
    <w:p>
      <w:pPr>
        <w:pStyle w:val="Textoindependiente"/>
      </w:pPr>
      <w:r>
        <w:t>donde w es el vector de pesos, mu es el vector de rentabilidades esperadas, Sigma es la matriz de covarianzas y lambda es el parámetro de aversión al riesgo (fijado en 10 en este trabajo). Se usa el estimador de Ledoit-Wolf para la matriz de covarianzas, que es más estable que la covarianza muestral cuando el número de activos es elevado en relación con el número de observaciones [CITAR: Ledoit y Wolf, 2004].</w:t>
      </w:r>
    </w:p>
    <w:p>
      <w:pPr>
        <w:pStyle w:val="Textoindependiente"/>
      </w:pPr>
      <w:r>
        <w:t>El modelo de Markowitz es un buen marco de comparación porque hace explícita la dependencia del resultado en la estimación de mu: si se cambia ese estimador manteniendo todo lo demás igual, cualquier diferencia en los resultados del backtest se puede atribuir directamente a la calidad de la predicción.</w:t>
      </w:r>
    </w:p>
    <w:p>
      <w:pPr>
        <w:pStyle w:val="Ttulo3"/>
      </w:pPr>
      <w:r>
        <w:t>Estrategias comparadas</w:t>
      </w:r>
    </w:p>
    <w:p>
      <w:pPr>
        <w:pStyle w:val="Textoindependiente"/>
      </w:pPr>
      <w:r>
        <w:t>Las tres estrategias comparten el mismo universo de 58 ETFs, el mismo periodo de backtest, la misma función objetivo y las mismas restricciones. La única diferencia entre ellas es la forma de estimar mu, el vector de rentabilidades esperadas:</w:t>
      </w:r>
    </w:p>
    <w:p>
      <w:pPr>
        <w:pStyle w:val="Listaconvietas"/>
      </w:pPr>
      <w:r>
        <w:t>Estrategia 1 — Markowitz con media histórica (BT_001): utiliza como mu la media de todos los retornos semanales conocidos hasta la semana de decisión. Es el enfoque más tradicional y sirve de referencia principal.</w:t>
      </w:r>
    </w:p>
    <w:p>
      <w:pPr>
        <w:pStyle w:val="Listaconvietas"/>
      </w:pPr>
      <w:r>
        <w:t>Estrategia 2 — Markowitz con último valor observado (BT_002): utiliza como mu el retorno semanal de la semana inmediatamente anterior. Es un modelo muy simple que apuesta por persistencia: lo que pasó la semana pasada pasará la próxima.</w:t>
      </w:r>
    </w:p>
    <w:p>
      <w:pPr>
        <w:pStyle w:val="Listaconvietas"/>
      </w:pPr>
      <w:r>
        <w:t>Estrategia 3 — Markowitz con predicciones ARIMA (BT_003): utiliza como mu la predicción walk-forward del modelo ARIMA semanal para la semana siguiente. Es la estrategia central del trabajo.</w:t>
      </w:r>
    </w:p>
    <w:p>
      <w:pPr>
        <w:pStyle w:val="Ttulo3"/>
      </w:pPr>
      <w:r>
        <w:t>Periodo de entrenamiento y periodo de prueba</w:t>
      </w:r>
    </w:p>
    <w:p>
      <w:pPr>
        <w:pStyle w:val="Textoindependiente"/>
      </w:pPr>
      <w:r>
        <w:t>El periodo de entrenamiento inicial comprende desde 2021-W01 hasta 2024-W29, exactamente el mismo bloque utilizado para estimar los modelos ARIMA y ML. El backtest se desarrolla desde 2024-W30 hasta 2026-W05, con un total de 79 semanas de inversión.</w:t>
      </w:r>
    </w:p>
    <w:p>
      <w:pPr>
        <w:pStyle w:val="Textoindependiente"/>
      </w:pPr>
      <w:r>
        <w:t>Esta coincidencia con el corte del modelo predictivo no es casual: garantiza que las predicciones ARIMA introducidas en el optimizador corresponden exactamente al periodo de test del modelo, es decir, son predicciones genuinamente fuera de muestra. No se filtra ninguna información futura.</w:t>
      </w:r>
    </w:p>
    <w:p>
      <w:pPr>
        <w:pStyle w:val="Ttulo3"/>
      </w:pPr>
      <w:r>
        <w:t>Evitar el uso de información futura</w:t>
      </w:r>
    </w:p>
    <w:p>
      <w:pPr>
        <w:pStyle w:val="Textoindependiente"/>
      </w:pPr>
      <w:r>
        <w:t>En cada semana t del periodo de backtest, la cartera se construye utilizando únicamente información disponible hasta la semana t-1:</w:t>
      </w:r>
    </w:p>
    <w:p>
      <w:pPr>
        <w:pStyle w:val="Listaconvietas"/>
      </w:pPr>
      <w:r>
        <w:t>La media histórica se calcula con retornos observados hasta la semana t-1.</w:t>
      </w:r>
    </w:p>
    <w:p>
      <w:pPr>
        <w:pStyle w:val="Listaconvietas"/>
      </w:pPr>
      <w:r>
        <w:t>El último valor observado es el retorno de la semana t-1.</w:t>
      </w:r>
    </w:p>
    <w:p>
      <w:pPr>
        <w:pStyle w:val="Listaconvietas"/>
      </w:pPr>
      <w:r>
        <w:t>La predicción ARIMA es la estimación del retorno de la semana t generada en t-1.</w:t>
      </w:r>
    </w:p>
    <w:p>
      <w:pPr>
        <w:pStyle w:val="Listaconvietas"/>
      </w:pPr>
      <w:r>
        <w:t>La matriz de covarianzas se estima con todos los retornos históricos hasta t-1.</w:t>
      </w:r>
    </w:p>
    <w:p>
      <w:pPr>
        <w:pStyle w:val="Textoindependiente"/>
      </w:pPr>
      <w:r>
        <w:t>Los retornos reales de la semana t se usan únicamente para calcular la rentabilidad obtenida por la cartera, no para construirla. Esta disciplina garantiza que el backtest sea realista y reproducible.</w:t>
      </w:r>
    </w:p>
    <w:p>
      <w:pPr>
        <w:pStyle w:val="Ttulo3"/>
      </w:pPr>
      <w:r>
        <w:t>Restricciones de la cartera</w:t>
      </w:r>
    </w:p>
    <w:p>
      <w:pPr>
        <w:pStyle w:val="Textoindependiente"/>
      </w:pPr>
      <w:r>
        <w:t>Se imponen tres restricciones básicas en la optimización:</w:t>
      </w:r>
    </w:p>
    <w:p>
      <w:pPr>
        <w:pStyle w:val="Listaconvietas"/>
      </w:pPr>
      <w:r>
        <w:t>Los pesos deben sumar exactamente 1 (se invierte el 100% del capital disponible).</w:t>
      </w:r>
    </w:p>
    <w:p>
      <w:pPr>
        <w:pStyle w:val="Listaconvietas"/>
      </w:pPr>
      <w:r>
        <w:t>No se permiten posiciones cortas: cada peso debe ser mayor o igual a cero.</w:t>
      </w:r>
    </w:p>
    <w:p>
      <w:pPr>
        <w:pStyle w:val="Listaconvietas"/>
      </w:pPr>
      <w:r>
        <w:t>Cada peso está acotado superiormente a 1 (peso máximo del 100% en un solo activo).</w:t>
      </w:r>
    </w:p>
    <w:p>
      <w:pPr>
        <w:pStyle w:val="Textoindependiente"/>
      </w:pPr>
      <w:r>
        <w:t>Estas restricciones producen carteras largas y completamente invertidas, lo que las hace realistas para un inversor estándar que no opera con apalancamiento ni ventas en corto. El capital inicial de referencia se fija en 100 para facilitar la interpretación de los resultados en términos porcentuales.</w:t>
      </w:r>
    </w:p>
    <w:p>
      <w:pPr>
        <w:pStyle w:val="Ttulo3"/>
      </w:pPr>
      <w:r>
        <w:t>Métricas de comparación del backtest</w:t>
      </w:r>
    </w:p>
    <w:p>
      <w:pPr>
        <w:pStyle w:val="Textoindependiente"/>
      </w:pPr>
      <w:r>
        <w:t>Al final del backtest, cada estrategia se evalúa con las siguientes métricas:</w:t>
      </w:r>
    </w:p>
    <w:p>
      <w:pPr>
        <w:pStyle w:val="Listaconvietas"/>
      </w:pPr>
      <w:r>
        <w:t>Capital final: valor de la cartera al final del periodo de backtest, partiendo de un capital inicial de 100.</w:t>
      </w:r>
    </w:p>
    <w:p>
      <w:pPr>
        <w:pStyle w:val="Listaconvietas"/>
      </w:pPr>
      <w:r>
        <w:t>Rentabilidad acumulada: (Capital final - 100) / 100, expresada en porcentaje.</w:t>
      </w:r>
    </w:p>
    <w:p>
      <w:pPr>
        <w:pStyle w:val="Listaconvietas"/>
      </w:pPr>
      <w:r>
        <w:t>Volatilidad: desviación típica de los retornos semanales, anualizada multiplicando por la raíz de 52. Mide la estabilidad de la cartera.</w:t>
      </w:r>
    </w:p>
    <w:p>
      <w:pPr>
        <w:pStyle w:val="Listaconvietas"/>
      </w:pPr>
      <w:r>
        <w:t>Ratio de Sharpe: rentabilidad anualizada dividida por la volatilidad anualizada. Mide cuánta rentabilidad se obtiene por unidad de riesgo asumido. Cuanto mayor, mejor.</w:t>
      </w:r>
    </w:p>
    <w:p>
      <w:pPr>
        <w:pStyle w:val="Listaconvietas"/>
      </w:pPr>
      <w:r>
        <w:t>Máximo drawdown: la mayor caída desde un máximo previo hasta el siguiente mínimo. Representa la peor pérdida acumulada que habría sufrido el inversor durante el backtest.</w:t>
      </w:r>
    </w:p>
    <w:p>
      <w:pPr>
        <w:pStyle w:val="Listaconvietas"/>
      </w:pPr>
      <w:r>
        <w:t>Semanas positivas: número de semanas en las que la cartera obtuvo un retorno positivo.</w:t>
      </w:r>
    </w:p>
    <w:p>
      <w:pPr>
        <w:pStyle w:val="Ttulo3"/>
      </w:pPr>
      <w:r>
        <w:t>Organización de los resultados</w:t>
      </w:r>
    </w:p>
    <w:p>
      <w:pPr>
        <w:pStyle w:val="Textoindependiente"/>
      </w:pPr>
      <w:r>
        <w:t>Los resultados del backtest se organizan en un archivo Excel (resultados_markowitz.xlsx) con tres hojas:</w:t>
      </w:r>
    </w:p>
    <w:p>
      <w:pPr>
        <w:pStyle w:val="Textoindependiente"/>
      </w:pPr>
      <w:r>
        <w:t>Hoja resumen_backtest: contiene una fila por estrategia con todas las métricas de comparación (capital final, rentabilidad acumulada, volatilidad, Sharpe, drawdown y semanas positivas). Sirve como vista de conjunto para comparar las tres estrategias.</w:t>
      </w:r>
    </w:p>
    <w:p>
      <w:pPr>
        <w:pStyle w:val="Textoindependiente"/>
      </w:pPr>
      <w:r>
        <w:t>Hoja detalle_semanal: contiene una fila por semana y por estrategia (237 filas en total: 79 semanas x 3 estrategias). Incluye la fecha de decisión, la fecha de inversión, el capital al inicio y al final de la semana, el retorno obtenido, el drawdown acumulado, y para cada ETF: el peso asignado (ETF_peso), la rentabilidad esperada utilizada como input (ETF_rentexp) y la rentabilidad real observada (ETF_real). Esta hoja permite reproducir semana a semana las decisiones de cada estrategia y analizar en qué momentos cada una tuvo mejor o peor comportamiento.</w:t>
      </w:r>
    </w:p>
    <w:p>
      <w:pPr>
        <w:pStyle w:val="Textoindependiente"/>
      </w:pPr>
      <w:r>
        <w:t>Hoja configuracion: documenta los parámetros del experimento (capital inicial, periodo de train y test, lambda de aversión al riesgo, restricciones). Permite reproducir el experimento exactamente en el futuro o modificar parámetros de forma controlada.</w:t>
      </w:r>
    </w:p>
    <w:p>
      <w:r>
        <w:br w:type="page"/>
      </w:r>
    </w:p>
    <w:p>
      <w:pPr>
        <w:pStyle w:val="Ttulo1"/>
      </w:pPr>
      <w:r>
        <w:t>RESULTADOS</w:t>
      </w:r>
    </w:p>
    <w:p>
      <w:pPr>
        <w:pStyle w:val="Ttulo2"/>
      </w:pPr>
      <w:r>
        <w:t>Resultados del análisis descriptivo</w:t>
      </w:r>
    </w:p>
    <w:p>
      <w:pPr>
        <w:pStyle w:val="Textoindependiente"/>
      </w:pPr>
      <w:r>
        <w:t>El análisis descriptivo de los retornos logarítmicos diarios confirma el comportamiento esperado para activos financieros. La media diaria es muy cercana a cero para todos los ETFs, con la gran mayoría de valores en el rango ±0,0005. La desviación típica varía significativamente entre grupos: los ETFs de renta fija de corto plazo tienen volatilidades inferiores al 0,2% diario, mientras que los de materias primas (SLV: 2,1%, USO: 2,1%) o mercados emergentes (EWZ: 1,8%) presentan valores entre 8 y 12 veces mayores.</w:t>
      </w:r>
    </w:p>
    <w:p>
      <w:pPr>
        <w:pStyle w:val="Textoindependiente"/>
      </w:pPr>
      <w:r>
        <w:t>Los histogramas y boxplots confirman la presencia de colas pesadas en todos los activos, con mayor magnitud en los activos más volátiles. La distribución es aproximadamente simétrica, sin sesgos extremos, lo que es coherente con el uso de retornos logarítmicos.</w:t>
      </w:r>
    </w:p>
    <w:p>
      <w:pPr>
        <w:pStyle w:val="Textoindependiente"/>
      </w:pPr>
      <w:r>
        <w:t>La matriz de correlaciones muestra que los ETFs de renta variable estadounidense están muy correlacionados entre sí (correlaciones próximas a 0,99 en los más similares) y tienen correlaciones bajas o negativas con los ETFs de renta fija de corto plazo. Esta estructura de correlación es la base de la diversificación que el modelo de Markowitz intentará aprovechar.</w:t>
      </w:r>
    </w:p>
    <w:p>
      <w:pPr>
        <w:pStyle w:val="Textoindependiente"/>
      </w:pPr>
      <w:r>
        <w:rPr>
          <w:b/>
          <w:color w:val="C00000"/>
        </w:rPr>
        <w:t>[TODO: insertar tabla de estadística descriptiva por grupo — Tabla 5-1. Fuente: elaboración propia]</w:t>
      </w:r>
    </w:p>
    <w:p>
      <w:pPr>
        <w:pStyle w:val="Textoindependiente"/>
      </w:pPr>
      <w:r>
        <w:rPr>
          <w:b/>
          <w:color w:val="C00000"/>
        </w:rPr>
        <w:t>[TODO: insertar figura de boxplots comparativos por grupo — Figura 5-1. Fuente: elaboración propia]</w:t>
      </w:r>
    </w:p>
    <w:p>
      <w:pPr>
        <w:pStyle w:val="Textoindependiente"/>
      </w:pPr>
      <w:r>
        <w:rPr>
          <w:b/>
          <w:color w:val="C00000"/>
        </w:rPr>
        <w:t>[TODO: insertar figura de matriz de correlaciones — Figura 5-2. Fuente: elaboración propia]</w:t>
      </w:r>
    </w:p>
    <w:p>
      <w:pPr>
        <w:pStyle w:val="Ttulo2"/>
      </w:pPr>
      <w:r>
        <w:t>Resultados de series temporales</w:t>
      </w:r>
    </w:p>
    <w:p>
      <w:pPr>
        <w:pStyle w:val="Ttulo3"/>
      </w:pPr>
      <w:r>
        <w:t>Selección del modelo ARIMA por ETF</w:t>
      </w:r>
    </w:p>
    <w:p>
      <w:pPr>
        <w:pStyle w:val="Textoindependiente"/>
      </w:pPr>
      <w:r>
        <w:t>La búsqueda en rejilla sobre los parámetros ARIMA(p, 0, q) muestra que la mayoría de ETFs se ajustan con modelos de orden bajo. Los modelos más frecuentes son ARIMA(1, 0, 0) y ARIMA(0, 0, 1). Esto confirma que la dinámica de autocorrelación de los retornos semanales es débil y que modelos complejos no aportarían mejora.</w:t>
      </w:r>
    </w:p>
    <w:p>
      <w:pPr>
        <w:pStyle w:val="Textoindependiente"/>
      </w:pPr>
      <w:r>
        <w:t>Ejemplos representativos: AGG se ajusta con ARIMA(2, 0, 0) con AIC = -2.513 y p-valor de Ljung-Box = 0,79; BND con ARIMA(2, 0, 0) con AIC = -2.516 y p-valor = 0,80; DIA con ARIMA(0, 0, 1) con AIC = -2.040 y p-valor = 0,64. En todos los casos el p-valor de Ljung-Box es claramente superior a 0,05, lo que confirma que los residuos del modelo son ruido blanco y que el modelo ha capturado toda la dependencia temporal relevante.</w:t>
      </w:r>
    </w:p>
    <w:p>
      <w:pPr>
        <w:pStyle w:val="Textoindependiente"/>
      </w:pPr>
      <w:r>
        <w:rPr>
          <w:b/>
          <w:color w:val="C00000"/>
        </w:rPr>
        <w:t>[TODO: insertar tabla con los modelos ARIMA seleccionados por ETF (p, q, AIC, BIC, p-valor Ljung-Box) — Tabla 5-2. Fuente: elaboración propia]</w:t>
      </w:r>
    </w:p>
    <w:p>
      <w:pPr>
        <w:pStyle w:val="Ttulo3"/>
      </w:pPr>
      <w:r>
        <w:t>Métricas de predicción ARIMA semanal</w:t>
      </w:r>
    </w:p>
    <w:p>
      <w:pPr>
        <w:pStyle w:val="Textoindependiente"/>
      </w:pPr>
      <w:r>
        <w:t>La Tabla 5-3 recoge las métricas de predicción del modelo ARIMA para cada ETF en el periodo de test semanal (2024-W30 a 2026-W06, 81 semanas). Los resultados muestran que:</w:t>
      </w:r>
    </w:p>
    <w:p>
      <w:pPr>
        <w:pStyle w:val="Listaconvietas"/>
      </w:pPr>
      <w:r>
        <w:t>El ARIMA semanal supera al baseline naive (último valor) en el 100% de los ETFs (58 de 58).</w:t>
      </w:r>
    </w:p>
    <w:p>
      <w:pPr>
        <w:pStyle w:val="Listaconvietas"/>
      </w:pPr>
      <w:r>
        <w:t>El ARIMA semanal supera al benchmark de ceros en 30 de los 58 ETFs (52%).</w:t>
      </w:r>
    </w:p>
    <w:p>
      <w:pPr>
        <w:pStyle w:val="Listaconvietas"/>
      </w:pPr>
      <w:r>
        <w:t>El RMSE medio global es de 0,00492, prácticamente idéntico al RMSE del benchmark de ceros (0,00491).</w:t>
      </w:r>
    </w:p>
    <w:p>
      <w:pPr>
        <w:pStyle w:val="Listaconvietas"/>
      </w:pPr>
      <w:r>
        <w:t>El RMSE medio del baseline naive es de 0,00714, un 45% peor que el ARIMA.</w:t>
      </w:r>
    </w:p>
    <w:p>
      <w:pPr>
        <w:pStyle w:val="Textoindependiente"/>
      </w:pPr>
      <w:r>
        <w:t>Los ETFs más predecibles son los de renta fija, con RMSE muy inferiores a los demás: TIP (RMSE = 0,00126), HYG (0,00133), JNK (0,00140), BND (0,00153), AGG (0,00155). Los más difíciles de predecir son las materias primas: SLV (0,01289) y USO (0,01022).</w:t>
      </w:r>
    </w:p>
    <w:p>
      <w:pPr>
        <w:pStyle w:val="Textoindependiente"/>
      </w:pPr>
      <w:r>
        <w:t>La Tabla 5-3 presenta un extracto de los resultados por ETF. La tabla completa con todos los ETFs se incluye en el Apéndice B.</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ETF</w:t>
            </w:r>
          </w:p>
        </w:tc>
        <w:tc>
          <w:tcPr>
            <w:tcW w:type="dxa" w:w="1560"/>
          </w:tcPr>
          <w:p>
            <w:r>
              <w:rPr>
                <w:b/>
              </w:rPr>
              <w:t>Modelo</w:t>
            </w:r>
          </w:p>
        </w:tc>
        <w:tc>
          <w:tcPr>
            <w:tcW w:type="dxa" w:w="1560"/>
          </w:tcPr>
          <w:p>
            <w:r>
              <w:rPr>
                <w:b/>
              </w:rPr>
              <w:t>RMSE</w:t>
            </w:r>
          </w:p>
        </w:tc>
        <w:tc>
          <w:tcPr>
            <w:tcW w:type="dxa" w:w="1560"/>
          </w:tcPr>
          <w:p>
            <w:r>
              <w:rPr>
                <w:b/>
              </w:rPr>
              <w:t>RMSE baseline</w:t>
            </w:r>
          </w:p>
        </w:tc>
        <w:tc>
          <w:tcPr>
            <w:tcW w:type="dxa" w:w="1560"/>
          </w:tcPr>
          <w:p>
            <w:r>
              <w:rPr>
                <w:b/>
              </w:rPr>
              <w:t>RMSE zeros</w:t>
            </w:r>
          </w:p>
        </w:tc>
        <w:tc>
          <w:tcPr>
            <w:tcW w:type="dxa" w:w="1560"/>
          </w:tcPr>
          <w:p>
            <w:r>
              <w:rPr>
                <w:b/>
              </w:rPr>
              <w:t>MAE</w:t>
            </w:r>
          </w:p>
        </w:tc>
      </w:tr>
      <w:tr>
        <w:tc>
          <w:tcPr>
            <w:tcW w:type="dxa" w:w="1560"/>
          </w:tcPr>
          <w:p>
            <w:r>
              <w:t>TIP</w:t>
            </w:r>
          </w:p>
        </w:tc>
        <w:tc>
          <w:tcPr>
            <w:tcW w:type="dxa" w:w="1560"/>
          </w:tcPr>
          <w:p>
            <w:r>
              <w:t>ARIMA(1,0,0)</w:t>
            </w:r>
          </w:p>
        </w:tc>
        <w:tc>
          <w:tcPr>
            <w:tcW w:type="dxa" w:w="1560"/>
          </w:tcPr>
          <w:p>
            <w:r>
              <w:t>0.00126</w:t>
            </w:r>
          </w:p>
        </w:tc>
        <w:tc>
          <w:tcPr>
            <w:tcW w:type="dxa" w:w="1560"/>
          </w:tcPr>
          <w:p>
            <w:r>
              <w:t>0.00185</w:t>
            </w:r>
          </w:p>
        </w:tc>
        <w:tc>
          <w:tcPr>
            <w:tcW w:type="dxa" w:w="1560"/>
          </w:tcPr>
          <w:p>
            <w:r>
              <w:t>0.00125</w:t>
            </w:r>
          </w:p>
        </w:tc>
        <w:tc>
          <w:tcPr>
            <w:tcW w:type="dxa" w:w="1560"/>
          </w:tcPr>
          <w:p>
            <w:r>
              <w:t>0.00100</w:t>
            </w:r>
          </w:p>
        </w:tc>
      </w:tr>
      <w:tr>
        <w:tc>
          <w:tcPr>
            <w:tcW w:type="dxa" w:w="1560"/>
          </w:tcPr>
          <w:p>
            <w:r>
              <w:t>HYG</w:t>
            </w:r>
          </w:p>
        </w:tc>
        <w:tc>
          <w:tcPr>
            <w:tcW w:type="dxa" w:w="1560"/>
          </w:tcPr>
          <w:p>
            <w:r>
              <w:t>ARIMA(0,0,1)</w:t>
            </w:r>
          </w:p>
        </w:tc>
        <w:tc>
          <w:tcPr>
            <w:tcW w:type="dxa" w:w="1560"/>
          </w:tcPr>
          <w:p>
            <w:r>
              <w:t>0.00133</w:t>
            </w:r>
          </w:p>
        </w:tc>
        <w:tc>
          <w:tcPr>
            <w:tcW w:type="dxa" w:w="1560"/>
          </w:tcPr>
          <w:p>
            <w:r>
              <w:t>0.00173</w:t>
            </w:r>
          </w:p>
        </w:tc>
        <w:tc>
          <w:tcPr>
            <w:tcW w:type="dxa" w:w="1560"/>
          </w:tcPr>
          <w:p>
            <w:r>
              <w:t>0.00131</w:t>
            </w:r>
          </w:p>
        </w:tc>
        <w:tc>
          <w:tcPr>
            <w:tcW w:type="dxa" w:w="1560"/>
          </w:tcPr>
          <w:p>
            <w:r>
              <w:t>0.00102</w:t>
            </w:r>
          </w:p>
        </w:tc>
      </w:tr>
      <w:tr>
        <w:tc>
          <w:tcPr>
            <w:tcW w:type="dxa" w:w="1560"/>
          </w:tcPr>
          <w:p>
            <w:r>
              <w:t>JNK</w:t>
            </w:r>
          </w:p>
        </w:tc>
        <w:tc>
          <w:tcPr>
            <w:tcW w:type="dxa" w:w="1560"/>
          </w:tcPr>
          <w:p>
            <w:r>
              <w:t>ARIMA(0,0,1)</w:t>
            </w:r>
          </w:p>
        </w:tc>
        <w:tc>
          <w:tcPr>
            <w:tcW w:type="dxa" w:w="1560"/>
          </w:tcPr>
          <w:p>
            <w:r>
              <w:t>0.00140</w:t>
            </w:r>
          </w:p>
        </w:tc>
        <w:tc>
          <w:tcPr>
            <w:tcW w:type="dxa" w:w="1560"/>
          </w:tcPr>
          <w:p>
            <w:r>
              <w:t>0.00184</w:t>
            </w:r>
          </w:p>
        </w:tc>
        <w:tc>
          <w:tcPr>
            <w:tcW w:type="dxa" w:w="1560"/>
          </w:tcPr>
          <w:p>
            <w:r>
              <w:t>0.00139</w:t>
            </w:r>
          </w:p>
        </w:tc>
        <w:tc>
          <w:tcPr>
            <w:tcW w:type="dxa" w:w="1560"/>
          </w:tcPr>
          <w:p>
            <w:r>
              <w:t>0.00108</w:t>
            </w:r>
          </w:p>
        </w:tc>
      </w:tr>
      <w:tr>
        <w:tc>
          <w:tcPr>
            <w:tcW w:type="dxa" w:w="1560"/>
          </w:tcPr>
          <w:p>
            <w:r>
              <w:t>BND</w:t>
            </w:r>
          </w:p>
        </w:tc>
        <w:tc>
          <w:tcPr>
            <w:tcW w:type="dxa" w:w="1560"/>
          </w:tcPr>
          <w:p>
            <w:r>
              <w:t>ARIMA(2,0,0)</w:t>
            </w:r>
          </w:p>
        </w:tc>
        <w:tc>
          <w:tcPr>
            <w:tcW w:type="dxa" w:w="1560"/>
          </w:tcPr>
          <w:p>
            <w:r>
              <w:t>0.00153</w:t>
            </w:r>
          </w:p>
        </w:tc>
        <w:tc>
          <w:tcPr>
            <w:tcW w:type="dxa" w:w="1560"/>
          </w:tcPr>
          <w:p>
            <w:r>
              <w:t>0.00220</w:t>
            </w:r>
          </w:p>
        </w:tc>
        <w:tc>
          <w:tcPr>
            <w:tcW w:type="dxa" w:w="1560"/>
          </w:tcPr>
          <w:p>
            <w:r>
              <w:t>0.00150</w:t>
            </w:r>
          </w:p>
        </w:tc>
        <w:tc>
          <w:tcPr>
            <w:tcW w:type="dxa" w:w="1560"/>
          </w:tcPr>
          <w:p>
            <w:r>
              <w:t>0.00117</w:t>
            </w:r>
          </w:p>
        </w:tc>
      </w:tr>
      <w:tr>
        <w:tc>
          <w:tcPr>
            <w:tcW w:type="dxa" w:w="1560"/>
          </w:tcPr>
          <w:p>
            <w:r>
              <w:t>AGG</w:t>
            </w:r>
          </w:p>
        </w:tc>
        <w:tc>
          <w:tcPr>
            <w:tcW w:type="dxa" w:w="1560"/>
          </w:tcPr>
          <w:p>
            <w:r>
              <w:t>ARIMA(2,0,0)</w:t>
            </w:r>
          </w:p>
        </w:tc>
        <w:tc>
          <w:tcPr>
            <w:tcW w:type="dxa" w:w="1560"/>
          </w:tcPr>
          <w:p>
            <w:r>
              <w:t>0.00155</w:t>
            </w:r>
          </w:p>
        </w:tc>
        <w:tc>
          <w:tcPr>
            <w:tcW w:type="dxa" w:w="1560"/>
          </w:tcPr>
          <w:p>
            <w:r>
              <w:t>0.00225</w:t>
            </w:r>
          </w:p>
        </w:tc>
        <w:tc>
          <w:tcPr>
            <w:tcW w:type="dxa" w:w="1560"/>
          </w:tcPr>
          <w:p>
            <w:r>
              <w:t>0.00153</w:t>
            </w:r>
          </w:p>
        </w:tc>
        <w:tc>
          <w:tcPr>
            <w:tcW w:type="dxa" w:w="1560"/>
          </w:tcPr>
          <w:p>
            <w:r>
              <w:t>0.00115</w:t>
            </w:r>
          </w:p>
        </w:tc>
      </w:tr>
      <w:tr>
        <w:tc>
          <w:tcPr>
            <w:tcW w:type="dxa" w:w="1560"/>
          </w:tcPr>
          <w:p>
            <w:r>
              <w:t>SPY</w:t>
            </w:r>
          </w:p>
        </w:tc>
        <w:tc>
          <w:tcPr>
            <w:tcW w:type="dxa" w:w="1560"/>
          </w:tcPr>
          <w:p>
            <w:r>
              <w:t>ARIMA(1,0,0)</w:t>
            </w:r>
          </w:p>
        </w:tc>
        <w:tc>
          <w:tcPr>
            <w:tcW w:type="dxa" w:w="1560"/>
          </w:tcPr>
          <w:p>
            <w:r>
              <w:t>0.00460</w:t>
            </w:r>
          </w:p>
        </w:tc>
        <w:tc>
          <w:tcPr>
            <w:tcW w:type="dxa" w:w="1560"/>
          </w:tcPr>
          <w:p>
            <w:r>
              <w:t>0.00724</w:t>
            </w:r>
          </w:p>
        </w:tc>
        <w:tc>
          <w:tcPr>
            <w:tcW w:type="dxa" w:w="1560"/>
          </w:tcPr>
          <w:p>
            <w:r>
              <w:t>0.00466</w:t>
            </w:r>
          </w:p>
        </w:tc>
        <w:tc>
          <w:tcPr>
            <w:tcW w:type="dxa" w:w="1560"/>
          </w:tcPr>
          <w:p>
            <w:r>
              <w:t>0.00373</w:t>
            </w:r>
          </w:p>
        </w:tc>
      </w:tr>
      <w:tr>
        <w:tc>
          <w:tcPr>
            <w:tcW w:type="dxa" w:w="1560"/>
          </w:tcPr>
          <w:p>
            <w:r>
              <w:t>QQQ</w:t>
            </w:r>
          </w:p>
        </w:tc>
        <w:tc>
          <w:tcPr>
            <w:tcW w:type="dxa" w:w="1560"/>
          </w:tcPr>
          <w:p>
            <w:r>
              <w:t>ARIMA(1,0,0)</w:t>
            </w:r>
          </w:p>
        </w:tc>
        <w:tc>
          <w:tcPr>
            <w:tcW w:type="dxa" w:w="1560"/>
          </w:tcPr>
          <w:p>
            <w:r>
              <w:t>0.00589</w:t>
            </w:r>
          </w:p>
        </w:tc>
        <w:tc>
          <w:tcPr>
            <w:tcW w:type="dxa" w:w="1560"/>
          </w:tcPr>
          <w:p>
            <w:r>
              <w:t>0.00915</w:t>
            </w:r>
          </w:p>
        </w:tc>
        <w:tc>
          <w:tcPr>
            <w:tcW w:type="dxa" w:w="1560"/>
          </w:tcPr>
          <w:p>
            <w:r>
              <w:t>0.00594</w:t>
            </w:r>
          </w:p>
        </w:tc>
        <w:tc>
          <w:tcPr>
            <w:tcW w:type="dxa" w:w="1560"/>
          </w:tcPr>
          <w:p>
            <w:r>
              <w:t>0.00445</w:t>
            </w:r>
          </w:p>
        </w:tc>
      </w:tr>
      <w:tr>
        <w:tc>
          <w:tcPr>
            <w:tcW w:type="dxa" w:w="1560"/>
          </w:tcPr>
          <w:p>
            <w:r>
              <w:t>SLV</w:t>
            </w:r>
          </w:p>
        </w:tc>
        <w:tc>
          <w:tcPr>
            <w:tcW w:type="dxa" w:w="1560"/>
          </w:tcPr>
          <w:p>
            <w:r>
              <w:t>ARIMA(2,0,0)</w:t>
            </w:r>
          </w:p>
        </w:tc>
        <w:tc>
          <w:tcPr>
            <w:tcW w:type="dxa" w:w="1560"/>
          </w:tcPr>
          <w:p>
            <w:r>
              <w:t>0.01289</w:t>
            </w:r>
          </w:p>
        </w:tc>
        <w:tc>
          <w:tcPr>
            <w:tcW w:type="dxa" w:w="1560"/>
          </w:tcPr>
          <w:p>
            <w:r>
              <w:t>0.01665</w:t>
            </w:r>
          </w:p>
        </w:tc>
        <w:tc>
          <w:tcPr>
            <w:tcW w:type="dxa" w:w="1560"/>
          </w:tcPr>
          <w:p>
            <w:r>
              <w:t>0.01256</w:t>
            </w:r>
          </w:p>
        </w:tc>
        <w:tc>
          <w:tcPr>
            <w:tcW w:type="dxa" w:w="1560"/>
          </w:tcPr>
          <w:p>
            <w:r>
              <w:t>0.00980</w:t>
            </w:r>
          </w:p>
        </w:tc>
      </w:tr>
      <w:tr>
        <w:tc>
          <w:tcPr>
            <w:tcW w:type="dxa" w:w="1560"/>
          </w:tcPr>
          <w:p>
            <w:r>
              <w:t>USO</w:t>
            </w:r>
          </w:p>
        </w:tc>
        <w:tc>
          <w:tcPr>
            <w:tcW w:type="dxa" w:w="1560"/>
          </w:tcPr>
          <w:p>
            <w:r>
              <w:t>ARIMA(2,0,2)</w:t>
            </w:r>
          </w:p>
        </w:tc>
        <w:tc>
          <w:tcPr>
            <w:tcW w:type="dxa" w:w="1560"/>
          </w:tcPr>
          <w:p>
            <w:r>
              <w:t>0.01022</w:t>
            </w:r>
          </w:p>
        </w:tc>
        <w:tc>
          <w:tcPr>
            <w:tcW w:type="dxa" w:w="1560"/>
          </w:tcPr>
          <w:p>
            <w:r>
              <w:t>0.01464</w:t>
            </w:r>
          </w:p>
        </w:tc>
        <w:tc>
          <w:tcPr>
            <w:tcW w:type="dxa" w:w="1560"/>
          </w:tcPr>
          <w:p>
            <w:r>
              <w:t>0.01046</w:t>
            </w:r>
          </w:p>
        </w:tc>
        <w:tc>
          <w:tcPr>
            <w:tcW w:type="dxa" w:w="1560"/>
          </w:tcPr>
          <w:p>
            <w:r>
              <w:t>0.00825</w:t>
            </w:r>
          </w:p>
        </w:tc>
      </w:tr>
      <w:tr>
        <w:tc>
          <w:tcPr>
            <w:tcW w:type="dxa" w:w="1560"/>
          </w:tcPr>
          <w:p>
            <w:r>
              <w:t>FXI</w:t>
            </w:r>
          </w:p>
        </w:tc>
        <w:tc>
          <w:tcPr>
            <w:tcW w:type="dxa" w:w="1560"/>
          </w:tcPr>
          <w:p>
            <w:r>
              <w:t>ARIMA(1,0,1)</w:t>
            </w:r>
          </w:p>
        </w:tc>
        <w:tc>
          <w:tcPr>
            <w:tcW w:type="dxa" w:w="1560"/>
          </w:tcPr>
          <w:p>
            <w:r>
              <w:t>0.00781</w:t>
            </w:r>
          </w:p>
        </w:tc>
        <w:tc>
          <w:tcPr>
            <w:tcW w:type="dxa" w:w="1560"/>
          </w:tcPr>
          <w:p>
            <w:r>
              <w:t>0.00999</w:t>
            </w:r>
          </w:p>
        </w:tc>
        <w:tc>
          <w:tcPr>
            <w:tcW w:type="dxa" w:w="1560"/>
          </w:tcPr>
          <w:p>
            <w:r>
              <w:t>0.00768</w:t>
            </w:r>
          </w:p>
        </w:tc>
        <w:tc>
          <w:tcPr>
            <w:tcW w:type="dxa" w:w="1560"/>
          </w:tcPr>
          <w:p>
            <w:r>
              <w:t>0.00601</w:t>
            </w:r>
          </w:p>
        </w:tc>
      </w:tr>
    </w:tbl>
    <w:p>
      <w:pPr>
        <w:pStyle w:val="Textoindependiente"/>
        <w:jc w:val="center"/>
      </w:pPr>
      <w:r>
        <w:t>Tabla 5-3. Extracto de resultados del modelo ARIMA semanal. Fuente: elaboración propia.</w:t>
      </w:r>
    </w:p>
    <w:p>
      <w:pPr>
        <w:pStyle w:val="Textoindependiente"/>
      </w:pPr>
      <w:r>
        <w:t>Este resultado indica que el ARIMA semanal añade valor claro sobre el baseline naive, pero la mejora sobre el benchmark de ceros es modesta. Sin embargo, esto no invalida el modelo para su uso en Markowitz: lo que importa en el optimizador no es si el modelo reduce el error absoluto de predicción, sino si orienta correctamente la asignación de pesos entre activos.</w:t>
      </w:r>
    </w:p>
    <w:p>
      <w:pPr>
        <w:pStyle w:val="Ttulo3"/>
      </w:pPr>
      <w:r>
        <w:t>Precisión direccional: kappa de Cohen</w:t>
      </w:r>
    </w:p>
    <w:p>
      <w:pPr>
        <w:pStyle w:val="Textoindependiente"/>
      </w:pPr>
      <w:r>
        <w:t>El análisis de precisión direccional mediante el kappa de Cohen confirma que el modelo ARIMA semanal acierta en la dirección del movimiento con más frecuencia de lo que se esperaría por azar en un número relevante de ETFs. Por ejemplo, DIA presenta un kappa de 0,23 con una tasa de acierto direccional del 60,5%, frente al 40,7% del baseline. Estos resultados son los que justifican el uso del modelo ARIMA en Markowitz.</w:t>
      </w:r>
    </w:p>
    <w:p>
      <w:pPr>
        <w:pStyle w:val="Textoindependiente"/>
      </w:pPr>
      <w:r>
        <w:rPr>
          <w:b/>
          <w:color w:val="C00000"/>
        </w:rPr>
        <w:t>[TODO: insertar figura con el ranking de kappa por ETF — Figura 5-3. Fuente: elaboración propia]</w:t>
      </w:r>
    </w:p>
    <w:p>
      <w:pPr>
        <w:pStyle w:val="Ttulo3"/>
      </w:pPr>
      <w:r>
        <w:t>Resultados ARIMA diario</w:t>
      </w:r>
    </w:p>
    <w:p>
      <w:pPr>
        <w:pStyle w:val="Textoindependiente"/>
      </w:pPr>
      <w:r>
        <w:t>Los resultados del modelo ARIMA en frecuencia diaria muestran un patrón similar pero con mayor dificultad predictiva. El RMSE medio es de 0,00926 frente a 0,00924 del benchmark de ceros. El modelo supera al baseline naive en los 56 ETFs analizados, pero solo supera al benchmark de ceros en 19 de ellos (34%). En frecuencia diaria el ruido es mayor y la eficiencia del mercado es más fuerte, lo que hace que predecir cero sea casi siempre la referencia más difícil de batir.</w:t>
      </w:r>
    </w:p>
    <w:p>
      <w:pPr>
        <w:pStyle w:val="Textoindependiente"/>
      </w:pPr>
      <w:r>
        <w:t>Dado que la capacidad predictiva real es menor en la frecuencia diaria, y que el horizonte semanal es más adecuado para el backtest de Markowitz, se prioriza el modelo semanal para la aplicación de carteras.</w:t>
      </w:r>
    </w:p>
    <w:p>
      <w:pPr>
        <w:pStyle w:val="Ttulo2"/>
      </w:pPr>
      <w:r>
        <w:t>Resultados de machine learning</w:t>
      </w:r>
    </w:p>
    <w:p>
      <w:pPr>
        <w:pStyle w:val="Ttulo3"/>
      </w:pPr>
      <w:r>
        <w:t>Comparación global de modelos semanales</w:t>
      </w:r>
    </w:p>
    <w:p>
      <w:pPr>
        <w:pStyle w:val="Textoindependiente"/>
      </w:pPr>
      <w:r>
        <w:t>Los resultados de los modelos de machine learning sobre los 58 ETFs en frecuencia semanal se resumen en la Tabla 5-4. El modelo ganador es Ridge con 0 lags, con un RMSE medio de 0,00490 y un MAE medio de 0,00365. La mejora sobre el baseline naive es del 31,67% en RMSE, coherente con los resultados del ARIMA semanal.</w:t>
      </w:r>
    </w:p>
    <w:tbl>
      <w:tblPr>
        <w:tblStyle w:val="Tablaconcuadrcula"/>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Modelo</w:t>
            </w:r>
          </w:p>
        </w:tc>
        <w:tc>
          <w:tcPr>
            <w:tcW w:type="dxa" w:w="1337"/>
          </w:tcPr>
          <w:p>
            <w:r>
              <w:rPr>
                <w:b/>
              </w:rPr>
              <w:t>Lags</w:t>
            </w:r>
          </w:p>
        </w:tc>
        <w:tc>
          <w:tcPr>
            <w:tcW w:type="dxa" w:w="1337"/>
          </w:tcPr>
          <w:p>
            <w:r>
              <w:rPr>
                <w:b/>
              </w:rPr>
              <w:t>RMSE medio</w:t>
            </w:r>
          </w:p>
        </w:tc>
        <w:tc>
          <w:tcPr>
            <w:tcW w:type="dxa" w:w="1337"/>
          </w:tcPr>
          <w:p>
            <w:r>
              <w:rPr>
                <w:b/>
              </w:rPr>
              <w:t>Mej. vs baseline (%)</w:t>
            </w:r>
          </w:p>
        </w:tc>
        <w:tc>
          <w:tcPr>
            <w:tcW w:type="dxa" w:w="1337"/>
          </w:tcPr>
          <w:p>
            <w:r>
              <w:rPr>
                <w:b/>
              </w:rPr>
              <w:t>Mej. vs zeros (%)</w:t>
            </w:r>
          </w:p>
        </w:tc>
        <w:tc>
          <w:tcPr>
            <w:tcW w:type="dxa" w:w="1337"/>
          </w:tcPr>
          <w:p>
            <w:r>
              <w:rPr>
                <w:b/>
              </w:rPr>
              <w:t>% bate baseline</w:t>
            </w:r>
          </w:p>
        </w:tc>
        <w:tc>
          <w:tcPr>
            <w:tcW w:type="dxa" w:w="1337"/>
          </w:tcPr>
          <w:p>
            <w:r>
              <w:rPr>
                <w:b/>
              </w:rPr>
              <w:t>% bate zeros</w:t>
            </w:r>
          </w:p>
        </w:tc>
      </w:tr>
      <w:tr>
        <w:tc>
          <w:tcPr>
            <w:tcW w:type="dxa" w:w="1337"/>
          </w:tcPr>
          <w:p>
            <w:r>
              <w:t>Ridge</w:t>
            </w:r>
          </w:p>
        </w:tc>
        <w:tc>
          <w:tcPr>
            <w:tcW w:type="dxa" w:w="1337"/>
          </w:tcPr>
          <w:p>
            <w:r>
              <w:t>0</w:t>
            </w:r>
          </w:p>
        </w:tc>
        <w:tc>
          <w:tcPr>
            <w:tcW w:type="dxa" w:w="1337"/>
          </w:tcPr>
          <w:p>
            <w:r>
              <w:t>0.00490</w:t>
            </w:r>
          </w:p>
        </w:tc>
        <w:tc>
          <w:tcPr>
            <w:tcW w:type="dxa" w:w="1337"/>
          </w:tcPr>
          <w:p>
            <w:r>
              <w:t>31.67%</w:t>
            </w:r>
          </w:p>
        </w:tc>
        <w:tc>
          <w:tcPr>
            <w:tcW w:type="dxa" w:w="1337"/>
          </w:tcPr>
          <w:p>
            <w:r>
              <w:t>0.66%</w:t>
            </w:r>
          </w:p>
        </w:tc>
        <w:tc>
          <w:tcPr>
            <w:tcW w:type="dxa" w:w="1337"/>
          </w:tcPr>
          <w:p>
            <w:r>
              <w:t>96.6%</w:t>
            </w:r>
          </w:p>
        </w:tc>
        <w:tc>
          <w:tcPr>
            <w:tcW w:type="dxa" w:w="1337"/>
          </w:tcPr>
          <w:p>
            <w:r>
              <w:t>56.9%</w:t>
            </w:r>
          </w:p>
        </w:tc>
      </w:tr>
      <w:tr>
        <w:tc>
          <w:tcPr>
            <w:tcW w:type="dxa" w:w="1337"/>
          </w:tcPr>
          <w:p>
            <w:r>
              <w:t>Ridge</w:t>
            </w:r>
          </w:p>
        </w:tc>
        <w:tc>
          <w:tcPr>
            <w:tcW w:type="dxa" w:w="1337"/>
          </w:tcPr>
          <w:p>
            <w:r>
              <w:t>2</w:t>
            </w:r>
          </w:p>
        </w:tc>
        <w:tc>
          <w:tcPr>
            <w:tcW w:type="dxa" w:w="1337"/>
          </w:tcPr>
          <w:p>
            <w:r>
              <w:t>0.00432</w:t>
            </w:r>
          </w:p>
        </w:tc>
        <w:tc>
          <w:tcPr>
            <w:tcW w:type="dxa" w:w="1337"/>
          </w:tcPr>
          <w:p>
            <w:r>
              <w:t>37.67%</w:t>
            </w:r>
          </w:p>
        </w:tc>
        <w:tc>
          <w:tcPr>
            <w:tcW w:type="dxa" w:w="1337"/>
          </w:tcPr>
          <w:p>
            <w:r>
              <w:t>2.12%</w:t>
            </w:r>
          </w:p>
        </w:tc>
        <w:tc>
          <w:tcPr>
            <w:tcW w:type="dxa" w:w="1337"/>
          </w:tcPr>
          <w:p>
            <w:r>
              <w:t>98.3%</w:t>
            </w:r>
          </w:p>
        </w:tc>
        <w:tc>
          <w:tcPr>
            <w:tcW w:type="dxa" w:w="1337"/>
          </w:tcPr>
          <w:p>
            <w:r>
              <w:t>51.7%</w:t>
            </w:r>
          </w:p>
        </w:tc>
      </w:tr>
      <w:tr>
        <w:tc>
          <w:tcPr>
            <w:tcW w:type="dxa" w:w="1337"/>
          </w:tcPr>
          <w:p>
            <w:r>
              <w:t>GBR</w:t>
            </w:r>
          </w:p>
        </w:tc>
        <w:tc>
          <w:tcPr>
            <w:tcW w:type="dxa" w:w="1337"/>
          </w:tcPr>
          <w:p>
            <w:r>
              <w:t>0</w:t>
            </w:r>
          </w:p>
        </w:tc>
        <w:tc>
          <w:tcPr>
            <w:tcW w:type="dxa" w:w="1337"/>
          </w:tcPr>
          <w:p>
            <w:r>
              <w:t>0.00494</w:t>
            </w:r>
          </w:p>
        </w:tc>
        <w:tc>
          <w:tcPr>
            <w:tcW w:type="dxa" w:w="1337"/>
          </w:tcPr>
          <w:p>
            <w:r>
              <w:t>28.76%</w:t>
            </w:r>
          </w:p>
        </w:tc>
        <w:tc>
          <w:tcPr>
            <w:tcW w:type="dxa" w:w="1337"/>
          </w:tcPr>
          <w:p>
            <w:r>
              <w:t>-9.05%</w:t>
            </w:r>
          </w:p>
        </w:tc>
        <w:tc>
          <w:tcPr>
            <w:tcW w:type="dxa" w:w="1337"/>
          </w:tcPr>
          <w:p>
            <w:r>
              <w:t>96.6%</w:t>
            </w:r>
          </w:p>
        </w:tc>
        <w:tc>
          <w:tcPr>
            <w:tcW w:type="dxa" w:w="1337"/>
          </w:tcPr>
          <w:p>
            <w:r>
              <w:t>34.5%</w:t>
            </w:r>
          </w:p>
        </w:tc>
      </w:tr>
      <w:tr>
        <w:tc>
          <w:tcPr>
            <w:tcW w:type="dxa" w:w="1337"/>
          </w:tcPr>
          <w:p>
            <w:r>
              <w:t>GBR</w:t>
            </w:r>
          </w:p>
        </w:tc>
        <w:tc>
          <w:tcPr>
            <w:tcW w:type="dxa" w:w="1337"/>
          </w:tcPr>
          <w:p>
            <w:r>
              <w:t>3</w:t>
            </w:r>
          </w:p>
        </w:tc>
        <w:tc>
          <w:tcPr>
            <w:tcW w:type="dxa" w:w="1337"/>
          </w:tcPr>
          <w:p>
            <w:r>
              <w:t>0.00422</w:t>
            </w:r>
          </w:p>
        </w:tc>
        <w:tc>
          <w:tcPr>
            <w:tcW w:type="dxa" w:w="1337"/>
          </w:tcPr>
          <w:p>
            <w:r>
              <w:t>39.07%</w:t>
            </w:r>
          </w:p>
        </w:tc>
        <w:tc>
          <w:tcPr>
            <w:tcW w:type="dxa" w:w="1337"/>
          </w:tcPr>
          <w:p>
            <w:r>
              <w:t>-4.43%</w:t>
            </w:r>
          </w:p>
        </w:tc>
        <w:tc>
          <w:tcPr>
            <w:tcW w:type="dxa" w:w="1337"/>
          </w:tcPr>
          <w:p>
            <w:r>
              <w:t>96.6%</w:t>
            </w:r>
          </w:p>
        </w:tc>
        <w:tc>
          <w:tcPr>
            <w:tcW w:type="dxa" w:w="1337"/>
          </w:tcPr>
          <w:p>
            <w:r>
              <w:t>55.2%</w:t>
            </w:r>
          </w:p>
        </w:tc>
      </w:tr>
      <w:tr>
        <w:tc>
          <w:tcPr>
            <w:tcW w:type="dxa" w:w="1337"/>
          </w:tcPr>
          <w:p>
            <w:r>
              <w:t>RandomForest</w:t>
            </w:r>
          </w:p>
        </w:tc>
        <w:tc>
          <w:tcPr>
            <w:tcW w:type="dxa" w:w="1337"/>
          </w:tcPr>
          <w:p>
            <w:r>
              <w:t>0</w:t>
            </w:r>
          </w:p>
        </w:tc>
        <w:tc>
          <w:tcPr>
            <w:tcW w:type="dxa" w:w="1337"/>
          </w:tcPr>
          <w:p>
            <w:r>
              <w:t>0.00451</w:t>
            </w:r>
          </w:p>
        </w:tc>
        <w:tc>
          <w:tcPr>
            <w:tcW w:type="dxa" w:w="1337"/>
          </w:tcPr>
          <w:p>
            <w:r>
              <w:t>34.91%</w:t>
            </w:r>
          </w:p>
        </w:tc>
        <w:tc>
          <w:tcPr>
            <w:tcW w:type="dxa" w:w="1337"/>
          </w:tcPr>
          <w:p>
            <w:r>
              <w:t>-2.18%</w:t>
            </w:r>
          </w:p>
        </w:tc>
        <w:tc>
          <w:tcPr>
            <w:tcW w:type="dxa" w:w="1337"/>
          </w:tcPr>
          <w:p>
            <w:r>
              <w:t>96.6%</w:t>
            </w:r>
          </w:p>
        </w:tc>
        <w:tc>
          <w:tcPr>
            <w:tcW w:type="dxa" w:w="1337"/>
          </w:tcPr>
          <w:p>
            <w:r>
              <w:t>56.9%</w:t>
            </w:r>
          </w:p>
        </w:tc>
      </w:tr>
      <w:tr>
        <w:tc>
          <w:tcPr>
            <w:tcW w:type="dxa" w:w="1337"/>
          </w:tcPr>
          <w:p>
            <w:r>
              <w:t>RandomForest</w:t>
            </w:r>
          </w:p>
        </w:tc>
        <w:tc>
          <w:tcPr>
            <w:tcW w:type="dxa" w:w="1337"/>
          </w:tcPr>
          <w:p>
            <w:r>
              <w:t>3</w:t>
            </w:r>
          </w:p>
        </w:tc>
        <w:tc>
          <w:tcPr>
            <w:tcW w:type="dxa" w:w="1337"/>
          </w:tcPr>
          <w:p>
            <w:r>
              <w:t>0.00441</w:t>
            </w:r>
          </w:p>
        </w:tc>
        <w:tc>
          <w:tcPr>
            <w:tcW w:type="dxa" w:w="1337"/>
          </w:tcPr>
          <w:p>
            <w:r>
              <w:t>36.32%</w:t>
            </w:r>
          </w:p>
        </w:tc>
        <w:tc>
          <w:tcPr>
            <w:tcW w:type="dxa" w:w="1337"/>
          </w:tcPr>
          <w:p>
            <w:r>
              <w:t>0.10%</w:t>
            </w:r>
          </w:p>
        </w:tc>
        <w:tc>
          <w:tcPr>
            <w:tcW w:type="dxa" w:w="1337"/>
          </w:tcPr>
          <w:p>
            <w:r>
              <w:t>96.6%</w:t>
            </w:r>
          </w:p>
        </w:tc>
        <w:tc>
          <w:tcPr>
            <w:tcW w:type="dxa" w:w="1337"/>
          </w:tcPr>
          <w:p>
            <w:r>
              <w:t>53.4%</w:t>
            </w:r>
          </w:p>
        </w:tc>
      </w:tr>
      <w:tr>
        <w:tc>
          <w:tcPr>
            <w:tcW w:type="dxa" w:w="1337"/>
          </w:tcPr>
          <w:p>
            <w:r>
              <w:t>LinearRegression</w:t>
            </w:r>
          </w:p>
        </w:tc>
        <w:tc>
          <w:tcPr>
            <w:tcW w:type="dxa" w:w="1337"/>
          </w:tcPr>
          <w:p>
            <w:r>
              <w:t>0</w:t>
            </w:r>
          </w:p>
        </w:tc>
        <w:tc>
          <w:tcPr>
            <w:tcW w:type="dxa" w:w="1337"/>
          </w:tcPr>
          <w:p>
            <w:r>
              <w:t>0.00707</w:t>
            </w:r>
          </w:p>
        </w:tc>
        <w:tc>
          <w:tcPr>
            <w:tcW w:type="dxa" w:w="1337"/>
          </w:tcPr>
          <w:p>
            <w:r>
              <w:t>-2.09%</w:t>
            </w:r>
          </w:p>
        </w:tc>
        <w:tc>
          <w:tcPr>
            <w:tcW w:type="dxa" w:w="1337"/>
          </w:tcPr>
          <w:p>
            <w:r>
              <w:t>-60.1%</w:t>
            </w:r>
          </w:p>
        </w:tc>
        <w:tc>
          <w:tcPr>
            <w:tcW w:type="dxa" w:w="1337"/>
          </w:tcPr>
          <w:p>
            <w:r>
              <w:t>25.9%</w:t>
            </w:r>
          </w:p>
        </w:tc>
        <w:tc>
          <w:tcPr>
            <w:tcW w:type="dxa" w:w="1337"/>
          </w:tcPr>
          <w:p>
            <w:r>
              <w:t>6.9%</w:t>
            </w:r>
          </w:p>
        </w:tc>
      </w:tr>
      <w:tr>
        <w:tc>
          <w:tcPr>
            <w:tcW w:type="dxa" w:w="1337"/>
          </w:tcPr>
          <w:p>
            <w:r>
              <w:t>LinearRegression</w:t>
            </w:r>
          </w:p>
        </w:tc>
        <w:tc>
          <w:tcPr>
            <w:tcW w:type="dxa" w:w="1337"/>
          </w:tcPr>
          <w:p>
            <w:r>
              <w:t>2</w:t>
            </w:r>
          </w:p>
        </w:tc>
        <w:tc>
          <w:tcPr>
            <w:tcW w:type="dxa" w:w="1337"/>
          </w:tcPr>
          <w:p>
            <w:r>
              <w:t>0.02521</w:t>
            </w:r>
          </w:p>
        </w:tc>
        <w:tc>
          <w:tcPr>
            <w:tcW w:type="dxa" w:w="1337"/>
          </w:tcPr>
          <w:p>
            <w:r>
              <w:t>-263.8%</w:t>
            </w:r>
          </w:p>
        </w:tc>
        <w:tc>
          <w:tcPr>
            <w:tcW w:type="dxa" w:w="1337"/>
          </w:tcPr>
          <w:p>
            <w:r>
              <w:t>-470.5%</w:t>
            </w:r>
          </w:p>
        </w:tc>
        <w:tc>
          <w:tcPr>
            <w:tcW w:type="dxa" w:w="1337"/>
          </w:tcPr>
          <w:p>
            <w:r>
              <w:t>12.1%</w:t>
            </w:r>
          </w:p>
        </w:tc>
        <w:tc>
          <w:tcPr>
            <w:tcW w:type="dxa" w:w="1337"/>
          </w:tcPr>
          <w:p>
            <w:r>
              <w:t>12.1%</w:t>
            </w:r>
          </w:p>
        </w:tc>
      </w:tr>
    </w:tbl>
    <w:p>
      <w:pPr>
        <w:pStyle w:val="Textoindependiente"/>
        <w:jc w:val="center"/>
      </w:pPr>
      <w:r>
        <w:t>Tabla 5-4. Resumen de resultados de modelos ML semanales por configuración de lags. Fuente: elaboración propia.</w:t>
      </w:r>
    </w:p>
    <w:p>
      <w:pPr>
        <w:pStyle w:val="Textoindependiente"/>
      </w:pPr>
      <w:r>
        <w:t>Los tres modelos buenos (Ridge, Random Forest y Gradient Boosting) obtienen resultados muy similares. La diferencia entre el mejor y el peor de ellos en RMSE es inferior a 0,0005, lo que en términos financieros es irrelevante. Esto sugiere que el límite de predictibilidad de estas series con los inputs disponibles está en torno a ese RMSE y que los tres modelos lo han alcanzado.</w:t>
      </w:r>
    </w:p>
    <w:p>
      <w:pPr>
        <w:pStyle w:val="Textoindependiente"/>
      </w:pPr>
      <w:r>
        <w:t>La Regresión Lineal queda claramente fuera del análisis competitivo. Con 182 columnas y solo 264 observaciones en el caso base, el sistema está sobredeterminado y el modelo sufre sobreajuste severo. Al añadir lags, la situación empeora drásticamente: con 2 lags el RMSE llega a 0,02521, casi cuatro veces el del baseline naive. Este no es un fallo del sistema experimental sino un comportamiento esperado y bien documentado de OLS en espacios de alta dimensionalidad sin regularización. El modelo Ridge, que es exactamente la solución a este problema, funciona correctamente en la misma situación.</w:t>
      </w:r>
    </w:p>
    <w:p>
      <w:pPr>
        <w:pStyle w:val="Ttulo3"/>
      </w:pPr>
      <w:r>
        <w:t>Impacto de los lags: confirmación empírica</w:t>
      </w:r>
    </w:p>
    <w:p>
      <w:pPr>
        <w:pStyle w:val="Textoindependiente"/>
      </w:pPr>
      <w:r>
        <w:t>La Tabla 5-4 muestra que los mejores resultados de Ridge y Random Forest aparecen con 0 lags en RMSE, aunque las diferencias son mínimas entre configuraciones. Para Gradient Boosting el menor RMSE aparece con 3 lags, pero la diferencia con 0 lags es de apenas 0,00007. En ningún caso la mejora al añadir lags es suficientemente grande como para justificar la mayor complejidad del dataset.</w:t>
      </w:r>
    </w:p>
    <w:p>
      <w:pPr>
        <w:pStyle w:val="Textoindependiente"/>
      </w:pPr>
      <w:r>
        <w:t>Este resultado confirma de forma empírica y por un camino completamente independiente lo que los análisis ACF/PACF ya indicaban: los retornos semanales de estos ETFs no presentan autocorrelación significativa que pueda explotarse para mejorar la predicción. Tanto los modelos clásicos de series temporales como los modernos de machine learning convergen en la misma conclusión.</w:t>
      </w:r>
    </w:p>
    <w:p>
      <w:pPr>
        <w:pStyle w:val="Textoindependiente"/>
      </w:pPr>
      <w:r>
        <w:rPr>
          <w:b/>
          <w:color w:val="C00000"/>
        </w:rPr>
        <w:t>[TODO: insertar figura con RMSE por modelo y número de lags (gráfico de barras) — Figura 5-4. Fuente: elaboración propia]</w:t>
      </w:r>
    </w:p>
    <w:p>
      <w:pPr>
        <w:pStyle w:val="Textoindependiente"/>
      </w:pPr>
      <w:r>
        <w:rPr>
          <w:b/>
          <w:color w:val="C00000"/>
        </w:rPr>
        <w:t>[TODO: insertar figura con ranking de ETFs que baten al benchmark de ceros con Ridge 0 lags — Figura 5-5. Fuente: elaboración propia]</w:t>
      </w:r>
    </w:p>
    <w:p>
      <w:pPr>
        <w:pStyle w:val="Ttulo3"/>
      </w:pPr>
      <w:r>
        <w:t>Patrones por tipo de activo</w:t>
      </w:r>
    </w:p>
    <w:p>
      <w:pPr>
        <w:pStyle w:val="Textoindependiente"/>
      </w:pPr>
      <w:r>
        <w:t>Los resultados no son homogéneos entre grupos de ETFs. La renta fija es el grupo más predecible: TIP, HYG, JNK, BND y AGG tienen RMSE entre 0,00126 y 0,00155 en ARIMA semanal, muy por debajo del resto. El modelo Ridge domina en este grupo, coherente con que los bonos responden principalmente a factores macroeconómicos de naturaleza lineal (tipos de interés, inflación). Las materias primas son las más difíciles: USO y SLV tienen RMSE entre 0,01022 y 0,01289. Los ETFs chinos FXI y MCHI son los más difíciles del grupo internacional, con precisión direccional negativa o nula.</w:t>
      </w:r>
    </w:p>
    <w:p>
      <w:pPr>
        <w:pStyle w:val="Textoindependiente"/>
      </w:pPr>
      <w:r>
        <w:t>Esta heterogeneidad tiene implicaciones para el backtest de Markowitz: para los ETFs donde el modelo no mejora al benchmark de ceros, las predicciones ARIMA son esencialmente neutrales (predicen retorno cercano a cero), por lo que el optimizador decide su presencia en la cartera principalmente en función de la covarianza. Esto mantiene la integridad de la cartera sin introducir señales erróneas.</w:t>
      </w:r>
    </w:p>
    <w:p>
      <w:pPr>
        <w:pStyle w:val="Ttulo2"/>
      </w:pPr>
      <w:r>
        <w:t>Comparación global de modelos y selección final</w:t>
      </w:r>
    </w:p>
    <w:p>
      <w:pPr>
        <w:pStyle w:val="Textoindependiente"/>
      </w:pPr>
      <w:r>
        <w:t>La Tabla 5-5 resume la comparación entre los mejores modelos de cada familia en la frecuencia semanal.</w:t>
      </w:r>
    </w:p>
    <w:tbl>
      <w:tblPr>
        <w:tblStyle w:val="Tablaconcuadrcula"/>
        <w:tblW w:type="auto" w:w="0"/>
        <w:tblLook w:firstColumn="1" w:firstRow="1" w:lastColumn="0" w:lastRow="0" w:noHBand="0" w:noVBand="1" w:val="04A0"/>
      </w:tblPr>
      <w:tblGrid>
        <w:gridCol w:w="1872"/>
        <w:gridCol w:w="1872"/>
        <w:gridCol w:w="1872"/>
        <w:gridCol w:w="1872"/>
        <w:gridCol w:w="1872"/>
      </w:tblGrid>
      <w:tr>
        <w:tc>
          <w:tcPr>
            <w:tcW w:type="dxa" w:w="1872"/>
          </w:tcPr>
          <w:p>
            <w:r>
              <w:rPr>
                <w:b/>
              </w:rPr>
              <w:t>Modelo</w:t>
            </w:r>
          </w:p>
        </w:tc>
        <w:tc>
          <w:tcPr>
            <w:tcW w:type="dxa" w:w="1872"/>
          </w:tcPr>
          <w:p>
            <w:r>
              <w:rPr>
                <w:b/>
              </w:rPr>
              <w:t>RMSE medio</w:t>
            </w:r>
          </w:p>
        </w:tc>
        <w:tc>
          <w:tcPr>
            <w:tcW w:type="dxa" w:w="1872"/>
          </w:tcPr>
          <w:p>
            <w:r>
              <w:rPr>
                <w:b/>
              </w:rPr>
              <w:t>Mej. vs naive (%)</w:t>
            </w:r>
          </w:p>
        </w:tc>
        <w:tc>
          <w:tcPr>
            <w:tcW w:type="dxa" w:w="1872"/>
          </w:tcPr>
          <w:p>
            <w:r>
              <w:rPr>
                <w:b/>
              </w:rPr>
              <w:t>Mej. vs zeros (%)</w:t>
            </w:r>
          </w:p>
        </w:tc>
        <w:tc>
          <w:tcPr>
            <w:tcW w:type="dxa" w:w="1872"/>
          </w:tcPr>
          <w:p>
            <w:r>
              <w:rPr>
                <w:b/>
              </w:rPr>
              <w:t>ETFs &gt; zeros (%)</w:t>
            </w:r>
          </w:p>
        </w:tc>
      </w:tr>
      <w:tr>
        <w:tc>
          <w:tcPr>
            <w:tcW w:type="dxa" w:w="1872"/>
          </w:tcPr>
          <w:p>
            <w:r>
              <w:t>ARIMA semanal</w:t>
            </w:r>
          </w:p>
        </w:tc>
        <w:tc>
          <w:tcPr>
            <w:tcW w:type="dxa" w:w="1872"/>
          </w:tcPr>
          <w:p>
            <w:r>
              <w:t>0.00492</w:t>
            </w:r>
          </w:p>
        </w:tc>
        <w:tc>
          <w:tcPr>
            <w:tcW w:type="dxa" w:w="1872"/>
          </w:tcPr>
          <w:p>
            <w:r>
              <w:t>31.1%</w:t>
            </w:r>
          </w:p>
        </w:tc>
        <w:tc>
          <w:tcPr>
            <w:tcW w:type="dxa" w:w="1872"/>
          </w:tcPr>
          <w:p>
            <w:r>
              <w:t>-0.1%</w:t>
            </w:r>
          </w:p>
        </w:tc>
        <w:tc>
          <w:tcPr>
            <w:tcW w:type="dxa" w:w="1872"/>
          </w:tcPr>
          <w:p>
            <w:r>
              <w:t>52%</w:t>
            </w:r>
          </w:p>
        </w:tc>
      </w:tr>
      <w:tr>
        <w:tc>
          <w:tcPr>
            <w:tcW w:type="dxa" w:w="1872"/>
          </w:tcPr>
          <w:p>
            <w:r>
              <w:t>Ridge 0 lags</w:t>
            </w:r>
          </w:p>
        </w:tc>
        <w:tc>
          <w:tcPr>
            <w:tcW w:type="dxa" w:w="1872"/>
          </w:tcPr>
          <w:p>
            <w:r>
              <w:t>0.00490</w:t>
            </w:r>
          </w:p>
        </w:tc>
        <w:tc>
          <w:tcPr>
            <w:tcW w:type="dxa" w:w="1872"/>
          </w:tcPr>
          <w:p>
            <w:r>
              <w:t>31.7%</w:t>
            </w:r>
          </w:p>
        </w:tc>
        <w:tc>
          <w:tcPr>
            <w:tcW w:type="dxa" w:w="1872"/>
          </w:tcPr>
          <w:p>
            <w:r>
              <w:t>0.7%</w:t>
            </w:r>
          </w:p>
        </w:tc>
        <w:tc>
          <w:tcPr>
            <w:tcW w:type="dxa" w:w="1872"/>
          </w:tcPr>
          <w:p>
            <w:r>
              <w:t>57%</w:t>
            </w:r>
          </w:p>
        </w:tc>
      </w:tr>
      <w:tr>
        <w:tc>
          <w:tcPr>
            <w:tcW w:type="dxa" w:w="1872"/>
          </w:tcPr>
          <w:p>
            <w:r>
              <w:t>GBR 0 lags</w:t>
            </w:r>
          </w:p>
        </w:tc>
        <w:tc>
          <w:tcPr>
            <w:tcW w:type="dxa" w:w="1872"/>
          </w:tcPr>
          <w:p>
            <w:r>
              <w:t>0.00494</w:t>
            </w:r>
          </w:p>
        </w:tc>
        <w:tc>
          <w:tcPr>
            <w:tcW w:type="dxa" w:w="1872"/>
          </w:tcPr>
          <w:p>
            <w:r>
              <w:t>28.8%</w:t>
            </w:r>
          </w:p>
        </w:tc>
        <w:tc>
          <w:tcPr>
            <w:tcW w:type="dxa" w:w="1872"/>
          </w:tcPr>
          <w:p>
            <w:r>
              <w:t>-9.0%</w:t>
            </w:r>
          </w:p>
        </w:tc>
        <w:tc>
          <w:tcPr>
            <w:tcW w:type="dxa" w:w="1872"/>
          </w:tcPr>
          <w:p>
            <w:r>
              <w:t>35%</w:t>
            </w:r>
          </w:p>
        </w:tc>
      </w:tr>
      <w:tr>
        <w:tc>
          <w:tcPr>
            <w:tcW w:type="dxa" w:w="1872"/>
          </w:tcPr>
          <w:p>
            <w:r>
              <w:t>Baseline naive</w:t>
            </w:r>
          </w:p>
        </w:tc>
        <w:tc>
          <w:tcPr>
            <w:tcW w:type="dxa" w:w="1872"/>
          </w:tcPr>
          <w:p>
            <w:r>
              <w:t>0.00714</w:t>
            </w:r>
          </w:p>
        </w:tc>
        <w:tc>
          <w:tcPr>
            <w:tcW w:type="dxa" w:w="1872"/>
          </w:tcPr>
          <w:p>
            <w:r>
              <w:t>—</w:t>
            </w:r>
          </w:p>
        </w:tc>
        <w:tc>
          <w:tcPr>
            <w:tcW w:type="dxa" w:w="1872"/>
          </w:tcPr>
          <w:p>
            <w:r>
              <w:t>—</w:t>
            </w:r>
          </w:p>
        </w:tc>
        <w:tc>
          <w:tcPr>
            <w:tcW w:type="dxa" w:w="1872"/>
          </w:tcPr>
          <w:p>
            <w:r>
              <w:t>—</w:t>
            </w:r>
          </w:p>
        </w:tc>
      </w:tr>
      <w:tr>
        <w:tc>
          <w:tcPr>
            <w:tcW w:type="dxa" w:w="1872"/>
          </w:tcPr>
          <w:p>
            <w:r>
              <w:t>Baseline zeros</w:t>
            </w:r>
          </w:p>
        </w:tc>
        <w:tc>
          <w:tcPr>
            <w:tcW w:type="dxa" w:w="1872"/>
          </w:tcPr>
          <w:p>
            <w:r>
              <w:t>0.00491</w:t>
            </w:r>
          </w:p>
        </w:tc>
        <w:tc>
          <w:tcPr>
            <w:tcW w:type="dxa" w:w="1872"/>
          </w:tcPr>
          <w:p>
            <w:r>
              <w:t>—</w:t>
            </w:r>
          </w:p>
        </w:tc>
        <w:tc>
          <w:tcPr>
            <w:tcW w:type="dxa" w:w="1872"/>
          </w:tcPr>
          <w:p>
            <w:r>
              <w:t>—</w:t>
            </w:r>
          </w:p>
        </w:tc>
        <w:tc>
          <w:tcPr>
            <w:tcW w:type="dxa" w:w="1872"/>
          </w:tcPr>
          <w:p>
            <w:r>
              <w:t>—</w:t>
            </w:r>
          </w:p>
        </w:tc>
      </w:tr>
    </w:tbl>
    <w:p>
      <w:pPr>
        <w:pStyle w:val="Textoindependiente"/>
        <w:jc w:val="center"/>
      </w:pPr>
      <w:r>
        <w:t>Tabla 5-5. Comparación de los mejores modelos en frecuencia semanal. Fuente: elaboración propia.</w:t>
      </w:r>
    </w:p>
    <w:p>
      <w:pPr>
        <w:pStyle w:val="Textoindependiente"/>
      </w:pPr>
      <w:r>
        <w:t>Los resultados muestran que ningún modelo supera al benchmark de ceros de forma consistente en todas las métricas. Sin embargo, el ARIMA semanal y el Ridge 0 lags son estadísticamente los más competitivos, con RMSE prácticamente iguales. La diferencia clave a favor del ARIMA es su mayor precisión direccional en varios ETFs relevantes, derivada de la componente MA. Por tanto, se selecciona el modelo ARIMA semanal como input para el backtest de Markowitz.</w:t>
      </w:r>
    </w:p>
    <w:p>
      <w:pPr>
        <w:pStyle w:val="Ttulo2"/>
      </w:pPr>
      <w:r>
        <w:t>Resultados del backtest de Markowitz</w:t>
      </w:r>
    </w:p>
    <w:p>
      <w:pPr>
        <w:pStyle w:val="Textoindependiente"/>
      </w:pPr>
      <w:r>
        <w:t>El backtest se ejecutó durante 79 semanas, desde 2024-W30 hasta 2026-W05, con 58 ETFs, capital inicial de 100 y parámetro de aversión al riesgo lambda = 10. La Tabla 5-6 recoge los resultados finales de las tres estrategias.</w:t>
      </w:r>
    </w:p>
    <w:tbl>
      <w:tblPr>
        <w:tblStyle w:val="Tablaconcuadrcula"/>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Estrategia</w:t>
            </w:r>
          </w:p>
        </w:tc>
        <w:tc>
          <w:tcPr>
            <w:tcW w:type="dxa" w:w="1337"/>
          </w:tcPr>
          <w:p>
            <w:r>
              <w:rPr>
                <w:b/>
              </w:rPr>
              <w:t>Capital final</w:t>
            </w:r>
          </w:p>
        </w:tc>
        <w:tc>
          <w:tcPr>
            <w:tcW w:type="dxa" w:w="1337"/>
          </w:tcPr>
          <w:p>
            <w:r>
              <w:rPr>
                <w:b/>
              </w:rPr>
              <w:t>Rentab. acum.</w:t>
            </w:r>
          </w:p>
        </w:tc>
        <w:tc>
          <w:tcPr>
            <w:tcW w:type="dxa" w:w="1337"/>
          </w:tcPr>
          <w:p>
            <w:r>
              <w:rPr>
                <w:b/>
              </w:rPr>
              <w:t>Volatilidad (anual)</w:t>
            </w:r>
          </w:p>
        </w:tc>
        <w:tc>
          <w:tcPr>
            <w:tcW w:type="dxa" w:w="1337"/>
          </w:tcPr>
          <w:p>
            <w:r>
              <w:rPr>
                <w:b/>
              </w:rPr>
              <w:t>Sharpe</w:t>
            </w:r>
          </w:p>
        </w:tc>
        <w:tc>
          <w:tcPr>
            <w:tcW w:type="dxa" w:w="1337"/>
          </w:tcPr>
          <w:p>
            <w:r>
              <w:rPr>
                <w:b/>
              </w:rPr>
              <w:t>Max Drawdown</w:t>
            </w:r>
          </w:p>
        </w:tc>
        <w:tc>
          <w:tcPr>
            <w:tcW w:type="dxa" w:w="1337"/>
          </w:tcPr>
          <w:p>
            <w:r>
              <w:rPr>
                <w:b/>
              </w:rPr>
              <w:t>Semanas +</w:t>
            </w:r>
          </w:p>
        </w:tc>
      </w:tr>
      <w:tr>
        <w:tc>
          <w:tcPr>
            <w:tcW w:type="dxa" w:w="1337"/>
          </w:tcPr>
          <w:p>
            <w:r>
              <w:t>Media histórica (BT_001)</w:t>
            </w:r>
          </w:p>
        </w:tc>
        <w:tc>
          <w:tcPr>
            <w:tcW w:type="dxa" w:w="1337"/>
          </w:tcPr>
          <w:p>
            <w:r>
              <w:t>101,76</w:t>
            </w:r>
          </w:p>
        </w:tc>
        <w:tc>
          <w:tcPr>
            <w:tcW w:type="dxa" w:w="1337"/>
          </w:tcPr>
          <w:p>
            <w:r>
              <w:t>1,76%</w:t>
            </w:r>
          </w:p>
        </w:tc>
        <w:tc>
          <w:tcPr>
            <w:tcW w:type="dxa" w:w="1337"/>
          </w:tcPr>
          <w:p>
            <w:r>
              <w:t>4,21%</w:t>
            </w:r>
          </w:p>
        </w:tc>
        <w:tc>
          <w:tcPr>
            <w:tcW w:type="dxa" w:w="1337"/>
          </w:tcPr>
          <w:p>
            <w:r>
              <w:t>0,293</w:t>
            </w:r>
          </w:p>
        </w:tc>
        <w:tc>
          <w:tcPr>
            <w:tcW w:type="dxa" w:w="1337"/>
          </w:tcPr>
          <w:p>
            <w:r>
              <w:t>-4,29%</w:t>
            </w:r>
          </w:p>
        </w:tc>
        <w:tc>
          <w:tcPr>
            <w:tcW w:type="dxa" w:w="1337"/>
          </w:tcPr>
          <w:p>
            <w:r>
              <w:t>47/79</w:t>
            </w:r>
          </w:p>
        </w:tc>
      </w:tr>
      <w:tr>
        <w:tc>
          <w:tcPr>
            <w:tcW w:type="dxa" w:w="1337"/>
          </w:tcPr>
          <w:p>
            <w:r>
              <w:t>Último valor (BT_002)</w:t>
            </w:r>
          </w:p>
        </w:tc>
        <w:tc>
          <w:tcPr>
            <w:tcW w:type="dxa" w:w="1337"/>
          </w:tcPr>
          <w:p>
            <w:r>
              <w:t>106,46</w:t>
            </w:r>
          </w:p>
        </w:tc>
        <w:tc>
          <w:tcPr>
            <w:tcW w:type="dxa" w:w="1337"/>
          </w:tcPr>
          <w:p>
            <w:r>
              <w:t>6,46%</w:t>
            </w:r>
          </w:p>
        </w:tc>
        <w:tc>
          <w:tcPr>
            <w:tcW w:type="dxa" w:w="1337"/>
          </w:tcPr>
          <w:p>
            <w:r>
              <w:t>8,53%</w:t>
            </w:r>
          </w:p>
        </w:tc>
        <w:tc>
          <w:tcPr>
            <w:tcW w:type="dxa" w:w="1337"/>
          </w:tcPr>
          <w:p>
            <w:r>
              <w:t>0,525</w:t>
            </w:r>
          </w:p>
        </w:tc>
        <w:tc>
          <w:tcPr>
            <w:tcW w:type="dxa" w:w="1337"/>
          </w:tcPr>
          <w:p>
            <w:r>
              <w:t>-8,02%</w:t>
            </w:r>
          </w:p>
        </w:tc>
        <w:tc>
          <w:tcPr>
            <w:tcW w:type="dxa" w:w="1337"/>
          </w:tcPr>
          <w:p>
            <w:r>
              <w:t>43/79</w:t>
            </w:r>
          </w:p>
        </w:tc>
      </w:tr>
      <w:tr>
        <w:tc>
          <w:tcPr>
            <w:tcW w:type="dxa" w:w="1337"/>
          </w:tcPr>
          <w:p>
            <w:r>
              <w:t>ARIMA (BT_003)</w:t>
            </w:r>
          </w:p>
        </w:tc>
        <w:tc>
          <w:tcPr>
            <w:tcW w:type="dxa" w:w="1337"/>
          </w:tcPr>
          <w:p>
            <w:r>
              <w:t>101,63</w:t>
            </w:r>
          </w:p>
        </w:tc>
        <w:tc>
          <w:tcPr>
            <w:tcW w:type="dxa" w:w="1337"/>
          </w:tcPr>
          <w:p>
            <w:r>
              <w:t>1,63%</w:t>
            </w:r>
          </w:p>
        </w:tc>
        <w:tc>
          <w:tcPr>
            <w:tcW w:type="dxa" w:w="1337"/>
          </w:tcPr>
          <w:p>
            <w:r>
              <w:t>4,03%</w:t>
            </w:r>
          </w:p>
        </w:tc>
        <w:tc>
          <w:tcPr>
            <w:tcW w:type="dxa" w:w="1337"/>
          </w:tcPr>
          <w:p>
            <w:r>
              <w:t>0,284</w:t>
            </w:r>
          </w:p>
        </w:tc>
        <w:tc>
          <w:tcPr>
            <w:tcW w:type="dxa" w:w="1337"/>
          </w:tcPr>
          <w:p>
            <w:r>
              <w:t>-4,90%</w:t>
            </w:r>
          </w:p>
        </w:tc>
        <w:tc>
          <w:tcPr>
            <w:tcW w:type="dxa" w:w="1337"/>
          </w:tcPr>
          <w:p>
            <w:r>
              <w:t>46/79</w:t>
            </w:r>
          </w:p>
        </w:tc>
      </w:tr>
    </w:tbl>
    <w:p>
      <w:pPr>
        <w:pStyle w:val="Textoindependiente"/>
        <w:jc w:val="center"/>
      </w:pPr>
      <w:r>
        <w:t>Tabla 5-6. Resultados del backtest de Markowitz (2024-W30 a 2026-W05). Capital inicial = 100. Fuente: elaboración propia.</w:t>
      </w:r>
    </w:p>
    <w:p>
      <w:pPr>
        <w:pStyle w:val="Textoindependiente"/>
      </w:pPr>
      <w:r>
        <w:rPr>
          <w:b/>
          <w:color w:val="C00000"/>
        </w:rPr>
        <w:t>[TODO: insertar figura con la evolución del capital de las tres estrategias — Figura 5-6. Fuente: elaboración propia]</w:t>
      </w:r>
    </w:p>
    <w:p>
      <w:pPr>
        <w:pStyle w:val="Textoindependiente"/>
      </w:pPr>
      <w:r>
        <w:rPr>
          <w:b/>
          <w:color w:val="C00000"/>
        </w:rPr>
        <w:t>[TODO: insertar figura con los retornos semanales de cada estrategia — Figura 5-7. Fuente: elaboración propia]</w:t>
      </w:r>
    </w:p>
    <w:p>
      <w:pPr>
        <w:pStyle w:val="Ttulo2"/>
      </w:pPr>
      <w:r>
        <w:t>Comparación de estrategias de inversión</w:t>
      </w:r>
    </w:p>
    <w:p>
      <w:pPr>
        <w:pStyle w:val="Textoindependiente"/>
      </w:pPr>
      <w:r>
        <w:t>La estrategia con mayor capital final es Markowitz con el último valor observado (BT_002), con un capital de 106,46 y una rentabilidad acumulada del 6,46%. Sin embargo, esta estrategia presenta también la mayor volatilidad (8,53% anualizada), el mayor drawdown (-8,02%) y el menor número de semanas positivas (43 de 79). Esto indica que su mayor rentabilidad no se obtiene de forma estable: concentra sus ganancias en pocas semanas de movimientos fuertes y soporta periodos de pérdida mayores.</w:t>
      </w:r>
    </w:p>
    <w:p>
      <w:pPr>
        <w:pStyle w:val="Textoindependiente"/>
      </w:pPr>
      <w:r>
        <w:t>Las estrategias de media histórica y ARIMA obtienen resultados económicos similares entre sí: capital final de 101,76 y 101,63 respectivamente, con volatilidades bajas (4,21% y 4,03%) y drawdowns contenidos (-4,29% y -4,90%). Ambas presentan un perfil más estable y conservador que la estrategia del último valor.</w:t>
      </w:r>
    </w:p>
    <w:p>
      <w:pPr>
        <w:pStyle w:val="Textoindependiente"/>
      </w:pPr>
      <w:r>
        <w:t>El ratio de Sharpe resume bien la relación entre rentabilidad y riesgo: la estrategia del último valor tiene el Sharpe más alto (0,525), seguida de la media histórica (0,293) y el ARIMA (0,284). Sin embargo, estos valores de Sharpe son similares en las dos primeras y difieren principalmente porque la estrategia del último valor asume mucho más riesgo.</w:t>
      </w:r>
    </w:p>
    <w:p>
      <w:pPr>
        <w:pStyle w:val="Ttulo2"/>
      </w:pPr>
      <w:r>
        <w:t>Discusión crítica de los resultados</w:t>
      </w:r>
    </w:p>
    <w:p>
      <w:pPr>
        <w:pStyle w:val="Textoindependiente"/>
      </w:pPr>
      <w:r>
        <w:t>El principal resultado del backtest es que las predicciones ARIMA no consiguen mejorar de forma clara a la estrategia de media histórica en ninguna de las métricas evaluadas. La diferencia en capital final entre BT_003 y BT_001 es de solo -0,13 puntos porcentuales, que es estadísticamente irrelevante para un backtest de 79 semanas.</w:t>
      </w:r>
    </w:p>
    <w:p>
      <w:pPr>
        <w:pStyle w:val="Textoindependiente"/>
      </w:pPr>
      <w:r>
        <w:t>Esto no significa que el modelo ARIMA sea malo. Sus predicciones sí mejoran al baseline naive con consistencia y muestran cierta capacidad direccional en varios ETFs. El problema es que esa mejora predictiva es muy pequeña en magnitud, y el optimizador de Markowitz es muy sensible a la calidad del input de rentabilidades esperadas: pequeños errores en mu pueden llevar a carteras muy distintas, y no necesariamente mejores.</w:t>
      </w:r>
    </w:p>
    <w:p>
      <w:pPr>
        <w:pStyle w:val="Textoindependiente"/>
      </w:pPr>
      <w:r>
        <w:t>La estrategia del último valor sorprende por su rentabilidad acumulada alta, aunque a costa de una volatilidad el doble de las otras dos estrategias. Utilizar el retorno de la semana anterior como estimador de la semana siguiente es una apuesta por el efecto momentum a muy corto plazo, que en el periodo analizado resultó positiva. Sin embargo, es también la estrategia más inestable y la que peores semanas positivas registra en términos proporcionales.</w:t>
      </w:r>
    </w:p>
    <w:p>
      <w:pPr>
        <w:pStyle w:val="Textoindependiente"/>
      </w:pPr>
      <w:r>
        <w:t>Un aspecto importante del análisis es el periodo en que se realiza el backtest: 2024-W30 a 2026-W05. Este periodo incluye episodios de volatilidad significativa en los mercados internacionales, que afectan de forma desigual a los tres estimadores de rentabilidad esperada. La media histórica, al ser suavizada por cuatro años de datos, reacciona poco ante cambios recientes. El último valor reacciona demasiado. Las predicciones ARIMA intentan encontrar un punto intermedio pero, como se ha visto, la señal predictiva es débil.</w:t>
      </w:r>
    </w:p>
    <w:p>
      <w:pPr>
        <w:pStyle w:val="Textoindependiente"/>
      </w:pPr>
      <w:r>
        <w:t>En conclusión, los resultados del backtest son honestos: no demuestran que las predicciones ARIMA mejoren la cartera de forma robusta en el periodo analizado. Pero tampoco la empeoran. El trabajo aporta valor precisamente por plantear esta pregunta de forma rigurosa, metodológicamente sólida y con datos reales, y por documentar con transparencia los límites de la predictibilidad de estos activos.</w:t>
      </w:r>
    </w:p>
    <w:p>
      <w:r>
        <w:br w:type="page"/>
      </w:r>
    </w:p>
    <w:p>
      <w:pPr>
        <w:pStyle w:val="Ttulo1"/>
      </w:pPr>
      <w:r>
        <w:t>CONCLUSIONES Y TRABAJO FUTURO</w:t>
      </w:r>
    </w:p>
    <w:p>
      <w:pPr>
        <w:pStyle w:val="Ttulo2"/>
      </w:pPr>
      <w:r>
        <w:t>Conclusiones principales</w:t>
      </w:r>
    </w:p>
    <w:p>
      <w:pPr>
        <w:pStyle w:val="Textoindependiente"/>
      </w:pPr>
      <w:r>
        <w:t>Este trabajo ha abordado el problema de la predicción de retornos de ETFs desde dos enfoques complementarios —series temporales y aprendizaje automático— y ha evaluado el impacto económico de esas predicciones en el contexto de un backtest de carteras de Markowitz. Las principales conclusiones son las siguientes.</w:t>
      </w:r>
    </w:p>
    <w:p>
      <w:pPr>
        <w:pStyle w:val="Textoindependiente"/>
      </w:pPr>
      <w:r>
        <w:t>En primer lugar, los retornos de ETFs son difíciles de predecir, lo que es coherente con la hipótesis de mercados eficientes en su forma débil. La autocorrelación lineal de los retornos es muy baja, tanto en frecuencia diaria como semanal. Todos los modelos estudiados mejoran al baseline naive (repetir el último valor) pero tienen dificultades para superar al benchmark de ceros de forma consistente, especialmente en frecuencia diaria.</w:t>
      </w:r>
    </w:p>
    <w:p>
      <w:pPr>
        <w:pStyle w:val="Textoindependiente"/>
      </w:pPr>
      <w:r>
        <w:t>En segundo lugar, añadir retardos de retornos como variables explicativas en los modelos de machine learning no mejora la predicción. El mejor modelo de ML es siempre el de 0 lags. Este resultado es independiente y consistente con lo observado en los modelos ARIMA: la parte autorregresiva de la dinámica de estos retornos es muy débil. Ambas familias de modelos llegan a la misma conclusión por caminos distintos, lo que le da solidez a esta interpretación. El estudio de los lags tenía carácter exploratorio —se quería saber si existía autocorrelación explotable— y el resultado es claro: no hay momentum estadísticamente explotable en los retornos semanales de estos ETFs.</w:t>
      </w:r>
    </w:p>
    <w:p>
      <w:pPr>
        <w:pStyle w:val="Textoindependiente"/>
      </w:pPr>
      <w:r>
        <w:t>En tercer lugar, la ventaja del modelo ARIMA semanal frente a los modelos de machine learning no proviene de la parte autorregresiva, sino de la componente de medias móviles (MA). Esta componente captura indirectamente el efecto de variables externas no observadas —noticias macroeconómicas, decisiones de bancos centrales, tensiones geopolíticas— a través de los errores de predicción pasados. Los modelos de machine learning no tienen acceso a esta información porque no se les proporcionan variables macroeconómicas como input. Por ello, aunque su RMSE global sea casi idéntico al del ARIMA, el ARIMA muestra mejor precisión direccional en un número relevante de ETFs, medida por el kappa de Cohen.</w:t>
      </w:r>
    </w:p>
    <w:p>
      <w:pPr>
        <w:pStyle w:val="Textoindependiente"/>
      </w:pPr>
      <w:r>
        <w:t>En cuarto lugar, el uso del criterio AIC (en lugar del BIC) para la selección de los modelos ARIMA está justificado en este contexto. El objetivo es predecir, no identificar el modelo generador de los datos. El AIC penaliza menos la complejidad y es más propenso a retener términos MA que codifican información útil. El BIC, con su penalización más agresiva, sacrificaría precisamente la fuente de información más valiosa del ARIMA.</w:t>
      </w:r>
    </w:p>
    <w:p>
      <w:pPr>
        <w:pStyle w:val="Textoindependiente"/>
      </w:pPr>
      <w:r>
        <w:t>En quinto lugar, el backtest de Markowitz muestra que las predicciones ARIMA no mejoran de forma clara a la cartera basada en la media histórica durante el periodo analizado (2024-W30 a 2026-W05). La diferencia en capital final es de solo -0,13 puntos porcentuales. La estrategia del último valor obtiene la mayor rentabilidad acumulada (6,46%), pero a costa de mayor volatilidad (8,53%) y mayor drawdown (-8,02%). En términos ajustados al riesgo (ratio de Sharpe), las diferencias entre estrategias son modestas.</w:t>
      </w:r>
    </w:p>
    <w:p>
      <w:pPr>
        <w:pStyle w:val="Textoindependiente"/>
      </w:pPr>
      <w:r>
        <w:t>En conjunto, el trabajo demuestra que es posible extraer una señal predictiva pequeña pero real en los retornos de ETFs, que los modelos ARIMA semanales son los más adecuados para capturarla gracias a su componente MA, y que sin embargo esa señal no es suficientemente fuerte como para traducirse en una mejora económica robusta en el contexto del optimizador de Markowitz durante el periodo analizado. Esto no invalida el enfoque, sino que plantea con honestidad los límites actuales de la predictibilidad de estos mercados.</w:t>
      </w:r>
    </w:p>
    <w:p>
      <w:pPr>
        <w:pStyle w:val="Ttulo2"/>
      </w:pPr>
      <w:r>
        <w:t>Limitaciones del trabajo</w:t>
      </w:r>
    </w:p>
    <w:p>
      <w:pPr>
        <w:pStyle w:val="Textoindependiente"/>
      </w:pPr>
      <w:r>
        <w:t>El trabajo presenta varias limitaciones que deben tenerse en cuenta al interpretar los resultados:</w:t>
      </w:r>
    </w:p>
    <w:p>
      <w:pPr>
        <w:pStyle w:val="Listaconvietas"/>
      </w:pPr>
      <w:r>
        <w:t>Periodo de análisis: el backtest cubre únicamente 79 semanas (julio 2024 a febrero 2026). Para obtener conclusiones más robustas sobre el valor añadido de las predicciones sería necesario un periodo de evaluación más largo, que incluyera distintos ciclos de mercado.</w:t>
      </w:r>
    </w:p>
    <w:p>
      <w:pPr>
        <w:pStyle w:val="Listaconvietas"/>
      </w:pPr>
      <w:r>
        <w:t>Costes de transacción: el backtest no incorpora costes de compraventa, deslizamiento (slippage) ni impuestos. En estrategias de rebalanceo semanal, estos costes pueden ser significativos y reducir la rentabilidad real.</w:t>
      </w:r>
    </w:p>
    <w:p>
      <w:pPr>
        <w:pStyle w:val="Listaconvietas"/>
      </w:pPr>
      <w:r>
        <w:t>Variables explicativas limitadas: los modelos de machine learning solo reciben como inputs retornos pasados, cambios de volumen y variables de calendario. Variables macroeconómicas como tipos de interés, inflación, indicadores de sentimiento o datos de flujos de capital podrían mejorar la capacidad predictiva, especialmente para los modelos de ML que carecen del mecanismo MA de ARIMA.</w:t>
      </w:r>
    </w:p>
    <w:p>
      <w:pPr>
        <w:pStyle w:val="Listaconvietas"/>
      </w:pPr>
      <w:r>
        <w:t>Parámetros de Markowitz: el parámetro de aversión al riesgo (lambda = 10) y los límites de peso por activo se han fijado sin optimización. Su efecto sobre los resultados finales no ha sido analizado de forma sistemática.</w:t>
      </w:r>
    </w:p>
    <w:p>
      <w:pPr>
        <w:pStyle w:val="Listaconvietas"/>
      </w:pPr>
      <w:r>
        <w:t>Covarianza no estacionaria: la estimación de la matriz de covarianzas con ventana expandible supone que la estructura de correlaciones es estable a lo largo del tiempo. En periodos de crisis o cambios de régimen, esta hipótesis puede no cumplirse.</w:t>
      </w:r>
    </w:p>
    <w:p>
      <w:pPr>
        <w:pStyle w:val="Ttulo2"/>
      </w:pPr>
      <w:r>
        <w:t>Líneas de trabajo futuro</w:t>
      </w:r>
    </w:p>
    <w:p>
      <w:pPr>
        <w:pStyle w:val="Textoindependiente"/>
      </w:pPr>
      <w:r>
        <w:t>A partir de las limitaciones identificadas, se proponen varias líneas de trabajo futuro:</w:t>
      </w:r>
    </w:p>
    <w:p>
      <w:pPr>
        <w:pStyle w:val="Listaconvietas"/>
      </w:pPr>
      <w:r>
        <w:t>Incorporar costes de transacción: modelizar los costes de rebalanceo semanal y analizar cuánta rentabilidad neta queda después de ellos. Es posible que la estrategia óptima cambie cuando se penalizan los cambios de cartera frecuentes.</w:t>
      </w:r>
    </w:p>
    <w:p>
      <w:pPr>
        <w:pStyle w:val="Listaconvietas"/>
      </w:pPr>
      <w:r>
        <w:t>Ampliar las variables explicativas: incluir variables macroeconómicas (tipos de interés, diferenciales de crédito, indicadores de actividad económica) en los modelos de machine learning para acercarlos a la riqueza informativa de la componente MA del ARIMA.</w:t>
      </w:r>
    </w:p>
    <w:p>
      <w:pPr>
        <w:pStyle w:val="Listaconvietas"/>
      </w:pPr>
      <w:r>
        <w:t>Probar modelos más avanzados: explorar modelos como LSTM, Transformer o modelos de factores latentes que puedan capturar dependencias temporales no lineales y relaciones cruzadas entre activos.</w:t>
      </w:r>
    </w:p>
    <w:p>
      <w:pPr>
        <w:pStyle w:val="Listaconvietas"/>
      </w:pPr>
      <w:r>
        <w:t>Ventana deslizante en lugar de ventana expansiva: en lugar de usar toda la historia disponible para estimar la covarianza y los modelos, usar solo las últimas N semanas para que los parámetros sean más sensibles a los cambios recientes del mercado.</w:t>
      </w:r>
    </w:p>
    <w:p>
      <w:pPr>
        <w:pStyle w:val="Listaconvietas"/>
      </w:pPr>
      <w:r>
        <w:t>Restricciones de peso máximo por ETF: limitar el peso máximo de cada activo (por ejemplo, al 20% o 30%) para evitar carteras muy concentradas. En los experimentos realizados se fijó un máximo del 100%, pero restricciones más estrictas pueden mejorar la diversificación real de la cartera.</w:t>
      </w:r>
    </w:p>
    <w:p>
      <w:pPr>
        <w:pStyle w:val="Listaconvietas"/>
      </w:pPr>
      <w:r>
        <w:t>Ampliar el periodo de evaluación: repetir el backtest en periodos que incluyan fases de mercado distintas (mercados bajistas, crisis, periodos de alta volatilidad) para validar la robustez de las conclusiones.</w:t>
      </w:r>
    </w:p>
    <w:p>
      <w:pPr>
        <w:pStyle w:val="Listaconvietas"/>
      </w:pPr>
      <w:r>
        <w:t>Métodos alternativos de optimización: comparar el modelo de Markowitz con alternativas como la paridad de riesgo (risk parity), la máxima diversificación o métodos bayesianos de estimación de rentabilidades esperadas como el modelo de Black-Litterman.</w:t>
      </w:r>
    </w:p>
    <w:p>
      <w:r>
        <w:br w:type="page"/>
      </w:r>
    </w:p>
    <w:p>
      <w:pPr>
        <w:pStyle w:val="Ttulo1"/>
      </w:pPr>
      <w:r>
        <w:t>INTRODUCTION</w:t>
      </w:r>
    </w:p>
    <w:p>
      <w:pPr>
        <w:pStyle w:val="Textoindependiente"/>
      </w:pPr>
      <w:r>
        <w:t>Predicting financial market behavior is one of the most studied and challenging problems in quantitative finance. Asset prices are influenced by a vast array of factors: economic conditions, monetary policy decisions, corporate results, geopolitical events, and investor sentiment. Many of these factors are difficult to measure directly, making any prediction model inherently subject to uncertainty.</w:t>
      </w:r>
    </w:p>
    <w:p>
      <w:pPr>
        <w:pStyle w:val="Textoindependiente"/>
      </w:pPr>
      <w:r>
        <w:t>Financial returns are particularly difficult to predict because their daily mean is very close to zero, their variance changes over time, and they exhibit very low linear autocorrelation. This behavior is consistent with the weak form of the Efficient Market Hypothesis [CITE: Fama, 1970], which states that historical prices contain no useful information for predicting future returns. Nevertheless, the emergence of large datasets and advanced computational techniques has renewed interest in this area.</w:t>
      </w:r>
    </w:p>
    <w:p>
      <w:pPr>
        <w:pStyle w:val="Textoindependiente"/>
      </w:pPr>
      <w:r>
        <w:t>In this context, this work studies whether predictive signal can be extracted from the returns of a broad set of ETFs (Exchange Traded Funds) using two complementary approaches: time series models and machine learning models. But the work goes beyond prediction. The ultimate goal is to determine whether these predictions can translate into better investment decisions by incorporating them into a Markowitz portfolio optimization framework [CITE: Markowitz, 1952].</w:t>
      </w:r>
    </w:p>
    <w:p>
      <w:pPr>
        <w:pStyle w:val="Textoindependiente"/>
      </w:pPr>
      <w:r>
        <w:t>ETFs were chosen as the investment universe for several reasons. An ETF pools many assets together and trades on a stock exchange like a single share. Unlike individual stocks, an ETF automatically diversifies away the idiosyncratic risk of any single company, resulting in more stable and representative return series. Additionally, ETFs cover virtually every asset class: US equities, international markets, sectors, fixed income, and commodities, making them ideal for building truly diversified portfolios.</w:t>
      </w:r>
    </w:p>
    <w:p>
      <w:pPr>
        <w:pStyle w:val="Textoindependiente"/>
      </w:pPr>
      <w:r>
        <w:t>The comparison between time series and machine learning models is also deliberate. ARIMA models have decades of use in finance and offer an interpretable, theoretically grounded structure. Machine learning models can capture more complex variable relationships but are harder to interpret. Studying both approaches systematically reveals in which situations each family adds the most value.</w:t>
      </w:r>
    </w:p>
    <w:p>
      <w:r>
        <w:br w:type="page"/>
      </w:r>
    </w:p>
    <w:p>
      <w:pPr>
        <w:pStyle w:val="Ttulo1"/>
      </w:pPr>
      <w:r>
        <w:t>CONCLUSIONS AND FUTURE WORK</w:t>
      </w:r>
    </w:p>
    <w:p>
      <w:pPr>
        <w:pStyle w:val="Textoindependiente"/>
      </w:pPr>
      <w:r>
        <w:t>This work has addressed the problem of ETF return prediction using two complementary approaches — time series models and machine learning — and has evaluated the economic impact of those predictions through a Markowitz portfolio backtest. The main conclusions are as follows.</w:t>
      </w:r>
    </w:p>
    <w:p>
      <w:pPr>
        <w:pStyle w:val="Textoindependiente"/>
      </w:pPr>
      <w:r>
        <w:t>First, ETF returns are difficult to predict, consistent with the weak form of market efficiency. Linear autocorrelation is very low at both daily and weekly frequencies. All models improve on the naive baseline (repeating the last observed value), but struggle to consistently outperform the zero benchmark, particularly at daily frequency.</w:t>
      </w:r>
    </w:p>
    <w:p>
      <w:pPr>
        <w:pStyle w:val="Textoindependiente"/>
      </w:pPr>
      <w:r>
        <w:t>Second, adding lagged returns as explanatory variables in machine learning models does not improve predictions. The best ML model always uses 0 lags. This result is consistent with ARIMA analysis: the autoregressive component of these return series is very weak. Both model families reach the same conclusion independently, strengthening this interpretation.</w:t>
      </w:r>
    </w:p>
    <w:p>
      <w:pPr>
        <w:pStyle w:val="Textoindependiente"/>
      </w:pPr>
      <w:r>
        <w:t>Third, the advantage of weekly ARIMA over ML does not come from the autoregressive component but from the moving average (MA) component. This component indirectly captures the effect of unobserved external variables — macroeconomic news, central bank decisions, geopolitical events — through past prediction errors. ML models lack this mechanism because they are not provided with macroeconomic inputs. This explains why ARIMA shows better directional accuracy in several ETFs despite similar global RMSE values.</w:t>
      </w:r>
    </w:p>
    <w:p>
      <w:pPr>
        <w:pStyle w:val="Textoindependiente"/>
      </w:pPr>
      <w:r>
        <w:t>Fourth, using AIC rather than BIC for ARIMA model selection is justified in a prediction context. AIC penalizes model complexity less aggressively, making it more likely to retain MA terms that encode useful signal. BIC would sacrifice precisely the most valuable source of information in ARIMA models.</w:t>
      </w:r>
    </w:p>
    <w:p>
      <w:pPr>
        <w:pStyle w:val="Textoindependiente"/>
      </w:pPr>
      <w:r>
        <w:t>Fifth, the Markowitz backtest shows that ARIMA predictions do not clearly improve over the historical mean strategy during the evaluated period (2024-W30 to 2026-W05). The difference in final capital is only -0.13 percentage points. The last-value strategy achieves the highest cumulative return (6.46%) but at the cost of higher volatility (8.53%) and drawdown (-8.02%). Risk-adjusted differences between strategies, measured by the Sharpe ratio, are modest.</w:t>
      </w:r>
    </w:p>
    <w:p>
      <w:pPr>
        <w:pStyle w:val="Textoindependiente"/>
      </w:pPr>
      <w:r>
        <w:t>Overall, this work demonstrates that a small but real predictive signal exists in ETF returns, that weekly ARIMA models are best suited to capture it through their MA component, and that this signal is not yet strong enough to translate into a robust economic improvement in the Markowitz context during the analyzed period. This is an honest finding that highlights the current limits of market predictability rather than a negative result.</w:t>
      </w:r>
    </w:p>
    <w:p>
      <w:pPr>
        <w:pStyle w:val="Textoindependiente"/>
      </w:pPr>
      <w:r>
        <w:t>Future work should focus on: incorporating transaction costs in the backtest; enriching ML model inputs with macroeconomic variables; exploring more advanced models (LSTM, Transformer); applying rolling instead of expanding estimation windows; and evaluating the strategies across longer and more diverse market periods.</w:t>
      </w:r>
    </w:p>
    <w:p>
      <w:r>
        <w:br w:type="page"/>
      </w:r>
    </w:p>
    <w:p>
      <w:pPr>
        <w:pStyle w:val="PageHeading"/>
      </w:pPr>
      <w:r>
        <w:t>Bibliografía</w:t>
      </w:r>
    </w:p>
    <w:p>
      <w:pPr>
        <w:pStyle w:val="Bibliografa1"/>
      </w:pPr>
      <w:r>
        <w:t>Box, G. E. P., Jenkins, G. M., y Reinsel, G. C. (1994). Time Series Analysis: Forecasting and Control (3rd ed.). Prentice Hall.</w:t>
      </w:r>
    </w:p>
    <w:p>
      <w:pPr>
        <w:pStyle w:val="Bibliografa1"/>
      </w:pPr>
      <w:r>
        <w:t>Breiman, L. (2001). Random Forests. Machine Learning, 45(1), 5–32.</w:t>
      </w:r>
    </w:p>
    <w:p>
      <w:pPr>
        <w:pStyle w:val="Bibliografa1"/>
      </w:pPr>
      <w:r>
        <w:t>DeBondt, W. F. M., y Thaler, R. H. (1985). Does the Stock Market Overreact? The Journal of Finance, 40(3), 793–808.</w:t>
      </w:r>
    </w:p>
    <w:p>
      <w:pPr>
        <w:pStyle w:val="Bibliografa1"/>
      </w:pPr>
      <w:r>
        <w:t>Fama, E. F. (1970). Efficient Capital Markets: A Review of Theory and Empirical Work. The Journal of Finance, 25(2), 383–417.</w:t>
      </w:r>
    </w:p>
    <w:p>
      <w:pPr>
        <w:pStyle w:val="Bibliografa1"/>
      </w:pPr>
      <w:r>
        <w:t>Friedman, J. H. (2001). Greedy Function Approximation: A Gradient Boosting Machine. The Annals of Statistics, 29(5), 1189–1232.</w:t>
      </w:r>
    </w:p>
    <w:p>
      <w:pPr>
        <w:pStyle w:val="Bibliografa1"/>
      </w:pPr>
      <w:r>
        <w:t>Gastineau, G. L. (2002). The Exchange-Traded Fund Manual. John Wiley &amp; Sons.</w:t>
      </w:r>
    </w:p>
    <w:p>
      <w:pPr>
        <w:pStyle w:val="Bibliografa1"/>
      </w:pPr>
      <w:r>
        <w:t>Hoerl, A. E., y Kennard, R. W. (1970). Ridge Regression: Biased Estimation for Nonorthogonal Problems. Technometrics, 12(1), 55–67.</w:t>
      </w:r>
    </w:p>
    <w:p>
      <w:pPr>
        <w:pStyle w:val="Bibliografa1"/>
      </w:pPr>
      <w:r>
        <w:t>Jegadeesh, N., y Titman, S. (1993). Returns to Buying Winners and Selling Losers: Implications for Stock Market Efficiency. The Journal of Finance, 48(1), 65–91.</w:t>
      </w:r>
    </w:p>
    <w:p>
      <w:pPr>
        <w:pStyle w:val="Bibliografa1"/>
      </w:pPr>
      <w:r>
        <w:t>Ledoit, O., y Wolf, M. (2004). A Well-Conditioned Estimator for Large-Dimensional Covariance Matrices. Journal of Multivariate Analysis, 88(2), 365–411.</w:t>
      </w:r>
    </w:p>
    <w:p>
      <w:pPr>
        <w:pStyle w:val="Bibliografa1"/>
      </w:pPr>
      <w:r>
        <w:t>Lopez de Prado, M. (2018). Advances in Financial Machine Learning. John Wiley &amp; Sons.</w:t>
      </w:r>
    </w:p>
    <w:p>
      <w:pPr>
        <w:pStyle w:val="Bibliografa1"/>
      </w:pPr>
      <w:r>
        <w:t>Markowitz, H. (1952). Portfolio Selection. The Journal of Finance, 7(1), 77–91.</w:t>
      </w:r>
    </w:p>
    <w:p>
      <w:r>
        <w:br w:type="page"/>
      </w:r>
    </w:p>
    <w:p>
      <w:pPr>
        <w:pStyle w:val="PageHeading"/>
      </w:pPr>
      <w:r>
        <w:t>Apéndices</w:t>
      </w:r>
    </w:p>
    <w:p>
      <w:pPr>
        <w:pStyle w:val="Ttulo6"/>
      </w:pPr>
      <w:r>
        <w:t>Apéndice A — Listado completo de ETFs</w:t>
      </w:r>
    </w:p>
    <w:p>
      <w:pPr>
        <w:pStyle w:val="Textoindependiente"/>
      </w:pPr>
      <w:r>
        <w:t>La Tabla A-1 recoge los 58 ETFs utilizados en los modelos, agrupados por categoría.</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tcPr>
          <w:p>
            <w:r>
              <w:rPr>
                <w:b/>
              </w:rPr>
              <w:t>Ticker</w:t>
            </w:r>
          </w:p>
        </w:tc>
        <w:tc>
          <w:tcPr>
            <w:tcW w:type="dxa" w:w="2340"/>
          </w:tcPr>
          <w:p>
            <w:r>
              <w:rPr>
                <w:b/>
              </w:rPr>
              <w:t>Nombre abreviado</w:t>
            </w:r>
          </w:p>
        </w:tc>
        <w:tc>
          <w:tcPr>
            <w:tcW w:type="dxa" w:w="2340"/>
          </w:tcPr>
          <w:p>
            <w:r>
              <w:rPr>
                <w:b/>
              </w:rPr>
              <w:t>Categoría</w:t>
            </w:r>
          </w:p>
        </w:tc>
        <w:tc>
          <w:tcPr>
            <w:tcW w:type="dxa" w:w="2340"/>
          </w:tcPr>
          <w:p>
            <w:r>
              <w:rPr>
                <w:b/>
              </w:rPr>
              <w:t>Incluido en análisis</w:t>
            </w:r>
          </w:p>
        </w:tc>
      </w:tr>
      <w:tr>
        <w:tc>
          <w:tcPr>
            <w:tcW w:type="dxa" w:w="2340"/>
          </w:tcPr>
          <w:p>
            <w:r>
              <w:t>SPY</w:t>
            </w:r>
          </w:p>
        </w:tc>
        <w:tc>
          <w:tcPr>
            <w:tcW w:type="dxa" w:w="2340"/>
          </w:tcPr>
          <w:p>
            <w:r>
              <w:t>SPDR S&amp;P 500 ETF</w:t>
            </w:r>
          </w:p>
        </w:tc>
        <w:tc>
          <w:tcPr>
            <w:tcW w:type="dxa" w:w="2340"/>
          </w:tcPr>
          <w:p>
            <w:r>
              <w:t>Mercado US</w:t>
            </w:r>
          </w:p>
        </w:tc>
        <w:tc>
          <w:tcPr>
            <w:tcW w:type="dxa" w:w="2340"/>
          </w:tcPr>
          <w:p>
            <w:r>
              <w:t>Sí</w:t>
            </w:r>
          </w:p>
        </w:tc>
      </w:tr>
      <w:tr>
        <w:tc>
          <w:tcPr>
            <w:tcW w:type="dxa" w:w="2340"/>
          </w:tcPr>
          <w:p>
            <w:r>
              <w:t>IVV</w:t>
            </w:r>
          </w:p>
        </w:tc>
        <w:tc>
          <w:tcPr>
            <w:tcW w:type="dxa" w:w="2340"/>
          </w:tcPr>
          <w:p>
            <w:r>
              <w:t>iShares Core S&amp;P 500</w:t>
            </w:r>
          </w:p>
        </w:tc>
        <w:tc>
          <w:tcPr>
            <w:tcW w:type="dxa" w:w="2340"/>
          </w:tcPr>
          <w:p>
            <w:r>
              <w:t>Mercado US</w:t>
            </w:r>
          </w:p>
        </w:tc>
        <w:tc>
          <w:tcPr>
            <w:tcW w:type="dxa" w:w="2340"/>
          </w:tcPr>
          <w:p>
            <w:r>
              <w:t>Sí</w:t>
            </w:r>
          </w:p>
        </w:tc>
      </w:tr>
      <w:tr>
        <w:tc>
          <w:tcPr>
            <w:tcW w:type="dxa" w:w="2340"/>
          </w:tcPr>
          <w:p>
            <w:r>
              <w:t>VOO</w:t>
            </w:r>
          </w:p>
        </w:tc>
        <w:tc>
          <w:tcPr>
            <w:tcW w:type="dxa" w:w="2340"/>
          </w:tcPr>
          <w:p>
            <w:r>
              <w:t>Vanguard S&amp;P 500</w:t>
            </w:r>
          </w:p>
        </w:tc>
        <w:tc>
          <w:tcPr>
            <w:tcW w:type="dxa" w:w="2340"/>
          </w:tcPr>
          <w:p>
            <w:r>
              <w:t>Mercado US</w:t>
            </w:r>
          </w:p>
        </w:tc>
        <w:tc>
          <w:tcPr>
            <w:tcW w:type="dxa" w:w="2340"/>
          </w:tcPr>
          <w:p>
            <w:r>
              <w:t>Sí</w:t>
            </w:r>
          </w:p>
        </w:tc>
      </w:tr>
      <w:tr>
        <w:tc>
          <w:tcPr>
            <w:tcW w:type="dxa" w:w="2340"/>
          </w:tcPr>
          <w:p>
            <w:r>
              <w:t>QQQ</w:t>
            </w:r>
          </w:p>
        </w:tc>
        <w:tc>
          <w:tcPr>
            <w:tcW w:type="dxa" w:w="2340"/>
          </w:tcPr>
          <w:p>
            <w:r>
              <w:t>Invesco Nasdaq-100</w:t>
            </w:r>
          </w:p>
        </w:tc>
        <w:tc>
          <w:tcPr>
            <w:tcW w:type="dxa" w:w="2340"/>
          </w:tcPr>
          <w:p>
            <w:r>
              <w:t>Mercado US</w:t>
            </w:r>
          </w:p>
        </w:tc>
        <w:tc>
          <w:tcPr>
            <w:tcW w:type="dxa" w:w="2340"/>
          </w:tcPr>
          <w:p>
            <w:r>
              <w:t>Sí</w:t>
            </w:r>
          </w:p>
        </w:tc>
      </w:tr>
      <w:tr>
        <w:tc>
          <w:tcPr>
            <w:tcW w:type="dxa" w:w="2340"/>
          </w:tcPr>
          <w:p>
            <w:r>
              <w:t>VTI</w:t>
            </w:r>
          </w:p>
        </w:tc>
        <w:tc>
          <w:tcPr>
            <w:tcW w:type="dxa" w:w="2340"/>
          </w:tcPr>
          <w:p>
            <w:r>
              <w:t>Vanguard Total Stock Market</w:t>
            </w:r>
          </w:p>
        </w:tc>
        <w:tc>
          <w:tcPr>
            <w:tcW w:type="dxa" w:w="2340"/>
          </w:tcPr>
          <w:p>
            <w:r>
              <w:t>Mercado US</w:t>
            </w:r>
          </w:p>
        </w:tc>
        <w:tc>
          <w:tcPr>
            <w:tcW w:type="dxa" w:w="2340"/>
          </w:tcPr>
          <w:p>
            <w:r>
              <w:t>Sí</w:t>
            </w:r>
          </w:p>
        </w:tc>
      </w:tr>
      <w:tr>
        <w:tc>
          <w:tcPr>
            <w:tcW w:type="dxa" w:w="2340"/>
          </w:tcPr>
          <w:p>
            <w:r>
              <w:t>ITOT</w:t>
            </w:r>
          </w:p>
        </w:tc>
        <w:tc>
          <w:tcPr>
            <w:tcW w:type="dxa" w:w="2340"/>
          </w:tcPr>
          <w:p>
            <w:r>
              <w:t>iShares Core S&amp;P Total US</w:t>
            </w:r>
          </w:p>
        </w:tc>
        <w:tc>
          <w:tcPr>
            <w:tcW w:type="dxa" w:w="2340"/>
          </w:tcPr>
          <w:p>
            <w:r>
              <w:t>Mercado US</w:t>
            </w:r>
          </w:p>
        </w:tc>
        <w:tc>
          <w:tcPr>
            <w:tcW w:type="dxa" w:w="2340"/>
          </w:tcPr>
          <w:p>
            <w:r>
              <w:t>Sí</w:t>
            </w:r>
          </w:p>
        </w:tc>
      </w:tr>
      <w:tr>
        <w:tc>
          <w:tcPr>
            <w:tcW w:type="dxa" w:w="2340"/>
          </w:tcPr>
          <w:p>
            <w:r>
              <w:t>DIA</w:t>
            </w:r>
          </w:p>
        </w:tc>
        <w:tc>
          <w:tcPr>
            <w:tcW w:type="dxa" w:w="2340"/>
          </w:tcPr>
          <w:p>
            <w:r>
              <w:t>SPDR Dow Jones Industrial</w:t>
            </w:r>
          </w:p>
        </w:tc>
        <w:tc>
          <w:tcPr>
            <w:tcW w:type="dxa" w:w="2340"/>
          </w:tcPr>
          <w:p>
            <w:r>
              <w:t>Mercado US</w:t>
            </w:r>
          </w:p>
        </w:tc>
        <w:tc>
          <w:tcPr>
            <w:tcW w:type="dxa" w:w="2340"/>
          </w:tcPr>
          <w:p>
            <w:r>
              <w:t>Sí</w:t>
            </w:r>
          </w:p>
        </w:tc>
      </w:tr>
      <w:tr>
        <w:tc>
          <w:tcPr>
            <w:tcW w:type="dxa" w:w="2340"/>
          </w:tcPr>
          <w:p>
            <w:r>
              <w:t>IWM</w:t>
            </w:r>
          </w:p>
        </w:tc>
        <w:tc>
          <w:tcPr>
            <w:tcW w:type="dxa" w:w="2340"/>
          </w:tcPr>
          <w:p>
            <w:r>
              <w:t>iShares Russell 2000</w:t>
            </w:r>
          </w:p>
        </w:tc>
        <w:tc>
          <w:tcPr>
            <w:tcW w:type="dxa" w:w="2340"/>
          </w:tcPr>
          <w:p>
            <w:r>
              <w:t>Mercado US</w:t>
            </w:r>
          </w:p>
        </w:tc>
        <w:tc>
          <w:tcPr>
            <w:tcW w:type="dxa" w:w="2340"/>
          </w:tcPr>
          <w:p>
            <w:r>
              <w:t>Sí</w:t>
            </w:r>
          </w:p>
        </w:tc>
      </w:tr>
      <w:tr>
        <w:tc>
          <w:tcPr>
            <w:tcW w:type="dxa" w:w="2340"/>
          </w:tcPr>
          <w:p>
            <w:r>
              <w:t>IJR</w:t>
            </w:r>
          </w:p>
        </w:tc>
        <w:tc>
          <w:tcPr>
            <w:tcW w:type="dxa" w:w="2340"/>
          </w:tcPr>
          <w:p>
            <w:r>
              <w:t>iShares Core S&amp;P Small-Cap</w:t>
            </w:r>
          </w:p>
        </w:tc>
        <w:tc>
          <w:tcPr>
            <w:tcW w:type="dxa" w:w="2340"/>
          </w:tcPr>
          <w:p>
            <w:r>
              <w:t>Mercado US</w:t>
            </w:r>
          </w:p>
        </w:tc>
        <w:tc>
          <w:tcPr>
            <w:tcW w:type="dxa" w:w="2340"/>
          </w:tcPr>
          <w:p>
            <w:r>
              <w:t>Sí</w:t>
            </w:r>
          </w:p>
        </w:tc>
      </w:tr>
      <w:tr>
        <w:tc>
          <w:tcPr>
            <w:tcW w:type="dxa" w:w="2340"/>
          </w:tcPr>
          <w:p>
            <w:r>
              <w:t>MDY</w:t>
            </w:r>
          </w:p>
        </w:tc>
        <w:tc>
          <w:tcPr>
            <w:tcW w:type="dxa" w:w="2340"/>
          </w:tcPr>
          <w:p>
            <w:r>
              <w:t>SPDR S&amp;P MidCap 400</w:t>
            </w:r>
          </w:p>
        </w:tc>
        <w:tc>
          <w:tcPr>
            <w:tcW w:type="dxa" w:w="2340"/>
          </w:tcPr>
          <w:p>
            <w:r>
              <w:t>Mercado US</w:t>
            </w:r>
          </w:p>
        </w:tc>
        <w:tc>
          <w:tcPr>
            <w:tcW w:type="dxa" w:w="2340"/>
          </w:tcPr>
          <w:p>
            <w:r>
              <w:t>Sí</w:t>
            </w:r>
          </w:p>
        </w:tc>
      </w:tr>
      <w:tr>
        <w:tc>
          <w:tcPr>
            <w:tcW w:type="dxa" w:w="2340"/>
          </w:tcPr>
          <w:p>
            <w:r>
              <w:t>VUG</w:t>
            </w:r>
          </w:p>
        </w:tc>
        <w:tc>
          <w:tcPr>
            <w:tcW w:type="dxa" w:w="2340"/>
          </w:tcPr>
          <w:p>
            <w:r>
              <w:t>Vanguard Growth</w:t>
            </w:r>
          </w:p>
        </w:tc>
        <w:tc>
          <w:tcPr>
            <w:tcW w:type="dxa" w:w="2340"/>
          </w:tcPr>
          <w:p>
            <w:r>
              <w:t>Factores y estilos</w:t>
            </w:r>
          </w:p>
        </w:tc>
        <w:tc>
          <w:tcPr>
            <w:tcW w:type="dxa" w:w="2340"/>
          </w:tcPr>
          <w:p>
            <w:r>
              <w:t>Sí</w:t>
            </w:r>
          </w:p>
        </w:tc>
      </w:tr>
      <w:tr>
        <w:tc>
          <w:tcPr>
            <w:tcW w:type="dxa" w:w="2340"/>
          </w:tcPr>
          <w:p>
            <w:r>
              <w:t>IWF</w:t>
            </w:r>
          </w:p>
        </w:tc>
        <w:tc>
          <w:tcPr>
            <w:tcW w:type="dxa" w:w="2340"/>
          </w:tcPr>
          <w:p>
            <w:r>
              <w:t>iShares Russell 1000 Growth</w:t>
            </w:r>
          </w:p>
        </w:tc>
        <w:tc>
          <w:tcPr>
            <w:tcW w:type="dxa" w:w="2340"/>
          </w:tcPr>
          <w:p>
            <w:r>
              <w:t>Factores y estilos</w:t>
            </w:r>
          </w:p>
        </w:tc>
        <w:tc>
          <w:tcPr>
            <w:tcW w:type="dxa" w:w="2340"/>
          </w:tcPr>
          <w:p>
            <w:r>
              <w:t>Sí</w:t>
            </w:r>
          </w:p>
        </w:tc>
      </w:tr>
      <w:tr>
        <w:tc>
          <w:tcPr>
            <w:tcW w:type="dxa" w:w="2340"/>
          </w:tcPr>
          <w:p>
            <w:r>
              <w:t>VTV</w:t>
            </w:r>
          </w:p>
        </w:tc>
        <w:tc>
          <w:tcPr>
            <w:tcW w:type="dxa" w:w="2340"/>
          </w:tcPr>
          <w:p>
            <w:r>
              <w:t>Vanguard Value</w:t>
            </w:r>
          </w:p>
        </w:tc>
        <w:tc>
          <w:tcPr>
            <w:tcW w:type="dxa" w:w="2340"/>
          </w:tcPr>
          <w:p>
            <w:r>
              <w:t>Factores y estilos</w:t>
            </w:r>
          </w:p>
        </w:tc>
        <w:tc>
          <w:tcPr>
            <w:tcW w:type="dxa" w:w="2340"/>
          </w:tcPr>
          <w:p>
            <w:r>
              <w:t>Sí</w:t>
            </w:r>
          </w:p>
        </w:tc>
      </w:tr>
      <w:tr>
        <w:tc>
          <w:tcPr>
            <w:tcW w:type="dxa" w:w="2340"/>
          </w:tcPr>
          <w:p>
            <w:r>
              <w:t>IWD</w:t>
            </w:r>
          </w:p>
        </w:tc>
        <w:tc>
          <w:tcPr>
            <w:tcW w:type="dxa" w:w="2340"/>
          </w:tcPr>
          <w:p>
            <w:r>
              <w:t>iShares Russell 1000 Value</w:t>
            </w:r>
          </w:p>
        </w:tc>
        <w:tc>
          <w:tcPr>
            <w:tcW w:type="dxa" w:w="2340"/>
          </w:tcPr>
          <w:p>
            <w:r>
              <w:t>Factores y estilos</w:t>
            </w:r>
          </w:p>
        </w:tc>
        <w:tc>
          <w:tcPr>
            <w:tcW w:type="dxa" w:w="2340"/>
          </w:tcPr>
          <w:p>
            <w:r>
              <w:t>Sí</w:t>
            </w:r>
          </w:p>
        </w:tc>
      </w:tr>
      <w:tr>
        <w:tc>
          <w:tcPr>
            <w:tcW w:type="dxa" w:w="2340"/>
          </w:tcPr>
          <w:p>
            <w:r>
              <w:t>SCHD</w:t>
            </w:r>
          </w:p>
        </w:tc>
        <w:tc>
          <w:tcPr>
            <w:tcW w:type="dxa" w:w="2340"/>
          </w:tcPr>
          <w:p>
            <w:r>
              <w:t>Schwab US Dividend Equity</w:t>
            </w:r>
          </w:p>
        </w:tc>
        <w:tc>
          <w:tcPr>
            <w:tcW w:type="dxa" w:w="2340"/>
          </w:tcPr>
          <w:p>
            <w:r>
              <w:t>Factores y estilos</w:t>
            </w:r>
          </w:p>
        </w:tc>
        <w:tc>
          <w:tcPr>
            <w:tcW w:type="dxa" w:w="2340"/>
          </w:tcPr>
          <w:p>
            <w:r>
              <w:t>Sí</w:t>
            </w:r>
          </w:p>
        </w:tc>
      </w:tr>
      <w:tr>
        <w:tc>
          <w:tcPr>
            <w:tcW w:type="dxa" w:w="2340"/>
          </w:tcPr>
          <w:p>
            <w:r>
              <w:t>VIG</w:t>
            </w:r>
          </w:p>
        </w:tc>
        <w:tc>
          <w:tcPr>
            <w:tcW w:type="dxa" w:w="2340"/>
          </w:tcPr>
          <w:p>
            <w:r>
              <w:t>Vanguard Dividend Appreciation</w:t>
            </w:r>
          </w:p>
        </w:tc>
        <w:tc>
          <w:tcPr>
            <w:tcW w:type="dxa" w:w="2340"/>
          </w:tcPr>
          <w:p>
            <w:r>
              <w:t>Factores y estilos</w:t>
            </w:r>
          </w:p>
        </w:tc>
        <w:tc>
          <w:tcPr>
            <w:tcW w:type="dxa" w:w="2340"/>
          </w:tcPr>
          <w:p>
            <w:r>
              <w:t>Sí</w:t>
            </w:r>
          </w:p>
        </w:tc>
      </w:tr>
      <w:tr>
        <w:tc>
          <w:tcPr>
            <w:tcW w:type="dxa" w:w="2340"/>
          </w:tcPr>
          <w:p>
            <w:r>
              <w:t>DVY</w:t>
            </w:r>
          </w:p>
        </w:tc>
        <w:tc>
          <w:tcPr>
            <w:tcW w:type="dxa" w:w="2340"/>
          </w:tcPr>
          <w:p>
            <w:r>
              <w:t>iShares Select Dividend</w:t>
            </w:r>
          </w:p>
        </w:tc>
        <w:tc>
          <w:tcPr>
            <w:tcW w:type="dxa" w:w="2340"/>
          </w:tcPr>
          <w:p>
            <w:r>
              <w:t>Factores y estilos</w:t>
            </w:r>
          </w:p>
        </w:tc>
        <w:tc>
          <w:tcPr>
            <w:tcW w:type="dxa" w:w="2340"/>
          </w:tcPr>
          <w:p>
            <w:r>
              <w:t>Sí</w:t>
            </w:r>
          </w:p>
        </w:tc>
      </w:tr>
      <w:tr>
        <w:tc>
          <w:tcPr>
            <w:tcW w:type="dxa" w:w="2340"/>
          </w:tcPr>
          <w:p>
            <w:r>
              <w:t>MTUM</w:t>
            </w:r>
          </w:p>
        </w:tc>
        <w:tc>
          <w:tcPr>
            <w:tcW w:type="dxa" w:w="2340"/>
          </w:tcPr>
          <w:p>
            <w:r>
              <w:t>iShares MSCI USA Momentum</w:t>
            </w:r>
          </w:p>
        </w:tc>
        <w:tc>
          <w:tcPr>
            <w:tcW w:type="dxa" w:w="2340"/>
          </w:tcPr>
          <w:p>
            <w:r>
              <w:t>Factores y estilos</w:t>
            </w:r>
          </w:p>
        </w:tc>
        <w:tc>
          <w:tcPr>
            <w:tcW w:type="dxa" w:w="2340"/>
          </w:tcPr>
          <w:p>
            <w:r>
              <w:t>Sí</w:t>
            </w:r>
          </w:p>
        </w:tc>
      </w:tr>
      <w:tr>
        <w:tc>
          <w:tcPr>
            <w:tcW w:type="dxa" w:w="2340"/>
          </w:tcPr>
          <w:p>
            <w:r>
              <w:t>QUAL</w:t>
            </w:r>
          </w:p>
        </w:tc>
        <w:tc>
          <w:tcPr>
            <w:tcW w:type="dxa" w:w="2340"/>
          </w:tcPr>
          <w:p>
            <w:r>
              <w:t>iShares MSCI USA Quality</w:t>
            </w:r>
          </w:p>
        </w:tc>
        <w:tc>
          <w:tcPr>
            <w:tcW w:type="dxa" w:w="2340"/>
          </w:tcPr>
          <w:p>
            <w:r>
              <w:t>Factores y estilos</w:t>
            </w:r>
          </w:p>
        </w:tc>
        <w:tc>
          <w:tcPr>
            <w:tcW w:type="dxa" w:w="2340"/>
          </w:tcPr>
          <w:p>
            <w:r>
              <w:t>Sí</w:t>
            </w:r>
          </w:p>
        </w:tc>
      </w:tr>
      <w:tr>
        <w:tc>
          <w:tcPr>
            <w:tcW w:type="dxa" w:w="2340"/>
          </w:tcPr>
          <w:p>
            <w:r>
              <w:t>USMV</w:t>
            </w:r>
          </w:p>
        </w:tc>
        <w:tc>
          <w:tcPr>
            <w:tcW w:type="dxa" w:w="2340"/>
          </w:tcPr>
          <w:p>
            <w:r>
              <w:t>iShares MSCI USA Min Vol</w:t>
            </w:r>
          </w:p>
        </w:tc>
        <w:tc>
          <w:tcPr>
            <w:tcW w:type="dxa" w:w="2340"/>
          </w:tcPr>
          <w:p>
            <w:r>
              <w:t>Factores y estilos</w:t>
            </w:r>
          </w:p>
        </w:tc>
        <w:tc>
          <w:tcPr>
            <w:tcW w:type="dxa" w:w="2340"/>
          </w:tcPr>
          <w:p>
            <w:r>
              <w:t>Sí</w:t>
            </w:r>
          </w:p>
        </w:tc>
      </w:tr>
      <w:tr>
        <w:tc>
          <w:tcPr>
            <w:tcW w:type="dxa" w:w="2340"/>
          </w:tcPr>
          <w:p>
            <w:r>
              <w:t>VLUE</w:t>
            </w:r>
          </w:p>
        </w:tc>
        <w:tc>
          <w:tcPr>
            <w:tcW w:type="dxa" w:w="2340"/>
          </w:tcPr>
          <w:p>
            <w:r>
              <w:t>iShares MSCI USA Value</w:t>
            </w:r>
          </w:p>
        </w:tc>
        <w:tc>
          <w:tcPr>
            <w:tcW w:type="dxa" w:w="2340"/>
          </w:tcPr>
          <w:p>
            <w:r>
              <w:t>Factores y estilos</w:t>
            </w:r>
          </w:p>
        </w:tc>
        <w:tc>
          <w:tcPr>
            <w:tcW w:type="dxa" w:w="2340"/>
          </w:tcPr>
          <w:p>
            <w:r>
              <w:t>Sí</w:t>
            </w:r>
          </w:p>
        </w:tc>
      </w:tr>
      <w:tr>
        <w:tc>
          <w:tcPr>
            <w:tcW w:type="dxa" w:w="2340"/>
          </w:tcPr>
          <w:p>
            <w:r>
              <w:t>XLK</w:t>
            </w:r>
          </w:p>
        </w:tc>
        <w:tc>
          <w:tcPr>
            <w:tcW w:type="dxa" w:w="2340"/>
          </w:tcPr>
          <w:p>
            <w:r>
              <w:t>Technology Select Sector SPDR</w:t>
            </w:r>
          </w:p>
        </w:tc>
        <w:tc>
          <w:tcPr>
            <w:tcW w:type="dxa" w:w="2340"/>
          </w:tcPr>
          <w:p>
            <w:r>
              <w:t>Sectores</w:t>
            </w:r>
          </w:p>
        </w:tc>
        <w:tc>
          <w:tcPr>
            <w:tcW w:type="dxa" w:w="2340"/>
          </w:tcPr>
          <w:p>
            <w:r>
              <w:t>Sí</w:t>
            </w:r>
          </w:p>
        </w:tc>
      </w:tr>
      <w:tr>
        <w:tc>
          <w:tcPr>
            <w:tcW w:type="dxa" w:w="2340"/>
          </w:tcPr>
          <w:p>
            <w:r>
              <w:t>XLF</w:t>
            </w:r>
          </w:p>
        </w:tc>
        <w:tc>
          <w:tcPr>
            <w:tcW w:type="dxa" w:w="2340"/>
          </w:tcPr>
          <w:p>
            <w:r>
              <w:t>Financial Select Sector SPDR</w:t>
            </w:r>
          </w:p>
        </w:tc>
        <w:tc>
          <w:tcPr>
            <w:tcW w:type="dxa" w:w="2340"/>
          </w:tcPr>
          <w:p>
            <w:r>
              <w:t>Sectores</w:t>
            </w:r>
          </w:p>
        </w:tc>
        <w:tc>
          <w:tcPr>
            <w:tcW w:type="dxa" w:w="2340"/>
          </w:tcPr>
          <w:p>
            <w:r>
              <w:t>Sí</w:t>
            </w:r>
          </w:p>
        </w:tc>
      </w:tr>
      <w:tr>
        <w:tc>
          <w:tcPr>
            <w:tcW w:type="dxa" w:w="2340"/>
          </w:tcPr>
          <w:p>
            <w:r>
              <w:t>XLV</w:t>
            </w:r>
          </w:p>
        </w:tc>
        <w:tc>
          <w:tcPr>
            <w:tcW w:type="dxa" w:w="2340"/>
          </w:tcPr>
          <w:p>
            <w:r>
              <w:t>Health Care Select Sector SPDR</w:t>
            </w:r>
          </w:p>
        </w:tc>
        <w:tc>
          <w:tcPr>
            <w:tcW w:type="dxa" w:w="2340"/>
          </w:tcPr>
          <w:p>
            <w:r>
              <w:t>Sectores</w:t>
            </w:r>
          </w:p>
        </w:tc>
        <w:tc>
          <w:tcPr>
            <w:tcW w:type="dxa" w:w="2340"/>
          </w:tcPr>
          <w:p>
            <w:r>
              <w:t>Sí</w:t>
            </w:r>
          </w:p>
        </w:tc>
      </w:tr>
      <w:tr>
        <w:tc>
          <w:tcPr>
            <w:tcW w:type="dxa" w:w="2340"/>
          </w:tcPr>
          <w:p>
            <w:r>
              <w:t>XLY</w:t>
            </w:r>
          </w:p>
        </w:tc>
        <w:tc>
          <w:tcPr>
            <w:tcW w:type="dxa" w:w="2340"/>
          </w:tcPr>
          <w:p>
            <w:r>
              <w:t>Consumer Discretionary SPDR</w:t>
            </w:r>
          </w:p>
        </w:tc>
        <w:tc>
          <w:tcPr>
            <w:tcW w:type="dxa" w:w="2340"/>
          </w:tcPr>
          <w:p>
            <w:r>
              <w:t>Sectores</w:t>
            </w:r>
          </w:p>
        </w:tc>
        <w:tc>
          <w:tcPr>
            <w:tcW w:type="dxa" w:w="2340"/>
          </w:tcPr>
          <w:p>
            <w:r>
              <w:t>Sí</w:t>
            </w:r>
          </w:p>
        </w:tc>
      </w:tr>
      <w:tr>
        <w:tc>
          <w:tcPr>
            <w:tcW w:type="dxa" w:w="2340"/>
          </w:tcPr>
          <w:p>
            <w:r>
              <w:t>XLP</w:t>
            </w:r>
          </w:p>
        </w:tc>
        <w:tc>
          <w:tcPr>
            <w:tcW w:type="dxa" w:w="2340"/>
          </w:tcPr>
          <w:p>
            <w:r>
              <w:t>Consumer Staples SPDR</w:t>
            </w:r>
          </w:p>
        </w:tc>
        <w:tc>
          <w:tcPr>
            <w:tcW w:type="dxa" w:w="2340"/>
          </w:tcPr>
          <w:p>
            <w:r>
              <w:t>Sectores</w:t>
            </w:r>
          </w:p>
        </w:tc>
        <w:tc>
          <w:tcPr>
            <w:tcW w:type="dxa" w:w="2340"/>
          </w:tcPr>
          <w:p>
            <w:r>
              <w:t>Sí</w:t>
            </w:r>
          </w:p>
        </w:tc>
      </w:tr>
      <w:tr>
        <w:tc>
          <w:tcPr>
            <w:tcW w:type="dxa" w:w="2340"/>
          </w:tcPr>
          <w:p>
            <w:r>
              <w:t>XLE</w:t>
            </w:r>
          </w:p>
        </w:tc>
        <w:tc>
          <w:tcPr>
            <w:tcW w:type="dxa" w:w="2340"/>
          </w:tcPr>
          <w:p>
            <w:r>
              <w:t>Energy Select Sector SPDR</w:t>
            </w:r>
          </w:p>
        </w:tc>
        <w:tc>
          <w:tcPr>
            <w:tcW w:type="dxa" w:w="2340"/>
          </w:tcPr>
          <w:p>
            <w:r>
              <w:t>Sectores</w:t>
            </w:r>
          </w:p>
        </w:tc>
        <w:tc>
          <w:tcPr>
            <w:tcW w:type="dxa" w:w="2340"/>
          </w:tcPr>
          <w:p>
            <w:r>
              <w:t>Sí</w:t>
            </w:r>
          </w:p>
        </w:tc>
      </w:tr>
      <w:tr>
        <w:tc>
          <w:tcPr>
            <w:tcW w:type="dxa" w:w="2340"/>
          </w:tcPr>
          <w:p>
            <w:r>
              <w:t>XLI</w:t>
            </w:r>
          </w:p>
        </w:tc>
        <w:tc>
          <w:tcPr>
            <w:tcW w:type="dxa" w:w="2340"/>
          </w:tcPr>
          <w:p>
            <w:r>
              <w:t>Industrial Select Sector SPDR</w:t>
            </w:r>
          </w:p>
        </w:tc>
        <w:tc>
          <w:tcPr>
            <w:tcW w:type="dxa" w:w="2340"/>
          </w:tcPr>
          <w:p>
            <w:r>
              <w:t>Sectores</w:t>
            </w:r>
          </w:p>
        </w:tc>
        <w:tc>
          <w:tcPr>
            <w:tcW w:type="dxa" w:w="2340"/>
          </w:tcPr>
          <w:p>
            <w:r>
              <w:t>Sí</w:t>
            </w:r>
          </w:p>
        </w:tc>
      </w:tr>
      <w:tr>
        <w:tc>
          <w:tcPr>
            <w:tcW w:type="dxa" w:w="2340"/>
          </w:tcPr>
          <w:p>
            <w:r>
              <w:t>XLU</w:t>
            </w:r>
          </w:p>
        </w:tc>
        <w:tc>
          <w:tcPr>
            <w:tcW w:type="dxa" w:w="2340"/>
          </w:tcPr>
          <w:p>
            <w:r>
              <w:t>Utilities Select Sector SPDR</w:t>
            </w:r>
          </w:p>
        </w:tc>
        <w:tc>
          <w:tcPr>
            <w:tcW w:type="dxa" w:w="2340"/>
          </w:tcPr>
          <w:p>
            <w:r>
              <w:t>Sectores</w:t>
            </w:r>
          </w:p>
        </w:tc>
        <w:tc>
          <w:tcPr>
            <w:tcW w:type="dxa" w:w="2340"/>
          </w:tcPr>
          <w:p>
            <w:r>
              <w:t>Sí</w:t>
            </w:r>
          </w:p>
        </w:tc>
      </w:tr>
      <w:tr>
        <w:tc>
          <w:tcPr>
            <w:tcW w:type="dxa" w:w="2340"/>
          </w:tcPr>
          <w:p>
            <w:r>
              <w:t>XLB</w:t>
            </w:r>
          </w:p>
        </w:tc>
        <w:tc>
          <w:tcPr>
            <w:tcW w:type="dxa" w:w="2340"/>
          </w:tcPr>
          <w:p>
            <w:r>
              <w:t>Materials Select Sector SPDR</w:t>
            </w:r>
          </w:p>
        </w:tc>
        <w:tc>
          <w:tcPr>
            <w:tcW w:type="dxa" w:w="2340"/>
          </w:tcPr>
          <w:p>
            <w:r>
              <w:t>Sectores</w:t>
            </w:r>
          </w:p>
        </w:tc>
        <w:tc>
          <w:tcPr>
            <w:tcW w:type="dxa" w:w="2340"/>
          </w:tcPr>
          <w:p>
            <w:r>
              <w:t>Sí</w:t>
            </w:r>
          </w:p>
        </w:tc>
      </w:tr>
      <w:tr>
        <w:tc>
          <w:tcPr>
            <w:tcW w:type="dxa" w:w="2340"/>
          </w:tcPr>
          <w:p>
            <w:r>
              <w:t>XLRE</w:t>
            </w:r>
          </w:p>
        </w:tc>
        <w:tc>
          <w:tcPr>
            <w:tcW w:type="dxa" w:w="2340"/>
          </w:tcPr>
          <w:p>
            <w:r>
              <w:t>Real Estate Select Sector SPDR</w:t>
            </w:r>
          </w:p>
        </w:tc>
        <w:tc>
          <w:tcPr>
            <w:tcW w:type="dxa" w:w="2340"/>
          </w:tcPr>
          <w:p>
            <w:r>
              <w:t>Sectores</w:t>
            </w:r>
          </w:p>
        </w:tc>
        <w:tc>
          <w:tcPr>
            <w:tcW w:type="dxa" w:w="2340"/>
          </w:tcPr>
          <w:p>
            <w:r>
              <w:t>Sí</w:t>
            </w:r>
          </w:p>
        </w:tc>
      </w:tr>
      <w:tr>
        <w:tc>
          <w:tcPr>
            <w:tcW w:type="dxa" w:w="2340"/>
          </w:tcPr>
          <w:p>
            <w:r>
              <w:t>VEA</w:t>
            </w:r>
          </w:p>
        </w:tc>
        <w:tc>
          <w:tcPr>
            <w:tcW w:type="dxa" w:w="2340"/>
          </w:tcPr>
          <w:p>
            <w:r>
              <w:t>Vanguard FTSE Developed Markets</w:t>
            </w:r>
          </w:p>
        </w:tc>
        <w:tc>
          <w:tcPr>
            <w:tcW w:type="dxa" w:w="2340"/>
          </w:tcPr>
          <w:p>
            <w:r>
              <w:t>Internacionales</w:t>
            </w:r>
          </w:p>
        </w:tc>
        <w:tc>
          <w:tcPr>
            <w:tcW w:type="dxa" w:w="2340"/>
          </w:tcPr>
          <w:p>
            <w:r>
              <w:t>Sí</w:t>
            </w:r>
          </w:p>
        </w:tc>
      </w:tr>
      <w:tr>
        <w:tc>
          <w:tcPr>
            <w:tcW w:type="dxa" w:w="2340"/>
          </w:tcPr>
          <w:p>
            <w:r>
              <w:t>IEFA</w:t>
            </w:r>
          </w:p>
        </w:tc>
        <w:tc>
          <w:tcPr>
            <w:tcW w:type="dxa" w:w="2340"/>
          </w:tcPr>
          <w:p>
            <w:r>
              <w:t>iShares Core MSCI EAFE</w:t>
            </w:r>
          </w:p>
        </w:tc>
        <w:tc>
          <w:tcPr>
            <w:tcW w:type="dxa" w:w="2340"/>
          </w:tcPr>
          <w:p>
            <w:r>
              <w:t>Internacionales</w:t>
            </w:r>
          </w:p>
        </w:tc>
        <w:tc>
          <w:tcPr>
            <w:tcW w:type="dxa" w:w="2340"/>
          </w:tcPr>
          <w:p>
            <w:r>
              <w:t>Sí</w:t>
            </w:r>
          </w:p>
        </w:tc>
      </w:tr>
      <w:tr>
        <w:tc>
          <w:tcPr>
            <w:tcW w:type="dxa" w:w="2340"/>
          </w:tcPr>
          <w:p>
            <w:r>
              <w:t>VWO</w:t>
            </w:r>
          </w:p>
        </w:tc>
        <w:tc>
          <w:tcPr>
            <w:tcW w:type="dxa" w:w="2340"/>
          </w:tcPr>
          <w:p>
            <w:r>
              <w:t>Vanguard FTSE Emerging Markets</w:t>
            </w:r>
          </w:p>
        </w:tc>
        <w:tc>
          <w:tcPr>
            <w:tcW w:type="dxa" w:w="2340"/>
          </w:tcPr>
          <w:p>
            <w:r>
              <w:t>Internacionales</w:t>
            </w:r>
          </w:p>
        </w:tc>
        <w:tc>
          <w:tcPr>
            <w:tcW w:type="dxa" w:w="2340"/>
          </w:tcPr>
          <w:p>
            <w:r>
              <w:t>Sí</w:t>
            </w:r>
          </w:p>
        </w:tc>
      </w:tr>
      <w:tr>
        <w:tc>
          <w:tcPr>
            <w:tcW w:type="dxa" w:w="2340"/>
          </w:tcPr>
          <w:p>
            <w:r>
              <w:t>IEMG</w:t>
            </w:r>
          </w:p>
        </w:tc>
        <w:tc>
          <w:tcPr>
            <w:tcW w:type="dxa" w:w="2340"/>
          </w:tcPr>
          <w:p>
            <w:r>
              <w:t>iShares Core MSCI Emerging Markets</w:t>
            </w:r>
          </w:p>
        </w:tc>
        <w:tc>
          <w:tcPr>
            <w:tcW w:type="dxa" w:w="2340"/>
          </w:tcPr>
          <w:p>
            <w:r>
              <w:t>Internacionales</w:t>
            </w:r>
          </w:p>
        </w:tc>
        <w:tc>
          <w:tcPr>
            <w:tcW w:type="dxa" w:w="2340"/>
          </w:tcPr>
          <w:p>
            <w:r>
              <w:t>Sí</w:t>
            </w:r>
          </w:p>
        </w:tc>
      </w:tr>
      <w:tr>
        <w:tc>
          <w:tcPr>
            <w:tcW w:type="dxa" w:w="2340"/>
          </w:tcPr>
          <w:p>
            <w:r>
              <w:t>EFA</w:t>
            </w:r>
          </w:p>
        </w:tc>
        <w:tc>
          <w:tcPr>
            <w:tcW w:type="dxa" w:w="2340"/>
          </w:tcPr>
          <w:p>
            <w:r>
              <w:t>iShares MSCI EAFE</w:t>
            </w:r>
          </w:p>
        </w:tc>
        <w:tc>
          <w:tcPr>
            <w:tcW w:type="dxa" w:w="2340"/>
          </w:tcPr>
          <w:p>
            <w:r>
              <w:t>Internacionales</w:t>
            </w:r>
          </w:p>
        </w:tc>
        <w:tc>
          <w:tcPr>
            <w:tcW w:type="dxa" w:w="2340"/>
          </w:tcPr>
          <w:p>
            <w:r>
              <w:t>Sí</w:t>
            </w:r>
          </w:p>
        </w:tc>
      </w:tr>
      <w:tr>
        <w:tc>
          <w:tcPr>
            <w:tcW w:type="dxa" w:w="2340"/>
          </w:tcPr>
          <w:p>
            <w:r>
              <w:t>EEM</w:t>
            </w:r>
          </w:p>
        </w:tc>
        <w:tc>
          <w:tcPr>
            <w:tcW w:type="dxa" w:w="2340"/>
          </w:tcPr>
          <w:p>
            <w:r>
              <w:t>iShares MSCI Emerging Markets</w:t>
            </w:r>
          </w:p>
        </w:tc>
        <w:tc>
          <w:tcPr>
            <w:tcW w:type="dxa" w:w="2340"/>
          </w:tcPr>
          <w:p>
            <w:r>
              <w:t>Internacionales</w:t>
            </w:r>
          </w:p>
        </w:tc>
        <w:tc>
          <w:tcPr>
            <w:tcW w:type="dxa" w:w="2340"/>
          </w:tcPr>
          <w:p>
            <w:r>
              <w:t>Sí</w:t>
            </w:r>
          </w:p>
        </w:tc>
      </w:tr>
      <w:tr>
        <w:tc>
          <w:tcPr>
            <w:tcW w:type="dxa" w:w="2340"/>
          </w:tcPr>
          <w:p>
            <w:r>
              <w:t>EWJ</w:t>
            </w:r>
          </w:p>
        </w:tc>
        <w:tc>
          <w:tcPr>
            <w:tcW w:type="dxa" w:w="2340"/>
          </w:tcPr>
          <w:p>
            <w:r>
              <w:t>iShares MSCI Japan</w:t>
            </w:r>
          </w:p>
        </w:tc>
        <w:tc>
          <w:tcPr>
            <w:tcW w:type="dxa" w:w="2340"/>
          </w:tcPr>
          <w:p>
            <w:r>
              <w:t>Internacionales</w:t>
            </w:r>
          </w:p>
        </w:tc>
        <w:tc>
          <w:tcPr>
            <w:tcW w:type="dxa" w:w="2340"/>
          </w:tcPr>
          <w:p>
            <w:r>
              <w:t>Sí</w:t>
            </w:r>
          </w:p>
        </w:tc>
      </w:tr>
      <w:tr>
        <w:tc>
          <w:tcPr>
            <w:tcW w:type="dxa" w:w="2340"/>
          </w:tcPr>
          <w:p>
            <w:r>
              <w:t>EWG</w:t>
            </w:r>
          </w:p>
        </w:tc>
        <w:tc>
          <w:tcPr>
            <w:tcW w:type="dxa" w:w="2340"/>
          </w:tcPr>
          <w:p>
            <w:r>
              <w:t>iShares MSCI Germany</w:t>
            </w:r>
          </w:p>
        </w:tc>
        <w:tc>
          <w:tcPr>
            <w:tcW w:type="dxa" w:w="2340"/>
          </w:tcPr>
          <w:p>
            <w:r>
              <w:t>Internacionales</w:t>
            </w:r>
          </w:p>
        </w:tc>
        <w:tc>
          <w:tcPr>
            <w:tcW w:type="dxa" w:w="2340"/>
          </w:tcPr>
          <w:p>
            <w:r>
              <w:t>Sí</w:t>
            </w:r>
          </w:p>
        </w:tc>
      </w:tr>
      <w:tr>
        <w:tc>
          <w:tcPr>
            <w:tcW w:type="dxa" w:w="2340"/>
          </w:tcPr>
          <w:p>
            <w:r>
              <w:t>EWU</w:t>
            </w:r>
          </w:p>
        </w:tc>
        <w:tc>
          <w:tcPr>
            <w:tcW w:type="dxa" w:w="2340"/>
          </w:tcPr>
          <w:p>
            <w:r>
              <w:t>iShares MSCI United Kingdom</w:t>
            </w:r>
          </w:p>
        </w:tc>
        <w:tc>
          <w:tcPr>
            <w:tcW w:type="dxa" w:w="2340"/>
          </w:tcPr>
          <w:p>
            <w:r>
              <w:t>Internacionales</w:t>
            </w:r>
          </w:p>
        </w:tc>
        <w:tc>
          <w:tcPr>
            <w:tcW w:type="dxa" w:w="2340"/>
          </w:tcPr>
          <w:p>
            <w:r>
              <w:t>Sí</w:t>
            </w:r>
          </w:p>
        </w:tc>
      </w:tr>
      <w:tr>
        <w:tc>
          <w:tcPr>
            <w:tcW w:type="dxa" w:w="2340"/>
          </w:tcPr>
          <w:p>
            <w:r>
              <w:t>EWQ</w:t>
            </w:r>
          </w:p>
        </w:tc>
        <w:tc>
          <w:tcPr>
            <w:tcW w:type="dxa" w:w="2340"/>
          </w:tcPr>
          <w:p>
            <w:r>
              <w:t>iShares MSCI France</w:t>
            </w:r>
          </w:p>
        </w:tc>
        <w:tc>
          <w:tcPr>
            <w:tcW w:type="dxa" w:w="2340"/>
          </w:tcPr>
          <w:p>
            <w:r>
              <w:t>Internacionales</w:t>
            </w:r>
          </w:p>
        </w:tc>
        <w:tc>
          <w:tcPr>
            <w:tcW w:type="dxa" w:w="2340"/>
          </w:tcPr>
          <w:p>
            <w:r>
              <w:t>Sí</w:t>
            </w:r>
          </w:p>
        </w:tc>
      </w:tr>
      <w:tr>
        <w:tc>
          <w:tcPr>
            <w:tcW w:type="dxa" w:w="2340"/>
          </w:tcPr>
          <w:p>
            <w:r>
              <w:t>INDA</w:t>
            </w:r>
          </w:p>
        </w:tc>
        <w:tc>
          <w:tcPr>
            <w:tcW w:type="dxa" w:w="2340"/>
          </w:tcPr>
          <w:p>
            <w:r>
              <w:t>iShares MSCI India</w:t>
            </w:r>
          </w:p>
        </w:tc>
        <w:tc>
          <w:tcPr>
            <w:tcW w:type="dxa" w:w="2340"/>
          </w:tcPr>
          <w:p>
            <w:r>
              <w:t>Internacionales</w:t>
            </w:r>
          </w:p>
        </w:tc>
        <w:tc>
          <w:tcPr>
            <w:tcW w:type="dxa" w:w="2340"/>
          </w:tcPr>
          <w:p>
            <w:r>
              <w:t>Sí</w:t>
            </w:r>
          </w:p>
        </w:tc>
      </w:tr>
      <w:tr>
        <w:tc>
          <w:tcPr>
            <w:tcW w:type="dxa" w:w="2340"/>
          </w:tcPr>
          <w:p>
            <w:r>
              <w:t>EWZ</w:t>
            </w:r>
          </w:p>
        </w:tc>
        <w:tc>
          <w:tcPr>
            <w:tcW w:type="dxa" w:w="2340"/>
          </w:tcPr>
          <w:p>
            <w:r>
              <w:t>iShares MSCI Brazil</w:t>
            </w:r>
          </w:p>
        </w:tc>
        <w:tc>
          <w:tcPr>
            <w:tcW w:type="dxa" w:w="2340"/>
          </w:tcPr>
          <w:p>
            <w:r>
              <w:t>Internacionales</w:t>
            </w:r>
          </w:p>
        </w:tc>
        <w:tc>
          <w:tcPr>
            <w:tcW w:type="dxa" w:w="2340"/>
          </w:tcPr>
          <w:p>
            <w:r>
              <w:t>Sí</w:t>
            </w:r>
          </w:p>
        </w:tc>
      </w:tr>
      <w:tr>
        <w:tc>
          <w:tcPr>
            <w:tcW w:type="dxa" w:w="2340"/>
          </w:tcPr>
          <w:p>
            <w:r>
              <w:t>FXI</w:t>
            </w:r>
          </w:p>
        </w:tc>
        <w:tc>
          <w:tcPr>
            <w:tcW w:type="dxa" w:w="2340"/>
          </w:tcPr>
          <w:p>
            <w:r>
              <w:t>iShares China Large-Cap</w:t>
            </w:r>
          </w:p>
        </w:tc>
        <w:tc>
          <w:tcPr>
            <w:tcW w:type="dxa" w:w="2340"/>
          </w:tcPr>
          <w:p>
            <w:r>
              <w:t>Internacionales</w:t>
            </w:r>
          </w:p>
        </w:tc>
        <w:tc>
          <w:tcPr>
            <w:tcW w:type="dxa" w:w="2340"/>
          </w:tcPr>
          <w:p>
            <w:r>
              <w:t>Sí</w:t>
            </w:r>
          </w:p>
        </w:tc>
      </w:tr>
      <w:tr>
        <w:tc>
          <w:tcPr>
            <w:tcW w:type="dxa" w:w="2340"/>
          </w:tcPr>
          <w:p>
            <w:r>
              <w:t>MCHI</w:t>
            </w:r>
          </w:p>
        </w:tc>
        <w:tc>
          <w:tcPr>
            <w:tcW w:type="dxa" w:w="2340"/>
          </w:tcPr>
          <w:p>
            <w:r>
              <w:t>iShares MSCI China</w:t>
            </w:r>
          </w:p>
        </w:tc>
        <w:tc>
          <w:tcPr>
            <w:tcW w:type="dxa" w:w="2340"/>
          </w:tcPr>
          <w:p>
            <w:r>
              <w:t>Internacionales</w:t>
            </w:r>
          </w:p>
        </w:tc>
        <w:tc>
          <w:tcPr>
            <w:tcW w:type="dxa" w:w="2340"/>
          </w:tcPr>
          <w:p>
            <w:r>
              <w:t>Sí</w:t>
            </w:r>
          </w:p>
        </w:tc>
      </w:tr>
      <w:tr>
        <w:tc>
          <w:tcPr>
            <w:tcW w:type="dxa" w:w="2340"/>
          </w:tcPr>
          <w:p>
            <w:r>
              <w:t>EWT</w:t>
            </w:r>
          </w:p>
        </w:tc>
        <w:tc>
          <w:tcPr>
            <w:tcW w:type="dxa" w:w="2340"/>
          </w:tcPr>
          <w:p>
            <w:r>
              <w:t>iShares MSCI Taiwan</w:t>
            </w:r>
          </w:p>
        </w:tc>
        <w:tc>
          <w:tcPr>
            <w:tcW w:type="dxa" w:w="2340"/>
          </w:tcPr>
          <w:p>
            <w:r>
              <w:t>Internacionales</w:t>
            </w:r>
          </w:p>
        </w:tc>
        <w:tc>
          <w:tcPr>
            <w:tcW w:type="dxa" w:w="2340"/>
          </w:tcPr>
          <w:p>
            <w:r>
              <w:t>Sí</w:t>
            </w:r>
          </w:p>
        </w:tc>
      </w:tr>
      <w:tr>
        <w:tc>
          <w:tcPr>
            <w:tcW w:type="dxa" w:w="2340"/>
          </w:tcPr>
          <w:p>
            <w:r>
              <w:t>BND</w:t>
            </w:r>
          </w:p>
        </w:tc>
        <w:tc>
          <w:tcPr>
            <w:tcW w:type="dxa" w:w="2340"/>
          </w:tcPr>
          <w:p>
            <w:r>
              <w:t>Vanguard Total Bond Market</w:t>
            </w:r>
          </w:p>
        </w:tc>
        <w:tc>
          <w:tcPr>
            <w:tcW w:type="dxa" w:w="2340"/>
          </w:tcPr>
          <w:p>
            <w:r>
              <w:t>Renta fija</w:t>
            </w:r>
          </w:p>
        </w:tc>
        <w:tc>
          <w:tcPr>
            <w:tcW w:type="dxa" w:w="2340"/>
          </w:tcPr>
          <w:p>
            <w:r>
              <w:t>Sí</w:t>
            </w:r>
          </w:p>
        </w:tc>
      </w:tr>
      <w:tr>
        <w:tc>
          <w:tcPr>
            <w:tcW w:type="dxa" w:w="2340"/>
          </w:tcPr>
          <w:p>
            <w:r>
              <w:t>AGG</w:t>
            </w:r>
          </w:p>
        </w:tc>
        <w:tc>
          <w:tcPr>
            <w:tcW w:type="dxa" w:w="2340"/>
          </w:tcPr>
          <w:p>
            <w:r>
              <w:t>iShares Core US Aggregate Bond</w:t>
            </w:r>
          </w:p>
        </w:tc>
        <w:tc>
          <w:tcPr>
            <w:tcW w:type="dxa" w:w="2340"/>
          </w:tcPr>
          <w:p>
            <w:r>
              <w:t>Renta fija</w:t>
            </w:r>
          </w:p>
        </w:tc>
        <w:tc>
          <w:tcPr>
            <w:tcW w:type="dxa" w:w="2340"/>
          </w:tcPr>
          <w:p>
            <w:r>
              <w:t>Sí</w:t>
            </w:r>
          </w:p>
        </w:tc>
      </w:tr>
      <w:tr>
        <w:tc>
          <w:tcPr>
            <w:tcW w:type="dxa" w:w="2340"/>
          </w:tcPr>
          <w:p>
            <w:r>
              <w:t>IEF</w:t>
            </w:r>
          </w:p>
        </w:tc>
        <w:tc>
          <w:tcPr>
            <w:tcW w:type="dxa" w:w="2340"/>
          </w:tcPr>
          <w:p>
            <w:r>
              <w:t>iShares 7-10 Year Treasury Bond</w:t>
            </w:r>
          </w:p>
        </w:tc>
        <w:tc>
          <w:tcPr>
            <w:tcW w:type="dxa" w:w="2340"/>
          </w:tcPr>
          <w:p>
            <w:r>
              <w:t>Renta fija</w:t>
            </w:r>
          </w:p>
        </w:tc>
        <w:tc>
          <w:tcPr>
            <w:tcW w:type="dxa" w:w="2340"/>
          </w:tcPr>
          <w:p>
            <w:r>
              <w:t>Sí</w:t>
            </w:r>
          </w:p>
        </w:tc>
      </w:tr>
      <w:tr>
        <w:tc>
          <w:tcPr>
            <w:tcW w:type="dxa" w:w="2340"/>
          </w:tcPr>
          <w:p>
            <w:r>
              <w:t>TLT</w:t>
            </w:r>
          </w:p>
        </w:tc>
        <w:tc>
          <w:tcPr>
            <w:tcW w:type="dxa" w:w="2340"/>
          </w:tcPr>
          <w:p>
            <w:r>
              <w:t>iShares 20+ Year Treasury Bond</w:t>
            </w:r>
          </w:p>
        </w:tc>
        <w:tc>
          <w:tcPr>
            <w:tcW w:type="dxa" w:w="2340"/>
          </w:tcPr>
          <w:p>
            <w:r>
              <w:t>Renta fija</w:t>
            </w:r>
          </w:p>
        </w:tc>
        <w:tc>
          <w:tcPr>
            <w:tcW w:type="dxa" w:w="2340"/>
          </w:tcPr>
          <w:p>
            <w:r>
              <w:t>Sí</w:t>
            </w:r>
          </w:p>
        </w:tc>
      </w:tr>
      <w:tr>
        <w:tc>
          <w:tcPr>
            <w:tcW w:type="dxa" w:w="2340"/>
          </w:tcPr>
          <w:p>
            <w:r>
              <w:t>TIP</w:t>
            </w:r>
          </w:p>
        </w:tc>
        <w:tc>
          <w:tcPr>
            <w:tcW w:type="dxa" w:w="2340"/>
          </w:tcPr>
          <w:p>
            <w:r>
              <w:t>iShares TIPS Bond</w:t>
            </w:r>
          </w:p>
        </w:tc>
        <w:tc>
          <w:tcPr>
            <w:tcW w:type="dxa" w:w="2340"/>
          </w:tcPr>
          <w:p>
            <w:r>
              <w:t>Renta fija</w:t>
            </w:r>
          </w:p>
        </w:tc>
        <w:tc>
          <w:tcPr>
            <w:tcW w:type="dxa" w:w="2340"/>
          </w:tcPr>
          <w:p>
            <w:r>
              <w:t>Sí</w:t>
            </w:r>
          </w:p>
        </w:tc>
      </w:tr>
      <w:tr>
        <w:tc>
          <w:tcPr>
            <w:tcW w:type="dxa" w:w="2340"/>
          </w:tcPr>
          <w:p>
            <w:r>
              <w:t>LQD</w:t>
            </w:r>
          </w:p>
        </w:tc>
        <w:tc>
          <w:tcPr>
            <w:tcW w:type="dxa" w:w="2340"/>
          </w:tcPr>
          <w:p>
            <w:r>
              <w:t>iShares iBoxx Investment Grade Corp.</w:t>
            </w:r>
          </w:p>
        </w:tc>
        <w:tc>
          <w:tcPr>
            <w:tcW w:type="dxa" w:w="2340"/>
          </w:tcPr>
          <w:p>
            <w:r>
              <w:t>Renta fija</w:t>
            </w:r>
          </w:p>
        </w:tc>
        <w:tc>
          <w:tcPr>
            <w:tcW w:type="dxa" w:w="2340"/>
          </w:tcPr>
          <w:p>
            <w:r>
              <w:t>Sí</w:t>
            </w:r>
          </w:p>
        </w:tc>
      </w:tr>
      <w:tr>
        <w:tc>
          <w:tcPr>
            <w:tcW w:type="dxa" w:w="2340"/>
          </w:tcPr>
          <w:p>
            <w:r>
              <w:t>HYG</w:t>
            </w:r>
          </w:p>
        </w:tc>
        <w:tc>
          <w:tcPr>
            <w:tcW w:type="dxa" w:w="2340"/>
          </w:tcPr>
          <w:p>
            <w:r>
              <w:t>iShares iBoxx High Yield Corp.</w:t>
            </w:r>
          </w:p>
        </w:tc>
        <w:tc>
          <w:tcPr>
            <w:tcW w:type="dxa" w:w="2340"/>
          </w:tcPr>
          <w:p>
            <w:r>
              <w:t>Renta fija</w:t>
            </w:r>
          </w:p>
        </w:tc>
        <w:tc>
          <w:tcPr>
            <w:tcW w:type="dxa" w:w="2340"/>
          </w:tcPr>
          <w:p>
            <w:r>
              <w:t>Sí</w:t>
            </w:r>
          </w:p>
        </w:tc>
      </w:tr>
      <w:tr>
        <w:tc>
          <w:tcPr>
            <w:tcW w:type="dxa" w:w="2340"/>
          </w:tcPr>
          <w:p>
            <w:r>
              <w:t>JNK</w:t>
            </w:r>
          </w:p>
        </w:tc>
        <w:tc>
          <w:tcPr>
            <w:tcW w:type="dxa" w:w="2340"/>
          </w:tcPr>
          <w:p>
            <w:r>
              <w:t>SPDR Bloomberg High Yield Bond</w:t>
            </w:r>
          </w:p>
        </w:tc>
        <w:tc>
          <w:tcPr>
            <w:tcW w:type="dxa" w:w="2340"/>
          </w:tcPr>
          <w:p>
            <w:r>
              <w:t>Renta fija</w:t>
            </w:r>
          </w:p>
        </w:tc>
        <w:tc>
          <w:tcPr>
            <w:tcW w:type="dxa" w:w="2340"/>
          </w:tcPr>
          <w:p>
            <w:r>
              <w:t>Sí</w:t>
            </w:r>
          </w:p>
        </w:tc>
      </w:tr>
      <w:tr>
        <w:tc>
          <w:tcPr>
            <w:tcW w:type="dxa" w:w="2340"/>
          </w:tcPr>
          <w:p>
            <w:r>
              <w:t>SLV</w:t>
            </w:r>
          </w:p>
        </w:tc>
        <w:tc>
          <w:tcPr>
            <w:tcW w:type="dxa" w:w="2340"/>
          </w:tcPr>
          <w:p>
            <w:r>
              <w:t>iShares Silver Trust</w:t>
            </w:r>
          </w:p>
        </w:tc>
        <w:tc>
          <w:tcPr>
            <w:tcW w:type="dxa" w:w="2340"/>
          </w:tcPr>
          <w:p>
            <w:r>
              <w:t>Materias primas</w:t>
            </w:r>
          </w:p>
        </w:tc>
        <w:tc>
          <w:tcPr>
            <w:tcW w:type="dxa" w:w="2340"/>
          </w:tcPr>
          <w:p>
            <w:r>
              <w:t>Sí</w:t>
            </w:r>
          </w:p>
        </w:tc>
      </w:tr>
      <w:tr>
        <w:tc>
          <w:tcPr>
            <w:tcW w:type="dxa" w:w="2340"/>
          </w:tcPr>
          <w:p>
            <w:r>
              <w:t>USO</w:t>
            </w:r>
          </w:p>
        </w:tc>
        <w:tc>
          <w:tcPr>
            <w:tcW w:type="dxa" w:w="2340"/>
          </w:tcPr>
          <w:p>
            <w:r>
              <w:t>United States Oil Fund</w:t>
            </w:r>
          </w:p>
        </w:tc>
        <w:tc>
          <w:tcPr>
            <w:tcW w:type="dxa" w:w="2340"/>
          </w:tcPr>
          <w:p>
            <w:r>
              <w:t>Materias primas</w:t>
            </w:r>
          </w:p>
        </w:tc>
        <w:tc>
          <w:tcPr>
            <w:tcW w:type="dxa" w:w="2340"/>
          </w:tcPr>
          <w:p>
            <w:r>
              <w:t>Sí</w:t>
            </w:r>
          </w:p>
        </w:tc>
      </w:tr>
      <w:tr>
        <w:tc>
          <w:tcPr>
            <w:tcW w:type="dxa" w:w="2340"/>
          </w:tcPr>
          <w:p>
            <w:r>
              <w:t>DBC</w:t>
            </w:r>
          </w:p>
        </w:tc>
        <w:tc>
          <w:tcPr>
            <w:tcW w:type="dxa" w:w="2340"/>
          </w:tcPr>
          <w:p>
            <w:r>
              <w:t>Invesco DB Commodity Index</w:t>
            </w:r>
          </w:p>
        </w:tc>
        <w:tc>
          <w:tcPr>
            <w:tcW w:type="dxa" w:w="2340"/>
          </w:tcPr>
          <w:p>
            <w:r>
              <w:t>Materias primas</w:t>
            </w:r>
          </w:p>
        </w:tc>
        <w:tc>
          <w:tcPr>
            <w:tcW w:type="dxa" w:w="2340"/>
          </w:tcPr>
          <w:p>
            <w:r>
              <w:t>Sí</w:t>
            </w:r>
          </w:p>
        </w:tc>
      </w:tr>
      <w:tr>
        <w:tc>
          <w:tcPr>
            <w:tcW w:type="dxa" w:w="2340"/>
          </w:tcPr>
          <w:p>
            <w:r>
              <w:t>VNQ</w:t>
            </w:r>
          </w:p>
        </w:tc>
        <w:tc>
          <w:tcPr>
            <w:tcW w:type="dxa" w:w="2340"/>
          </w:tcPr>
          <w:p>
            <w:r>
              <w:t>Vanguard Real Estate</w:t>
            </w:r>
          </w:p>
        </w:tc>
        <w:tc>
          <w:tcPr>
            <w:tcW w:type="dxa" w:w="2340"/>
          </w:tcPr>
          <w:p>
            <w:r>
              <w:t>Materias primas</w:t>
            </w:r>
          </w:p>
        </w:tc>
        <w:tc>
          <w:tcPr>
            <w:tcW w:type="dxa" w:w="2340"/>
          </w:tcPr>
          <w:p>
            <w:r>
              <w:t>Sí</w:t>
            </w:r>
          </w:p>
        </w:tc>
      </w:tr>
      <w:tr>
        <w:tc>
          <w:tcPr>
            <w:tcW w:type="dxa" w:w="2340"/>
          </w:tcPr>
          <w:p>
            <w:r>
              <w:t>BIL</w:t>
            </w:r>
          </w:p>
        </w:tc>
        <w:tc>
          <w:tcPr>
            <w:tcW w:type="dxa" w:w="2340"/>
          </w:tcPr>
          <w:p>
            <w:r>
              <w:t>SPDR Bloomberg 1-3 Month T-Bill</w:t>
            </w:r>
          </w:p>
        </w:tc>
        <w:tc>
          <w:tcPr>
            <w:tcW w:type="dxa" w:w="2340"/>
          </w:tcPr>
          <w:p>
            <w:r>
              <w:t>Renta fija</w:t>
            </w:r>
          </w:p>
        </w:tc>
        <w:tc>
          <w:tcPr>
            <w:tcW w:type="dxa" w:w="2340"/>
          </w:tcPr>
          <w:p>
            <w:r>
              <w:t>No — test estac.</w:t>
            </w:r>
          </w:p>
        </w:tc>
      </w:tr>
      <w:tr>
        <w:tc>
          <w:tcPr>
            <w:tcW w:type="dxa" w:w="2340"/>
          </w:tcPr>
          <w:p>
            <w:r>
              <w:t>EWY</w:t>
            </w:r>
          </w:p>
        </w:tc>
        <w:tc>
          <w:tcPr>
            <w:tcW w:type="dxa" w:w="2340"/>
          </w:tcPr>
          <w:p>
            <w:r>
              <w:t>iShares MSCI South Korea</w:t>
            </w:r>
          </w:p>
        </w:tc>
        <w:tc>
          <w:tcPr>
            <w:tcW w:type="dxa" w:w="2340"/>
          </w:tcPr>
          <w:p>
            <w:r>
              <w:t>Internacionales</w:t>
            </w:r>
          </w:p>
        </w:tc>
        <w:tc>
          <w:tcPr>
            <w:tcW w:type="dxa" w:w="2340"/>
          </w:tcPr>
          <w:p>
            <w:r>
              <w:t>No — test estac.</w:t>
            </w:r>
          </w:p>
        </w:tc>
      </w:tr>
      <w:tr>
        <w:tc>
          <w:tcPr>
            <w:tcW w:type="dxa" w:w="2340"/>
          </w:tcPr>
          <w:p>
            <w:r>
              <w:t>GLD</w:t>
            </w:r>
          </w:p>
        </w:tc>
        <w:tc>
          <w:tcPr>
            <w:tcW w:type="dxa" w:w="2340"/>
          </w:tcPr>
          <w:p>
            <w:r>
              <w:t>SPDR Gold Shares</w:t>
            </w:r>
          </w:p>
        </w:tc>
        <w:tc>
          <w:tcPr>
            <w:tcW w:type="dxa" w:w="2340"/>
          </w:tcPr>
          <w:p>
            <w:r>
              <w:t>Materias primas</w:t>
            </w:r>
          </w:p>
        </w:tc>
        <w:tc>
          <w:tcPr>
            <w:tcW w:type="dxa" w:w="2340"/>
          </w:tcPr>
          <w:p>
            <w:r>
              <w:t>No — test estac.</w:t>
            </w:r>
          </w:p>
        </w:tc>
      </w:tr>
      <w:tr>
        <w:tc>
          <w:tcPr>
            <w:tcW w:type="dxa" w:w="2340"/>
          </w:tcPr>
          <w:p>
            <w:r>
              <w:t>IAU</w:t>
            </w:r>
          </w:p>
        </w:tc>
        <w:tc>
          <w:tcPr>
            <w:tcW w:type="dxa" w:w="2340"/>
          </w:tcPr>
          <w:p>
            <w:r>
              <w:t>iShares Gold Trust</w:t>
            </w:r>
          </w:p>
        </w:tc>
        <w:tc>
          <w:tcPr>
            <w:tcW w:type="dxa" w:w="2340"/>
          </w:tcPr>
          <w:p>
            <w:r>
              <w:t>Materias primas</w:t>
            </w:r>
          </w:p>
        </w:tc>
        <w:tc>
          <w:tcPr>
            <w:tcW w:type="dxa" w:w="2340"/>
          </w:tcPr>
          <w:p>
            <w:r>
              <w:t>No — test estac.</w:t>
            </w:r>
          </w:p>
        </w:tc>
      </w:tr>
      <w:tr>
        <w:tc>
          <w:tcPr>
            <w:tcW w:type="dxa" w:w="2340"/>
          </w:tcPr>
          <w:p>
            <w:r>
              <w:t>SHY</w:t>
            </w:r>
          </w:p>
        </w:tc>
        <w:tc>
          <w:tcPr>
            <w:tcW w:type="dxa" w:w="2340"/>
          </w:tcPr>
          <w:p>
            <w:r>
              <w:t>iShares 1-3 Year Treasury Bond</w:t>
            </w:r>
          </w:p>
        </w:tc>
        <w:tc>
          <w:tcPr>
            <w:tcW w:type="dxa" w:w="2340"/>
          </w:tcPr>
          <w:p>
            <w:r>
              <w:t>Renta fija</w:t>
            </w:r>
          </w:p>
        </w:tc>
        <w:tc>
          <w:tcPr>
            <w:tcW w:type="dxa" w:w="2340"/>
          </w:tcPr>
          <w:p>
            <w:r>
              <w:t>No — test estac.</w:t>
            </w:r>
          </w:p>
        </w:tc>
      </w:tr>
    </w:tbl>
    <w:p>
      <w:pPr>
        <w:pStyle w:val="Textoindependiente"/>
        <w:jc w:val="center"/>
      </w:pPr>
      <w:r>
        <w:t>Tabla A-1. Listado completo de 63 ETFs analizados. Fuente: elaboración propia.</w:t>
      </w:r>
    </w:p>
    <w:p>
      <w:pPr>
        <w:pStyle w:val="Ttulo6"/>
      </w:pPr>
      <w:r>
        <w:t>Apéndice B — Resultados completos ARIMA semanal</w:t>
      </w:r>
    </w:p>
    <w:p>
      <w:pPr>
        <w:pStyle w:val="Textoindependiente"/>
      </w:pPr>
      <w:r>
        <w:t>La Tabla B-1 recoge los resultados completos del modelo ARIMA semanal para los 58 ETFs en el periodo de test (2024-W30 a 2026-W06, 81 semanas).</w:t>
      </w:r>
    </w:p>
    <w:p>
      <w:pPr>
        <w:pStyle w:val="Textoindependiente"/>
      </w:pPr>
      <w:r>
        <w:rPr>
          <w:b/>
          <w:color w:val="C00000"/>
        </w:rPr>
        <w:t>[TODO: insertar Tabla B-1 con resultados ARIMA semanal completos por ETF]</w:t>
      </w:r>
    </w:p>
    <w:p>
      <w:pPr>
        <w:pStyle w:val="Ttulo6"/>
      </w:pPr>
      <w:r>
        <w:t>Apéndice C — Estructura de los archivos Excel de resultados</w:t>
      </w:r>
    </w:p>
    <w:p>
      <w:pPr>
        <w:pStyle w:val="Textoindependiente"/>
      </w:pPr>
      <w:r>
        <w:t>El archivo resultados_markowitz.xlsx contiene tres hojas:</w:t>
      </w:r>
    </w:p>
    <w:p>
      <w:pPr>
        <w:pStyle w:val="Textoindependiente"/>
      </w:pPr>
      <w:r>
        <w:t>Hoja resumen_backtest: una fila por estrategia. Columnas: ID (BT_001, BT_002, BT_003), Estrategia, Frecuencia, FechaTrainIni, FechaTrainFin, FechaTestIni, FechaTestFin, CapitalInicial, CapitalFinal, RentabilidadAcumulada, Volatilidad, Sharpe, MaxDrawdown, SemanasPositivas, Estado.</w:t>
      </w:r>
    </w:p>
    <w:p>
      <w:pPr>
        <w:pStyle w:val="Textoindependiente"/>
      </w:pPr>
      <w:r>
        <w:t>Hoja detalle_semanal: una fila por semana y estrategia (237 filas). Columnas base: ID_Backtest, FechaDecision, FechaInversion, Estrategia, CapitalInicio, RetornoCarteraReal, CapitalFinal, RentabilidadAcumulada, Drawdown, SumaPesos, Estado. Columnas por ETF (x58): ETF_peso (peso asignado), ETF_rentexp (rentabilidad esperada usada como input), ETF_real (rentabilidad real observada esa semana).</w:t>
      </w:r>
    </w:p>
    <w:p>
      <w:pPr>
        <w:pStyle w:val="Textoindependiente"/>
      </w:pPr>
      <w:r>
        <w:t>Hoja configuracion: parámetros del experimento (capital inicial, periodo de train y test, lambda, restricciones de peso, método de estimación de covarianzas).</w:t>
      </w:r>
    </w:p>
    <w:sectPr w:rsidR="00E66475" w:rsidRPr="006671FA" w:rsidSect="00115EB2">
      <w:type w:val="oddPag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0B292" w14:textId="77777777" w:rsidR="007B2C65" w:rsidRDefault="007B2C65">
      <w:r>
        <w:separator/>
      </w:r>
    </w:p>
  </w:endnote>
  <w:endnote w:type="continuationSeparator" w:id="0">
    <w:p w14:paraId="56CC0D00" w14:textId="77777777" w:rsidR="007B2C65" w:rsidRDefault="007B2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5B59" w14:textId="77777777" w:rsidR="00DA19F1" w:rsidRDefault="00DA19F1" w:rsidP="00B227BB">
    <w:pPr>
      <w:pStyle w:val="Piedepgina"/>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5AB729D1" w14:textId="77777777" w:rsidR="00DA19F1" w:rsidRDefault="00DA19F1" w:rsidP="00115EB2">
    <w:pPr>
      <w:pStyle w:val="Piedepgina"/>
      <w:framePr w:wrap="none" w:vAnchor="text" w:hAnchor="margin" w:xAlign="center" w:y="1"/>
      <w:ind w:right="360"/>
      <w:rPr>
        <w:rStyle w:val="Nmerodepgina"/>
      </w:rPr>
    </w:pPr>
    <w:r>
      <w:rPr>
        <w:rStyle w:val="Nmerodepgina"/>
      </w:rPr>
      <w:fldChar w:fldCharType="begin"/>
    </w:r>
    <w:r>
      <w:rPr>
        <w:rStyle w:val="Nmerodepgina"/>
      </w:rPr>
      <w:instrText xml:space="preserve">PAGE  </w:instrText>
    </w:r>
    <w:r>
      <w:rPr>
        <w:rStyle w:val="Nmerodepgina"/>
      </w:rPr>
      <w:fldChar w:fldCharType="end"/>
    </w:r>
  </w:p>
  <w:p w14:paraId="3FCC1184" w14:textId="77777777" w:rsidR="00DA19F1" w:rsidRDefault="00DA19F1" w:rsidP="00B227BB">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2C8BF96" w14:textId="77777777" w:rsidR="00DA19F1" w:rsidRDefault="00DA19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D175" w14:textId="77777777" w:rsidR="00DA19F1" w:rsidRDefault="00DA19F1">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E0786" w14:textId="05499B94" w:rsidR="00DA19F1" w:rsidRDefault="00DA19F1" w:rsidP="00B227BB">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E4710">
      <w:rPr>
        <w:rStyle w:val="Nmerodepgina"/>
        <w:noProof/>
      </w:rPr>
      <w:t>III</w:t>
    </w:r>
    <w:r>
      <w:rPr>
        <w:rStyle w:val="Nmerodepgina"/>
      </w:rPr>
      <w:fldChar w:fldCharType="end"/>
    </w:r>
  </w:p>
  <w:p w14:paraId="69036CEE" w14:textId="77777777" w:rsidR="00DA19F1" w:rsidRDefault="00DA19F1">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A9AB" w14:textId="4EC49AC0" w:rsidR="00DA19F1" w:rsidRDefault="00DA19F1" w:rsidP="00B227BB">
    <w:pPr>
      <w:pStyle w:val="Piedepgina"/>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0410F">
      <w:rPr>
        <w:rStyle w:val="Nmerodepgina"/>
        <w:noProof/>
      </w:rPr>
      <w:t>21</w:t>
    </w:r>
    <w:r>
      <w:rPr>
        <w:rStyle w:val="Nmerodepgina"/>
      </w:rPr>
      <w:fldChar w:fldCharType="end"/>
    </w:r>
  </w:p>
  <w:p w14:paraId="54B8E122" w14:textId="77777777" w:rsidR="00DA19F1" w:rsidRDefault="00DA19F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7F9D8" w14:textId="77777777" w:rsidR="007B2C65" w:rsidRDefault="007B2C65">
      <w:r>
        <w:separator/>
      </w:r>
    </w:p>
  </w:footnote>
  <w:footnote w:type="continuationSeparator" w:id="0">
    <w:p w14:paraId="4DA61AD5" w14:textId="77777777" w:rsidR="007B2C65" w:rsidRDefault="007B2C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E06618"/>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43CC7FC6"/>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642EB3B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BC6E3DDA"/>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D17AEFF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C4E10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9C1730"/>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46490B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E9273CE"/>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84C39A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2DC5F47"/>
    <w:multiLevelType w:val="multilevel"/>
    <w:tmpl w:val="6FD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C25EF"/>
    <w:multiLevelType w:val="multilevel"/>
    <w:tmpl w:val="01B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360BA"/>
    <w:multiLevelType w:val="multilevel"/>
    <w:tmpl w:val="EF9A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34AB8"/>
    <w:multiLevelType w:val="multilevel"/>
    <w:tmpl w:val="6FD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A6B8E"/>
    <w:multiLevelType w:val="multilevel"/>
    <w:tmpl w:val="6FD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601EE"/>
    <w:multiLevelType w:val="multilevel"/>
    <w:tmpl w:val="521428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B27E3"/>
    <w:multiLevelType w:val="multilevel"/>
    <w:tmpl w:val="DCCE722E"/>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lvlRestart w:val="0"/>
      <w:suff w:val="space"/>
      <w:lvlText w:val="Chapter %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pStyle w:val="Ttulo6"/>
      <w:suff w:val="nothing"/>
      <w:lvlText w:val="Apéndice %6 - "/>
      <w:lvlJc w:val="left"/>
      <w:pPr>
        <w:ind w:left="0" w:firstLine="0"/>
      </w:pPr>
      <w:rPr>
        <w:rFonts w:asciiTheme="minorHAnsi" w:hAnsiTheme="minorHAnsi" w:cstheme="minorHAnsi" w:hint="default"/>
        <w:b/>
        <w:i w:val="0"/>
        <w:sz w:val="44"/>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1A8C2266"/>
    <w:multiLevelType w:val="multilevel"/>
    <w:tmpl w:val="C27C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B21B9"/>
    <w:multiLevelType w:val="multilevel"/>
    <w:tmpl w:val="E488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C0D15"/>
    <w:multiLevelType w:val="multilevel"/>
    <w:tmpl w:val="10C0183C"/>
    <w:lvl w:ilvl="0">
      <w:start w:val="1"/>
      <w:numFmt w:val="decimal"/>
      <w:pStyle w:val="Ttulo1"/>
      <w:suff w:val="nothing"/>
      <w:lvlText w:val="Capítulo %1 - "/>
      <w:lvlJc w:val="left"/>
      <w:pPr>
        <w:ind w:left="283" w:firstLine="0"/>
      </w:pPr>
      <w:rPr>
        <w:rFonts w:asciiTheme="minorHAnsi" w:hAnsiTheme="minorHAnsi" w:cstheme="minorHAnsi" w:hint="default"/>
        <w:b/>
        <w:i w:val="0"/>
        <w:sz w:val="36"/>
      </w:rPr>
    </w:lvl>
    <w:lvl w:ilvl="1">
      <w:start w:val="1"/>
      <w:numFmt w:val="decimal"/>
      <w:pStyle w:val="Ttulo2"/>
      <w:suff w:val="space"/>
      <w:lvlText w:val="%1.%2"/>
      <w:lvlJc w:val="left"/>
      <w:pPr>
        <w:ind w:left="0" w:firstLine="0"/>
      </w:pPr>
      <w:rPr>
        <w:rFonts w:hint="default"/>
      </w:rPr>
    </w:lvl>
    <w:lvl w:ilvl="2">
      <w:start w:val="1"/>
      <w:numFmt w:val="decimal"/>
      <w:pStyle w:val="Ttulo3"/>
      <w:suff w:val="space"/>
      <w:lvlText w:val="%1.%2.%3"/>
      <w:lvlJc w:val="left"/>
      <w:pPr>
        <w:ind w:left="0" w:firstLine="0"/>
      </w:pPr>
      <w:rPr>
        <w:rFonts w:hint="default"/>
      </w:rPr>
    </w:lvl>
    <w:lvl w:ilvl="3">
      <w:start w:val="1"/>
      <w:numFmt w:val="decimal"/>
      <w:pStyle w:val="Ttulo4"/>
      <w:suff w:val="space"/>
      <w:lvlText w:val="%1.%2.%3.%4"/>
      <w:lvlJc w:val="left"/>
      <w:pPr>
        <w:ind w:left="0" w:firstLine="0"/>
      </w:pPr>
      <w:rPr>
        <w:rFonts w:hint="default"/>
      </w:rPr>
    </w:lvl>
    <w:lvl w:ilvl="4">
      <w:start w:val="1"/>
      <w:numFmt w:val="none"/>
      <w:lvlRestart w:val="0"/>
      <w:pStyle w:val="Ttulo5"/>
      <w:suff w:val="space"/>
      <w:lvlText w:val="Chapter - "/>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0" w15:restartNumberingAfterBreak="0">
    <w:nsid w:val="32632DEB"/>
    <w:multiLevelType w:val="multilevel"/>
    <w:tmpl w:val="9C16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603A2A"/>
    <w:multiLevelType w:val="multilevel"/>
    <w:tmpl w:val="5D50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E92F88"/>
    <w:multiLevelType w:val="multilevel"/>
    <w:tmpl w:val="49B2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137A3D"/>
    <w:multiLevelType w:val="multilevel"/>
    <w:tmpl w:val="B6F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766B7"/>
    <w:multiLevelType w:val="multilevel"/>
    <w:tmpl w:val="8306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C9591C"/>
    <w:multiLevelType w:val="multilevel"/>
    <w:tmpl w:val="6FD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65B18"/>
    <w:multiLevelType w:val="multilevel"/>
    <w:tmpl w:val="D1D0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8464C"/>
    <w:multiLevelType w:val="multilevel"/>
    <w:tmpl w:val="6FD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A6FF1"/>
    <w:multiLevelType w:val="multilevel"/>
    <w:tmpl w:val="92F6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EE4D89"/>
    <w:multiLevelType w:val="multilevel"/>
    <w:tmpl w:val="6FD00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B75898"/>
    <w:multiLevelType w:val="multilevel"/>
    <w:tmpl w:val="2FD460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280BAE"/>
    <w:multiLevelType w:val="multilevel"/>
    <w:tmpl w:val="A93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C6E87"/>
    <w:multiLevelType w:val="multilevel"/>
    <w:tmpl w:val="0C8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27972"/>
    <w:multiLevelType w:val="hybridMultilevel"/>
    <w:tmpl w:val="5D2A77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737049A"/>
    <w:multiLevelType w:val="multilevel"/>
    <w:tmpl w:val="79D6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1751D"/>
    <w:multiLevelType w:val="multilevel"/>
    <w:tmpl w:val="59A6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024CB5"/>
    <w:multiLevelType w:val="multilevel"/>
    <w:tmpl w:val="DCD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2F647A"/>
    <w:multiLevelType w:val="multilevel"/>
    <w:tmpl w:val="EB40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10AD9"/>
    <w:multiLevelType w:val="multilevel"/>
    <w:tmpl w:val="9028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52DD0"/>
    <w:multiLevelType w:val="multilevel"/>
    <w:tmpl w:val="6FD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879272">
    <w:abstractNumId w:val="9"/>
  </w:num>
  <w:num w:numId="2" w16cid:durableId="1266840002">
    <w:abstractNumId w:val="7"/>
  </w:num>
  <w:num w:numId="3" w16cid:durableId="346179871">
    <w:abstractNumId w:val="6"/>
  </w:num>
  <w:num w:numId="4" w16cid:durableId="1345671700">
    <w:abstractNumId w:val="5"/>
  </w:num>
  <w:num w:numId="5" w16cid:durableId="2110923521">
    <w:abstractNumId w:val="4"/>
  </w:num>
  <w:num w:numId="6" w16cid:durableId="940572847">
    <w:abstractNumId w:val="8"/>
  </w:num>
  <w:num w:numId="7" w16cid:durableId="815340536">
    <w:abstractNumId w:val="3"/>
  </w:num>
  <w:num w:numId="8" w16cid:durableId="2007516681">
    <w:abstractNumId w:val="2"/>
  </w:num>
  <w:num w:numId="9" w16cid:durableId="1719042001">
    <w:abstractNumId w:val="1"/>
  </w:num>
  <w:num w:numId="10" w16cid:durableId="1954897411">
    <w:abstractNumId w:val="0"/>
  </w:num>
  <w:num w:numId="11" w16cid:durableId="2111781406">
    <w:abstractNumId w:val="16"/>
  </w:num>
  <w:num w:numId="12" w16cid:durableId="1181358284">
    <w:abstractNumId w:val="19"/>
  </w:num>
  <w:num w:numId="13" w16cid:durableId="1845320026">
    <w:abstractNumId w:val="17"/>
  </w:num>
  <w:num w:numId="14" w16cid:durableId="1270891299">
    <w:abstractNumId w:val="33"/>
  </w:num>
  <w:num w:numId="15" w16cid:durableId="1086927595">
    <w:abstractNumId w:val="18"/>
  </w:num>
  <w:num w:numId="16" w16cid:durableId="1243486743">
    <w:abstractNumId w:val="36"/>
  </w:num>
  <w:num w:numId="17" w16cid:durableId="1064523346">
    <w:abstractNumId w:val="32"/>
  </w:num>
  <w:num w:numId="18" w16cid:durableId="440342359">
    <w:abstractNumId w:val="27"/>
  </w:num>
  <w:num w:numId="19" w16cid:durableId="1759862855">
    <w:abstractNumId w:val="14"/>
  </w:num>
  <w:num w:numId="20" w16cid:durableId="1100561251">
    <w:abstractNumId w:val="29"/>
  </w:num>
  <w:num w:numId="21" w16cid:durableId="1771388127">
    <w:abstractNumId w:val="10"/>
  </w:num>
  <w:num w:numId="22" w16cid:durableId="1231966592">
    <w:abstractNumId w:val="39"/>
  </w:num>
  <w:num w:numId="23" w16cid:durableId="964656145">
    <w:abstractNumId w:val="13"/>
  </w:num>
  <w:num w:numId="24" w16cid:durableId="1473328608">
    <w:abstractNumId w:val="25"/>
  </w:num>
  <w:num w:numId="25" w16cid:durableId="1955364289">
    <w:abstractNumId w:val="35"/>
  </w:num>
  <w:num w:numId="26" w16cid:durableId="1511797449">
    <w:abstractNumId w:val="38"/>
  </w:num>
  <w:num w:numId="27" w16cid:durableId="236477535">
    <w:abstractNumId w:val="21"/>
  </w:num>
  <w:num w:numId="28" w16cid:durableId="2045519317">
    <w:abstractNumId w:val="23"/>
  </w:num>
  <w:num w:numId="29" w16cid:durableId="282465291">
    <w:abstractNumId w:val="28"/>
  </w:num>
  <w:num w:numId="30" w16cid:durableId="1185094364">
    <w:abstractNumId w:val="24"/>
  </w:num>
  <w:num w:numId="31" w16cid:durableId="553542324">
    <w:abstractNumId w:val="22"/>
  </w:num>
  <w:num w:numId="32" w16cid:durableId="1578517292">
    <w:abstractNumId w:val="30"/>
  </w:num>
  <w:num w:numId="33" w16cid:durableId="868491999">
    <w:abstractNumId w:val="15"/>
  </w:num>
  <w:num w:numId="34" w16cid:durableId="1257597752">
    <w:abstractNumId w:val="20"/>
  </w:num>
  <w:num w:numId="35" w16cid:durableId="666059658">
    <w:abstractNumId w:val="11"/>
  </w:num>
  <w:num w:numId="36" w16cid:durableId="1036732713">
    <w:abstractNumId w:val="31"/>
  </w:num>
  <w:num w:numId="37" w16cid:durableId="1927030140">
    <w:abstractNumId w:val="34"/>
  </w:num>
  <w:num w:numId="38" w16cid:durableId="1605381272">
    <w:abstractNumId w:val="26"/>
  </w:num>
  <w:num w:numId="39" w16cid:durableId="857038891">
    <w:abstractNumId w:val="37"/>
  </w:num>
  <w:num w:numId="40" w16cid:durableId="942687520">
    <w:abstractNumId w:val="1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6" w:nlCheck="1" w:checkStyle="0"/>
  <w:activeWritingStyle w:appName="MSWord" w:lang="en-US" w:vendorID="64" w:dllVersion="6" w:nlCheck="1" w:checkStyle="0"/>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n-US" w:vendorID="64" w:dllVersion="4096"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FDE"/>
    <w:rsid w:val="00000C0D"/>
    <w:rsid w:val="00030884"/>
    <w:rsid w:val="00042575"/>
    <w:rsid w:val="00074CAD"/>
    <w:rsid w:val="00080D19"/>
    <w:rsid w:val="00080FEA"/>
    <w:rsid w:val="000824EF"/>
    <w:rsid w:val="00083D7A"/>
    <w:rsid w:val="000852A0"/>
    <w:rsid w:val="000D47E2"/>
    <w:rsid w:val="000E3DD3"/>
    <w:rsid w:val="000F3EE3"/>
    <w:rsid w:val="000F6073"/>
    <w:rsid w:val="00111837"/>
    <w:rsid w:val="00115EB2"/>
    <w:rsid w:val="00117DF6"/>
    <w:rsid w:val="00123F1C"/>
    <w:rsid w:val="00147643"/>
    <w:rsid w:val="001658B9"/>
    <w:rsid w:val="001940DF"/>
    <w:rsid w:val="001A3936"/>
    <w:rsid w:val="001A7B8D"/>
    <w:rsid w:val="001C7A29"/>
    <w:rsid w:val="001C7BF4"/>
    <w:rsid w:val="001D330E"/>
    <w:rsid w:val="001D463B"/>
    <w:rsid w:val="001E0B5B"/>
    <w:rsid w:val="001E1788"/>
    <w:rsid w:val="001E1FDE"/>
    <w:rsid w:val="001E4710"/>
    <w:rsid w:val="001F5B98"/>
    <w:rsid w:val="001F67AF"/>
    <w:rsid w:val="002023FD"/>
    <w:rsid w:val="00212C47"/>
    <w:rsid w:val="00226EBD"/>
    <w:rsid w:val="00245D61"/>
    <w:rsid w:val="00263DC7"/>
    <w:rsid w:val="0026443F"/>
    <w:rsid w:val="00275189"/>
    <w:rsid w:val="00295BE9"/>
    <w:rsid w:val="002A07BC"/>
    <w:rsid w:val="002A205B"/>
    <w:rsid w:val="002A5447"/>
    <w:rsid w:val="002A601C"/>
    <w:rsid w:val="002D4FA5"/>
    <w:rsid w:val="002E100D"/>
    <w:rsid w:val="002E2175"/>
    <w:rsid w:val="002E2D75"/>
    <w:rsid w:val="00310767"/>
    <w:rsid w:val="00310A7E"/>
    <w:rsid w:val="0034634D"/>
    <w:rsid w:val="00352FE0"/>
    <w:rsid w:val="00364AE4"/>
    <w:rsid w:val="003651BC"/>
    <w:rsid w:val="00373EB9"/>
    <w:rsid w:val="00374592"/>
    <w:rsid w:val="003860DD"/>
    <w:rsid w:val="003A0B19"/>
    <w:rsid w:val="003C26ED"/>
    <w:rsid w:val="003C4EB7"/>
    <w:rsid w:val="003D129D"/>
    <w:rsid w:val="003D4465"/>
    <w:rsid w:val="003D543E"/>
    <w:rsid w:val="00402AB6"/>
    <w:rsid w:val="00411DEC"/>
    <w:rsid w:val="00414E05"/>
    <w:rsid w:val="00427DEF"/>
    <w:rsid w:val="00436C34"/>
    <w:rsid w:val="004542DB"/>
    <w:rsid w:val="00460948"/>
    <w:rsid w:val="00462579"/>
    <w:rsid w:val="0046775A"/>
    <w:rsid w:val="00467F8B"/>
    <w:rsid w:val="004714D7"/>
    <w:rsid w:val="00472EFF"/>
    <w:rsid w:val="004736A6"/>
    <w:rsid w:val="00490ABE"/>
    <w:rsid w:val="004927E0"/>
    <w:rsid w:val="004939E0"/>
    <w:rsid w:val="00496D25"/>
    <w:rsid w:val="004977AB"/>
    <w:rsid w:val="004A049D"/>
    <w:rsid w:val="004A28F2"/>
    <w:rsid w:val="004A3577"/>
    <w:rsid w:val="004E1A13"/>
    <w:rsid w:val="004E1B40"/>
    <w:rsid w:val="004E5511"/>
    <w:rsid w:val="004E7BFE"/>
    <w:rsid w:val="0050728E"/>
    <w:rsid w:val="005178E8"/>
    <w:rsid w:val="00521B77"/>
    <w:rsid w:val="00533B0D"/>
    <w:rsid w:val="005461E9"/>
    <w:rsid w:val="005556F4"/>
    <w:rsid w:val="00555BEE"/>
    <w:rsid w:val="00555F43"/>
    <w:rsid w:val="00556D5A"/>
    <w:rsid w:val="005716FE"/>
    <w:rsid w:val="00584426"/>
    <w:rsid w:val="005A1A75"/>
    <w:rsid w:val="005B0154"/>
    <w:rsid w:val="005B2132"/>
    <w:rsid w:val="005B4B2C"/>
    <w:rsid w:val="005C7499"/>
    <w:rsid w:val="005D2EC9"/>
    <w:rsid w:val="005F4572"/>
    <w:rsid w:val="005F6988"/>
    <w:rsid w:val="00635F60"/>
    <w:rsid w:val="00640AF2"/>
    <w:rsid w:val="00660953"/>
    <w:rsid w:val="00663235"/>
    <w:rsid w:val="006671FA"/>
    <w:rsid w:val="00667A00"/>
    <w:rsid w:val="00693787"/>
    <w:rsid w:val="00695507"/>
    <w:rsid w:val="006B50F3"/>
    <w:rsid w:val="006C563D"/>
    <w:rsid w:val="006D3EA5"/>
    <w:rsid w:val="006D4A0F"/>
    <w:rsid w:val="006D5464"/>
    <w:rsid w:val="006D54E2"/>
    <w:rsid w:val="006E3808"/>
    <w:rsid w:val="006F7AAD"/>
    <w:rsid w:val="007022E1"/>
    <w:rsid w:val="0073220F"/>
    <w:rsid w:val="00732E07"/>
    <w:rsid w:val="00773745"/>
    <w:rsid w:val="00776555"/>
    <w:rsid w:val="007A447C"/>
    <w:rsid w:val="007A7231"/>
    <w:rsid w:val="007B2C65"/>
    <w:rsid w:val="007C5DD2"/>
    <w:rsid w:val="007D1288"/>
    <w:rsid w:val="007D3CAC"/>
    <w:rsid w:val="00800533"/>
    <w:rsid w:val="00805C4A"/>
    <w:rsid w:val="00824257"/>
    <w:rsid w:val="00833BB9"/>
    <w:rsid w:val="008360E1"/>
    <w:rsid w:val="008411C8"/>
    <w:rsid w:val="008546D3"/>
    <w:rsid w:val="0086074A"/>
    <w:rsid w:val="00861B03"/>
    <w:rsid w:val="00870961"/>
    <w:rsid w:val="00870EC6"/>
    <w:rsid w:val="00873814"/>
    <w:rsid w:val="008834A4"/>
    <w:rsid w:val="0088775E"/>
    <w:rsid w:val="00894DE2"/>
    <w:rsid w:val="008A0ABD"/>
    <w:rsid w:val="008A6BFA"/>
    <w:rsid w:val="008B51A8"/>
    <w:rsid w:val="008C4756"/>
    <w:rsid w:val="008D033E"/>
    <w:rsid w:val="008E2A0C"/>
    <w:rsid w:val="008E36E4"/>
    <w:rsid w:val="008E5262"/>
    <w:rsid w:val="008E5C64"/>
    <w:rsid w:val="008F08E7"/>
    <w:rsid w:val="0090062E"/>
    <w:rsid w:val="0090444C"/>
    <w:rsid w:val="0090451D"/>
    <w:rsid w:val="00913EDA"/>
    <w:rsid w:val="00923729"/>
    <w:rsid w:val="009279AE"/>
    <w:rsid w:val="00943ED5"/>
    <w:rsid w:val="009539A6"/>
    <w:rsid w:val="009545F1"/>
    <w:rsid w:val="00963257"/>
    <w:rsid w:val="00965680"/>
    <w:rsid w:val="009A1232"/>
    <w:rsid w:val="009A157F"/>
    <w:rsid w:val="009C490E"/>
    <w:rsid w:val="009E37D7"/>
    <w:rsid w:val="009E4630"/>
    <w:rsid w:val="009F0083"/>
    <w:rsid w:val="009F1EA4"/>
    <w:rsid w:val="00A01489"/>
    <w:rsid w:val="00A14FBA"/>
    <w:rsid w:val="00A16C07"/>
    <w:rsid w:val="00A20B78"/>
    <w:rsid w:val="00A20F02"/>
    <w:rsid w:val="00A21623"/>
    <w:rsid w:val="00A30340"/>
    <w:rsid w:val="00A34CB9"/>
    <w:rsid w:val="00A35259"/>
    <w:rsid w:val="00A35C15"/>
    <w:rsid w:val="00A36EC1"/>
    <w:rsid w:val="00A407B1"/>
    <w:rsid w:val="00A43AEE"/>
    <w:rsid w:val="00A61B98"/>
    <w:rsid w:val="00A71FB4"/>
    <w:rsid w:val="00A7374A"/>
    <w:rsid w:val="00A77C24"/>
    <w:rsid w:val="00A83E56"/>
    <w:rsid w:val="00A979B6"/>
    <w:rsid w:val="00AA14E6"/>
    <w:rsid w:val="00AA1A72"/>
    <w:rsid w:val="00AA3176"/>
    <w:rsid w:val="00AC5CD5"/>
    <w:rsid w:val="00AD1B4E"/>
    <w:rsid w:val="00AD27FB"/>
    <w:rsid w:val="00AE5832"/>
    <w:rsid w:val="00AE7FC7"/>
    <w:rsid w:val="00AF3F71"/>
    <w:rsid w:val="00B05FF7"/>
    <w:rsid w:val="00B227BB"/>
    <w:rsid w:val="00B419C2"/>
    <w:rsid w:val="00B5323D"/>
    <w:rsid w:val="00B60224"/>
    <w:rsid w:val="00B6318B"/>
    <w:rsid w:val="00B6516C"/>
    <w:rsid w:val="00B755B7"/>
    <w:rsid w:val="00BC2EE4"/>
    <w:rsid w:val="00BC6A9E"/>
    <w:rsid w:val="00BE2360"/>
    <w:rsid w:val="00BE300F"/>
    <w:rsid w:val="00BE479A"/>
    <w:rsid w:val="00BE63C8"/>
    <w:rsid w:val="00BF3AC4"/>
    <w:rsid w:val="00C007F1"/>
    <w:rsid w:val="00C07D5E"/>
    <w:rsid w:val="00C36C16"/>
    <w:rsid w:val="00C50BC8"/>
    <w:rsid w:val="00C50BCF"/>
    <w:rsid w:val="00C54004"/>
    <w:rsid w:val="00C55BC4"/>
    <w:rsid w:val="00C5692F"/>
    <w:rsid w:val="00C60031"/>
    <w:rsid w:val="00C62365"/>
    <w:rsid w:val="00C62B66"/>
    <w:rsid w:val="00C66320"/>
    <w:rsid w:val="00C71049"/>
    <w:rsid w:val="00C73C24"/>
    <w:rsid w:val="00C74424"/>
    <w:rsid w:val="00C80942"/>
    <w:rsid w:val="00C827B1"/>
    <w:rsid w:val="00C836AA"/>
    <w:rsid w:val="00C9624B"/>
    <w:rsid w:val="00C96E8E"/>
    <w:rsid w:val="00CB1E0E"/>
    <w:rsid w:val="00CB3355"/>
    <w:rsid w:val="00CB5E4C"/>
    <w:rsid w:val="00CB7884"/>
    <w:rsid w:val="00CC095F"/>
    <w:rsid w:val="00CC5197"/>
    <w:rsid w:val="00CD05B6"/>
    <w:rsid w:val="00CE088B"/>
    <w:rsid w:val="00CF0AA0"/>
    <w:rsid w:val="00D04845"/>
    <w:rsid w:val="00D15736"/>
    <w:rsid w:val="00D16400"/>
    <w:rsid w:val="00D7420C"/>
    <w:rsid w:val="00D8371F"/>
    <w:rsid w:val="00D862DB"/>
    <w:rsid w:val="00DA19F1"/>
    <w:rsid w:val="00DA3711"/>
    <w:rsid w:val="00DA515B"/>
    <w:rsid w:val="00DA54EB"/>
    <w:rsid w:val="00DB1E47"/>
    <w:rsid w:val="00DB2EAA"/>
    <w:rsid w:val="00DC182E"/>
    <w:rsid w:val="00DF46DF"/>
    <w:rsid w:val="00E02C73"/>
    <w:rsid w:val="00E12E93"/>
    <w:rsid w:val="00E13D4B"/>
    <w:rsid w:val="00E140EA"/>
    <w:rsid w:val="00E23EDE"/>
    <w:rsid w:val="00E3017A"/>
    <w:rsid w:val="00E36AE8"/>
    <w:rsid w:val="00E440F4"/>
    <w:rsid w:val="00E446F0"/>
    <w:rsid w:val="00E53A9B"/>
    <w:rsid w:val="00E545BC"/>
    <w:rsid w:val="00E63C01"/>
    <w:rsid w:val="00E66475"/>
    <w:rsid w:val="00E736EB"/>
    <w:rsid w:val="00E83394"/>
    <w:rsid w:val="00E96B70"/>
    <w:rsid w:val="00E97B4D"/>
    <w:rsid w:val="00EA12EF"/>
    <w:rsid w:val="00EA3D10"/>
    <w:rsid w:val="00ED0DBD"/>
    <w:rsid w:val="00EE1AF8"/>
    <w:rsid w:val="00EF05DF"/>
    <w:rsid w:val="00F0212A"/>
    <w:rsid w:val="00F0410F"/>
    <w:rsid w:val="00F333C0"/>
    <w:rsid w:val="00F37D93"/>
    <w:rsid w:val="00F41FF7"/>
    <w:rsid w:val="00F43FCD"/>
    <w:rsid w:val="00F50551"/>
    <w:rsid w:val="00F65C8D"/>
    <w:rsid w:val="00F73C10"/>
    <w:rsid w:val="00F77DDB"/>
    <w:rsid w:val="00F822C8"/>
    <w:rsid w:val="00FA2E97"/>
    <w:rsid w:val="00FA74B3"/>
    <w:rsid w:val="00FB0FB4"/>
    <w:rsid w:val="00FC3A5D"/>
    <w:rsid w:val="00FD5A41"/>
    <w:rsid w:val="00FE5858"/>
    <w:rsid w:val="00FE5EAA"/>
    <w:rsid w:val="00FF3E5A"/>
    <w:rsid w:val="00FF63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6DCA3"/>
  <w14:defaultImageDpi w14:val="32767"/>
  <w15:chartTrackingRefBased/>
  <w15:docId w15:val="{6F9F68CD-5867-46F1-BF09-255D6BA57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semiHidden="1" w:uiPriority="99"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atentStyles>
  <w:style w:type="paragraph" w:default="1" w:styleId="Normal">
    <w:name w:val="Normal"/>
    <w:qFormat/>
    <w:rsid w:val="007D3CAC"/>
    <w:pPr>
      <w:spacing w:before="120" w:line="360" w:lineRule="auto"/>
      <w:ind w:firstLine="720"/>
      <w:jc w:val="both"/>
    </w:pPr>
    <w:rPr>
      <w:rFonts w:asciiTheme="minorHAnsi" w:hAnsiTheme="minorHAnsi"/>
      <w:sz w:val="22"/>
      <w:szCs w:val="24"/>
      <w:lang w:val="es-ES_tradnl" w:eastAsia="en-US"/>
    </w:rPr>
  </w:style>
  <w:style w:type="paragraph" w:styleId="Ttulo1">
    <w:name w:val="heading 1"/>
    <w:basedOn w:val="Normal"/>
    <w:next w:val="Textoindependiente"/>
    <w:link w:val="Ttulo1Car"/>
    <w:qFormat/>
    <w:rsid w:val="007D3CAC"/>
    <w:pPr>
      <w:keepNext/>
      <w:numPr>
        <w:numId w:val="12"/>
      </w:numPr>
      <w:spacing w:after="240"/>
      <w:outlineLvl w:val="0"/>
    </w:pPr>
    <w:rPr>
      <w:rFonts w:cs="Arial"/>
      <w:b/>
      <w:bCs/>
      <w:kern w:val="32"/>
      <w:sz w:val="36"/>
      <w:szCs w:val="32"/>
    </w:rPr>
  </w:style>
  <w:style w:type="paragraph" w:styleId="Ttulo2">
    <w:name w:val="heading 2"/>
    <w:basedOn w:val="Normal"/>
    <w:next w:val="Textoindependiente"/>
    <w:link w:val="Ttulo2Car"/>
    <w:qFormat/>
    <w:rsid w:val="007D3CAC"/>
    <w:pPr>
      <w:keepNext/>
      <w:numPr>
        <w:ilvl w:val="1"/>
        <w:numId w:val="12"/>
      </w:numPr>
      <w:spacing w:before="240"/>
      <w:outlineLvl w:val="1"/>
    </w:pPr>
    <w:rPr>
      <w:b/>
      <w:bCs/>
      <w:iCs/>
      <w:sz w:val="26"/>
      <w:szCs w:val="28"/>
    </w:rPr>
  </w:style>
  <w:style w:type="paragraph" w:styleId="Ttulo3">
    <w:name w:val="heading 3"/>
    <w:basedOn w:val="Normal"/>
    <w:next w:val="Textoindependiente"/>
    <w:link w:val="Ttulo3Car"/>
    <w:qFormat/>
    <w:rsid w:val="007D3CAC"/>
    <w:pPr>
      <w:keepNext/>
      <w:numPr>
        <w:ilvl w:val="2"/>
        <w:numId w:val="12"/>
      </w:numPr>
      <w:spacing w:before="240"/>
      <w:outlineLvl w:val="2"/>
    </w:pPr>
    <w:rPr>
      <w:rFonts w:cs="Arial"/>
      <w:b/>
      <w:i/>
      <w:kern w:val="32"/>
      <w:sz w:val="26"/>
      <w:szCs w:val="26"/>
    </w:rPr>
  </w:style>
  <w:style w:type="paragraph" w:styleId="Ttulo4">
    <w:name w:val="heading 4"/>
    <w:basedOn w:val="Normal"/>
    <w:next w:val="Textoindependiente"/>
    <w:qFormat/>
    <w:rsid w:val="00963257"/>
    <w:pPr>
      <w:numPr>
        <w:ilvl w:val="3"/>
        <w:numId w:val="12"/>
      </w:numPr>
      <w:spacing w:before="240"/>
      <w:outlineLvl w:val="3"/>
    </w:pPr>
    <w:rPr>
      <w:b/>
      <w:bCs/>
      <w:i/>
      <w:szCs w:val="28"/>
    </w:rPr>
  </w:style>
  <w:style w:type="paragraph" w:styleId="Ttulo5">
    <w:name w:val="heading 5"/>
    <w:basedOn w:val="Normal"/>
    <w:next w:val="Textoindependiente"/>
    <w:qFormat/>
    <w:rsid w:val="00963257"/>
    <w:pPr>
      <w:keepNext/>
      <w:numPr>
        <w:ilvl w:val="4"/>
        <w:numId w:val="12"/>
      </w:numPr>
      <w:spacing w:before="240"/>
      <w:outlineLvl w:val="4"/>
    </w:pPr>
    <w:rPr>
      <w:rFonts w:cs="Arial"/>
      <w:b/>
      <w:bCs/>
      <w:iCs/>
      <w:kern w:val="32"/>
      <w:sz w:val="36"/>
      <w:szCs w:val="26"/>
    </w:rPr>
  </w:style>
  <w:style w:type="paragraph" w:styleId="Ttulo6">
    <w:name w:val="heading 6"/>
    <w:basedOn w:val="Ttulo1"/>
    <w:next w:val="Textoindependiente"/>
    <w:qFormat/>
    <w:rsid w:val="00074CAD"/>
    <w:pPr>
      <w:numPr>
        <w:ilvl w:val="5"/>
        <w:numId w:val="11"/>
      </w:numPr>
      <w:jc w:val="left"/>
      <w:outlineLvl w:val="5"/>
    </w:pPr>
    <w:rPr>
      <w:bCs w:val="0"/>
      <w:szCs w:val="22"/>
    </w:rPr>
  </w:style>
  <w:style w:type="paragraph" w:styleId="Ttulo7">
    <w:name w:val="heading 7"/>
    <w:basedOn w:val="Normal"/>
    <w:next w:val="Textoindependiente"/>
    <w:qFormat/>
    <w:rsid w:val="00E63C01"/>
    <w:pPr>
      <w:spacing w:before="240"/>
      <w:ind w:firstLine="0"/>
      <w:outlineLvl w:val="6"/>
    </w:pPr>
    <w:rPr>
      <w:b/>
      <w:sz w:val="28"/>
    </w:rPr>
  </w:style>
  <w:style w:type="paragraph" w:styleId="Ttulo8">
    <w:name w:val="heading 8"/>
    <w:basedOn w:val="Normal"/>
    <w:next w:val="Textoindependiente"/>
    <w:qFormat/>
    <w:rsid w:val="00E63C01"/>
    <w:pPr>
      <w:spacing w:before="240"/>
      <w:ind w:firstLine="0"/>
      <w:outlineLvl w:val="7"/>
    </w:pPr>
    <w:rPr>
      <w:b/>
      <w:i/>
      <w:iCs/>
      <w:sz w:val="26"/>
    </w:rPr>
  </w:style>
  <w:style w:type="paragraph" w:styleId="Ttulo9">
    <w:name w:val="heading 9"/>
    <w:basedOn w:val="Normal"/>
    <w:next w:val="Textoindependiente"/>
    <w:qFormat/>
    <w:rsid w:val="00E63C01"/>
    <w:pPr>
      <w:spacing w:before="240"/>
      <w:ind w:firstLine="0"/>
      <w:outlineLvl w:val="8"/>
    </w:pPr>
    <w:rPr>
      <w:rFonts w:cs="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Figura">
    <w:name w:val="Pie Figura"/>
    <w:basedOn w:val="Normal"/>
    <w:qFormat/>
    <w:rsid w:val="00C50BC8"/>
    <w:pPr>
      <w:spacing w:before="60" w:line="240" w:lineRule="auto"/>
      <w:ind w:firstLine="0"/>
      <w:jc w:val="center"/>
    </w:pPr>
    <w:rPr>
      <w:sz w:val="18"/>
      <w:lang w:val="es-ES" w:eastAsia="es-ES"/>
    </w:rPr>
  </w:style>
  <w:style w:type="paragraph" w:customStyle="1" w:styleId="TitlePage">
    <w:name w:val="Title Page"/>
    <w:rsid w:val="00F822C8"/>
    <w:pPr>
      <w:jc w:val="center"/>
    </w:pPr>
    <w:rPr>
      <w:rFonts w:ascii="Palatino Linotype" w:hAnsi="Palatino Linotype"/>
      <w:smallCaps/>
      <w:sz w:val="32"/>
      <w:lang w:val="en-US" w:eastAsia="en-US"/>
    </w:rPr>
  </w:style>
  <w:style w:type="paragraph" w:customStyle="1" w:styleId="TitlePageRightAlign">
    <w:name w:val="Title Page Right Align"/>
    <w:basedOn w:val="TitlePage"/>
    <w:pPr>
      <w:jc w:val="right"/>
    </w:pPr>
  </w:style>
  <w:style w:type="paragraph" w:customStyle="1" w:styleId="PageHeading">
    <w:name w:val="Page Heading"/>
    <w:basedOn w:val="TitlePage"/>
    <w:next w:val="Textoindependiente"/>
    <w:rsid w:val="00965680"/>
    <w:pPr>
      <w:keepNext/>
      <w:spacing w:after="240" w:line="360" w:lineRule="auto"/>
      <w:outlineLvl w:val="0"/>
    </w:pPr>
    <w:rPr>
      <w:rFonts w:ascii="Century Gothic" w:hAnsi="Century Gothic"/>
      <w:b/>
    </w:rPr>
  </w:style>
  <w:style w:type="paragraph" w:customStyle="1" w:styleId="PageHeadingTOC">
    <w:name w:val="Page Heading TOC"/>
    <w:basedOn w:val="PageHeading"/>
    <w:next w:val="Textoindependiente"/>
    <w:rsid w:val="002A5447"/>
  </w:style>
  <w:style w:type="paragraph" w:styleId="TDC1">
    <w:name w:val="toc 1"/>
    <w:basedOn w:val="Normal"/>
    <w:next w:val="Normal"/>
    <w:autoRedefine/>
    <w:uiPriority w:val="39"/>
    <w:rsid w:val="007A7231"/>
    <w:pPr>
      <w:tabs>
        <w:tab w:val="right" w:leader="dot" w:pos="9350"/>
      </w:tabs>
      <w:ind w:left="432" w:hanging="432"/>
    </w:pPr>
  </w:style>
  <w:style w:type="paragraph" w:styleId="Textoindependiente">
    <w:name w:val="Body Text"/>
    <w:basedOn w:val="Normal"/>
    <w:link w:val="TextoindependienteCar"/>
    <w:rsid w:val="009C490E"/>
  </w:style>
  <w:style w:type="paragraph" w:styleId="TDC2">
    <w:name w:val="toc 2"/>
    <w:basedOn w:val="Normal"/>
    <w:next w:val="Normal"/>
    <w:autoRedefine/>
    <w:uiPriority w:val="39"/>
    <w:pPr>
      <w:ind w:left="245" w:firstLine="0"/>
    </w:pPr>
  </w:style>
  <w:style w:type="paragraph" w:styleId="TDC3">
    <w:name w:val="toc 3"/>
    <w:basedOn w:val="Normal"/>
    <w:next w:val="Normal"/>
    <w:autoRedefine/>
    <w:uiPriority w:val="39"/>
    <w:pPr>
      <w:ind w:left="475" w:firstLine="0"/>
    </w:pPr>
  </w:style>
  <w:style w:type="paragraph" w:styleId="TDC4">
    <w:name w:val="toc 4"/>
    <w:basedOn w:val="Normal"/>
    <w:next w:val="Normal"/>
    <w:autoRedefine/>
    <w:uiPriority w:val="39"/>
    <w:rsid w:val="00913EDA"/>
    <w:pPr>
      <w:tabs>
        <w:tab w:val="right" w:leader="dot" w:pos="9350"/>
      </w:tabs>
      <w:ind w:left="431" w:hanging="431"/>
    </w:pPr>
  </w:style>
  <w:style w:type="paragraph" w:styleId="TDC5">
    <w:name w:val="toc 5"/>
    <w:basedOn w:val="Normal"/>
    <w:next w:val="Normal"/>
    <w:autoRedefine/>
    <w:semiHidden/>
    <w:rsid w:val="008C4756"/>
    <w:pPr>
      <w:tabs>
        <w:tab w:val="right" w:pos="9350"/>
      </w:tabs>
      <w:ind w:left="431" w:hanging="431"/>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character" w:styleId="Hipervnculo">
    <w:name w:val="Hyperlink"/>
    <w:uiPriority w:val="99"/>
    <w:rPr>
      <w:color w:val="0000FF"/>
      <w:u w:val="single"/>
    </w:rPr>
  </w:style>
  <w:style w:type="paragraph" w:styleId="Tabladeilustraciones">
    <w:name w:val="table of figures"/>
    <w:basedOn w:val="Normal"/>
    <w:next w:val="Normal"/>
    <w:uiPriority w:val="99"/>
    <w:pPr>
      <w:ind w:left="475" w:hanging="475"/>
    </w:p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tyle>
  <w:style w:type="paragraph" w:styleId="Encabezado">
    <w:name w:val="header"/>
    <w:basedOn w:val="Normal"/>
    <w:pPr>
      <w:tabs>
        <w:tab w:val="center" w:pos="4320"/>
        <w:tab w:val="right" w:pos="8640"/>
      </w:tabs>
    </w:pPr>
  </w:style>
  <w:style w:type="paragraph" w:customStyle="1" w:styleId="ButtonorMenuSelectionCharChar">
    <w:name w:val="Button or Menu Selection Char Char"/>
    <w:basedOn w:val="Normal"/>
    <w:autoRedefine/>
    <w:pPr>
      <w:tabs>
        <w:tab w:val="num" w:pos="720"/>
      </w:tabs>
      <w:spacing w:line="240" w:lineRule="auto"/>
      <w:ind w:left="720" w:hanging="360"/>
    </w:pPr>
    <w:rPr>
      <w:rFonts w:ascii="Arial" w:hAnsi="Arial" w:cs="Arial"/>
      <w:b/>
    </w:rPr>
  </w:style>
  <w:style w:type="character" w:customStyle="1" w:styleId="ButtonorMenuSelectionCharCharChar">
    <w:name w:val="Button or Menu Selection Char Char Char"/>
    <w:rPr>
      <w:rFonts w:ascii="Arial" w:hAnsi="Arial" w:cs="Arial"/>
      <w:b/>
      <w:sz w:val="24"/>
      <w:szCs w:val="24"/>
      <w:lang w:val="en-US" w:eastAsia="en-US" w:bidi="ar-SA"/>
    </w:rPr>
  </w:style>
  <w:style w:type="paragraph" w:customStyle="1" w:styleId="IntroText">
    <w:name w:val="Intro Text"/>
    <w:basedOn w:val="Normal"/>
    <w:pPr>
      <w:spacing w:line="240" w:lineRule="auto"/>
      <w:ind w:firstLine="0"/>
    </w:pPr>
    <w:rPr>
      <w:rFonts w:ascii="Arial" w:hAnsi="Arial"/>
    </w:rPr>
  </w:style>
  <w:style w:type="paragraph" w:customStyle="1" w:styleId="Text">
    <w:name w:val="Text"/>
    <w:pPr>
      <w:spacing w:line="360" w:lineRule="auto"/>
    </w:pPr>
    <w:rPr>
      <w:sz w:val="24"/>
      <w:lang w:val="en-US" w:eastAsia="en-US"/>
    </w:rPr>
  </w:style>
  <w:style w:type="character" w:customStyle="1" w:styleId="TitlePageChar">
    <w:name w:val="Title Page Char"/>
    <w:rPr>
      <w:sz w:val="24"/>
      <w:lang w:val="en-US" w:eastAsia="en-US" w:bidi="ar-SA"/>
    </w:rPr>
  </w:style>
  <w:style w:type="character" w:customStyle="1" w:styleId="PageHeadingChar">
    <w:name w:val="Page Heading Char"/>
    <w:rsid w:val="000F3EE3"/>
    <w:rPr>
      <w:rFonts w:ascii="Century Gothic" w:hAnsi="Century Gothic"/>
      <w:b/>
      <w:sz w:val="32"/>
      <w:lang w:val="en-US" w:eastAsia="en-US" w:bidi="ar-SA"/>
    </w:rPr>
  </w:style>
  <w:style w:type="character" w:styleId="Hipervnculovisitado">
    <w:name w:val="FollowedHyperlink"/>
    <w:rPr>
      <w:color w:val="800080"/>
      <w:u w:val="single"/>
    </w:rPr>
  </w:style>
  <w:style w:type="paragraph" w:customStyle="1" w:styleId="Bibliografa1">
    <w:name w:val="Bibliografía1"/>
    <w:basedOn w:val="Textoindependiente"/>
    <w:rsid w:val="00E63C01"/>
    <w:pPr>
      <w:spacing w:line="240" w:lineRule="auto"/>
      <w:ind w:left="567" w:hanging="567"/>
    </w:pPr>
  </w:style>
  <w:style w:type="character" w:styleId="Refdecomentario">
    <w:name w:val="annotation reference"/>
    <w:rsid w:val="00790CF1"/>
    <w:rPr>
      <w:sz w:val="16"/>
      <w:szCs w:val="16"/>
    </w:rPr>
  </w:style>
  <w:style w:type="paragraph" w:styleId="Textocomentario">
    <w:name w:val="annotation text"/>
    <w:basedOn w:val="Normal"/>
    <w:link w:val="TextocomentarioCar"/>
    <w:rsid w:val="00790CF1"/>
    <w:rPr>
      <w:sz w:val="20"/>
      <w:szCs w:val="20"/>
    </w:rPr>
  </w:style>
  <w:style w:type="character" w:customStyle="1" w:styleId="TextocomentarioCar">
    <w:name w:val="Texto comentario Car"/>
    <w:basedOn w:val="Fuentedeprrafopredeter"/>
    <w:link w:val="Textocomentario"/>
    <w:rsid w:val="00790CF1"/>
  </w:style>
  <w:style w:type="paragraph" w:styleId="Asuntodelcomentario">
    <w:name w:val="annotation subject"/>
    <w:basedOn w:val="Textocomentario"/>
    <w:next w:val="Textocomentario"/>
    <w:link w:val="AsuntodelcomentarioCar"/>
    <w:rsid w:val="00790CF1"/>
    <w:rPr>
      <w:b/>
      <w:bCs/>
    </w:rPr>
  </w:style>
  <w:style w:type="character" w:customStyle="1" w:styleId="AsuntodelcomentarioCar">
    <w:name w:val="Asunto del comentario Car"/>
    <w:link w:val="Asuntodelcomentario"/>
    <w:rsid w:val="00790CF1"/>
    <w:rPr>
      <w:b/>
      <w:bCs/>
    </w:rPr>
  </w:style>
  <w:style w:type="paragraph" w:styleId="Textodeglobo">
    <w:name w:val="Balloon Text"/>
    <w:basedOn w:val="Normal"/>
    <w:link w:val="TextodegloboCar"/>
    <w:rsid w:val="00790CF1"/>
    <w:pPr>
      <w:spacing w:line="240" w:lineRule="auto"/>
    </w:pPr>
    <w:rPr>
      <w:rFonts w:ascii="Tahoma" w:hAnsi="Tahoma" w:cs="Tahoma"/>
      <w:sz w:val="16"/>
      <w:szCs w:val="16"/>
    </w:rPr>
  </w:style>
  <w:style w:type="character" w:customStyle="1" w:styleId="TextodegloboCar">
    <w:name w:val="Texto de globo Car"/>
    <w:link w:val="Textodeglobo"/>
    <w:rsid w:val="00790CF1"/>
    <w:rPr>
      <w:rFonts w:ascii="Tahoma" w:hAnsi="Tahoma" w:cs="Tahoma"/>
      <w:sz w:val="16"/>
      <w:szCs w:val="16"/>
    </w:rPr>
  </w:style>
  <w:style w:type="paragraph" w:customStyle="1" w:styleId="Revisin1">
    <w:name w:val="Revisión1"/>
    <w:hidden/>
    <w:uiPriority w:val="99"/>
    <w:semiHidden/>
    <w:rsid w:val="00243901"/>
    <w:rPr>
      <w:sz w:val="24"/>
      <w:szCs w:val="24"/>
      <w:lang w:val="en-US" w:eastAsia="en-US"/>
    </w:rPr>
  </w:style>
  <w:style w:type="paragraph" w:styleId="Mapadeldocumento">
    <w:name w:val="Document Map"/>
    <w:basedOn w:val="Normal"/>
    <w:link w:val="MapadeldocumentoCar"/>
    <w:rsid w:val="002A5447"/>
    <w:rPr>
      <w:rFonts w:ascii="Tahoma" w:hAnsi="Tahoma" w:cs="Tahoma"/>
      <w:sz w:val="16"/>
      <w:szCs w:val="16"/>
    </w:rPr>
  </w:style>
  <w:style w:type="character" w:customStyle="1" w:styleId="MapadeldocumentoCar">
    <w:name w:val="Mapa del documento Car"/>
    <w:link w:val="Mapadeldocumento"/>
    <w:rsid w:val="002A5447"/>
    <w:rPr>
      <w:rFonts w:ascii="Tahoma" w:hAnsi="Tahoma" w:cs="Tahoma"/>
      <w:sz w:val="16"/>
      <w:szCs w:val="16"/>
    </w:rPr>
  </w:style>
  <w:style w:type="paragraph" w:customStyle="1" w:styleId="Tabladecuadrcula31">
    <w:name w:val="Tabla de cuadrícula 31"/>
    <w:basedOn w:val="Ttulo1"/>
    <w:next w:val="Normal"/>
    <w:uiPriority w:val="39"/>
    <w:semiHidden/>
    <w:unhideWhenUsed/>
    <w:qFormat/>
    <w:rsid w:val="00EF05DF"/>
    <w:pPr>
      <w:keepLines/>
      <w:numPr>
        <w:numId w:val="0"/>
      </w:numPr>
      <w:spacing w:before="480" w:after="0" w:line="276" w:lineRule="auto"/>
      <w:jc w:val="left"/>
      <w:outlineLvl w:val="9"/>
    </w:pPr>
    <w:rPr>
      <w:rFonts w:ascii="Cambria" w:hAnsi="Cambria" w:cs="Times New Roman"/>
      <w:color w:val="365F91"/>
      <w:kern w:val="0"/>
      <w:sz w:val="28"/>
      <w:szCs w:val="28"/>
      <w:lang w:val="es-ES"/>
    </w:rPr>
  </w:style>
  <w:style w:type="paragraph" w:styleId="Textodebloque">
    <w:name w:val="Block Text"/>
    <w:basedOn w:val="Normal"/>
    <w:rsid w:val="00373EB9"/>
    <w:pPr>
      <w:spacing w:after="120"/>
      <w:ind w:left="1440" w:right="1440"/>
    </w:pPr>
  </w:style>
  <w:style w:type="paragraph" w:styleId="Textoindependiente2">
    <w:name w:val="Body Text 2"/>
    <w:basedOn w:val="Normal"/>
    <w:link w:val="Textoindependiente2Car"/>
    <w:rsid w:val="00373EB9"/>
    <w:pPr>
      <w:spacing w:after="120" w:line="480" w:lineRule="auto"/>
    </w:pPr>
  </w:style>
  <w:style w:type="character" w:customStyle="1" w:styleId="Textoindependiente2Car">
    <w:name w:val="Texto independiente 2 Car"/>
    <w:link w:val="Textoindependiente2"/>
    <w:rsid w:val="00373EB9"/>
    <w:rPr>
      <w:sz w:val="24"/>
      <w:szCs w:val="24"/>
    </w:rPr>
  </w:style>
  <w:style w:type="paragraph" w:styleId="Textoindependiente3">
    <w:name w:val="Body Text 3"/>
    <w:basedOn w:val="Normal"/>
    <w:link w:val="Textoindependiente3Car"/>
    <w:rsid w:val="00373EB9"/>
    <w:pPr>
      <w:spacing w:after="120"/>
    </w:pPr>
    <w:rPr>
      <w:sz w:val="16"/>
      <w:szCs w:val="16"/>
    </w:rPr>
  </w:style>
  <w:style w:type="character" w:customStyle="1" w:styleId="Textoindependiente3Car">
    <w:name w:val="Texto independiente 3 Car"/>
    <w:link w:val="Textoindependiente3"/>
    <w:rsid w:val="00373EB9"/>
    <w:rPr>
      <w:sz w:val="16"/>
      <w:szCs w:val="16"/>
    </w:rPr>
  </w:style>
  <w:style w:type="paragraph" w:styleId="Textoindependienteprimerasangra">
    <w:name w:val="Body Text First Indent"/>
    <w:basedOn w:val="Textoindependiente"/>
    <w:link w:val="TextoindependienteprimerasangraCar"/>
    <w:rsid w:val="00373EB9"/>
    <w:pPr>
      <w:spacing w:after="120"/>
      <w:ind w:firstLine="210"/>
    </w:pPr>
  </w:style>
  <w:style w:type="character" w:customStyle="1" w:styleId="TextoindependienteCar">
    <w:name w:val="Texto independiente Car"/>
    <w:link w:val="Textoindependiente"/>
    <w:rsid w:val="009C490E"/>
    <w:rPr>
      <w:sz w:val="24"/>
      <w:szCs w:val="24"/>
      <w:lang w:val="en-US" w:eastAsia="en-US"/>
    </w:rPr>
  </w:style>
  <w:style w:type="character" w:customStyle="1" w:styleId="TextoindependienteprimerasangraCar">
    <w:name w:val="Texto independiente primera sangría Car"/>
    <w:basedOn w:val="TextoindependienteCar"/>
    <w:link w:val="Textoindependienteprimerasangra"/>
    <w:rsid w:val="00373EB9"/>
    <w:rPr>
      <w:sz w:val="24"/>
      <w:szCs w:val="24"/>
      <w:lang w:val="en-US" w:eastAsia="en-US"/>
    </w:rPr>
  </w:style>
  <w:style w:type="paragraph" w:styleId="Sangradetextonormal">
    <w:name w:val="Body Text Indent"/>
    <w:basedOn w:val="Normal"/>
    <w:link w:val="SangradetextonormalCar"/>
    <w:rsid w:val="00373EB9"/>
    <w:pPr>
      <w:spacing w:after="120"/>
      <w:ind w:left="360"/>
    </w:pPr>
  </w:style>
  <w:style w:type="character" w:customStyle="1" w:styleId="SangradetextonormalCar">
    <w:name w:val="Sangría de texto normal Car"/>
    <w:link w:val="Sangradetextonormal"/>
    <w:rsid w:val="00373EB9"/>
    <w:rPr>
      <w:sz w:val="24"/>
      <w:szCs w:val="24"/>
    </w:rPr>
  </w:style>
  <w:style w:type="paragraph" w:styleId="Textoindependienteprimerasangra2">
    <w:name w:val="Body Text First Indent 2"/>
    <w:basedOn w:val="Sangradetextonormal"/>
    <w:link w:val="Textoindependienteprimerasangra2Car"/>
    <w:rsid w:val="00373EB9"/>
    <w:pPr>
      <w:ind w:firstLine="210"/>
    </w:pPr>
  </w:style>
  <w:style w:type="character" w:customStyle="1" w:styleId="Textoindependienteprimerasangra2Car">
    <w:name w:val="Texto independiente primera sangría 2 Car"/>
    <w:basedOn w:val="SangradetextonormalCar"/>
    <w:link w:val="Textoindependienteprimerasangra2"/>
    <w:rsid w:val="00373EB9"/>
    <w:rPr>
      <w:sz w:val="24"/>
      <w:szCs w:val="24"/>
    </w:rPr>
  </w:style>
  <w:style w:type="paragraph" w:styleId="Sangra2detindependiente">
    <w:name w:val="Body Text Indent 2"/>
    <w:basedOn w:val="Normal"/>
    <w:link w:val="Sangra2detindependienteCar"/>
    <w:rsid w:val="00373EB9"/>
    <w:pPr>
      <w:spacing w:after="120" w:line="480" w:lineRule="auto"/>
      <w:ind w:left="360"/>
    </w:pPr>
  </w:style>
  <w:style w:type="character" w:customStyle="1" w:styleId="Sangra2detindependienteCar">
    <w:name w:val="Sangría 2 de t. independiente Car"/>
    <w:link w:val="Sangra2detindependiente"/>
    <w:rsid w:val="00373EB9"/>
    <w:rPr>
      <w:sz w:val="24"/>
      <w:szCs w:val="24"/>
    </w:rPr>
  </w:style>
  <w:style w:type="paragraph" w:styleId="Sangra3detindependiente">
    <w:name w:val="Body Text Indent 3"/>
    <w:basedOn w:val="Normal"/>
    <w:link w:val="Sangra3detindependienteCar"/>
    <w:rsid w:val="00373EB9"/>
    <w:pPr>
      <w:spacing w:after="120"/>
      <w:ind w:left="360"/>
    </w:pPr>
    <w:rPr>
      <w:sz w:val="16"/>
      <w:szCs w:val="16"/>
    </w:rPr>
  </w:style>
  <w:style w:type="character" w:customStyle="1" w:styleId="Sangra3detindependienteCar">
    <w:name w:val="Sangría 3 de t. independiente Car"/>
    <w:link w:val="Sangra3detindependiente"/>
    <w:rsid w:val="00373EB9"/>
    <w:rPr>
      <w:sz w:val="16"/>
      <w:szCs w:val="16"/>
    </w:rPr>
  </w:style>
  <w:style w:type="paragraph" w:styleId="Cierre">
    <w:name w:val="Closing"/>
    <w:basedOn w:val="Normal"/>
    <w:link w:val="CierreCar"/>
    <w:rsid w:val="00373EB9"/>
    <w:pPr>
      <w:ind w:left="4320"/>
    </w:pPr>
  </w:style>
  <w:style w:type="character" w:customStyle="1" w:styleId="CierreCar">
    <w:name w:val="Cierre Car"/>
    <w:link w:val="Cierre"/>
    <w:rsid w:val="00373EB9"/>
    <w:rPr>
      <w:sz w:val="24"/>
      <w:szCs w:val="24"/>
    </w:rPr>
  </w:style>
  <w:style w:type="paragraph" w:styleId="Fecha">
    <w:name w:val="Date"/>
    <w:basedOn w:val="Normal"/>
    <w:next w:val="Normal"/>
    <w:link w:val="FechaCar"/>
    <w:rsid w:val="00373EB9"/>
  </w:style>
  <w:style w:type="character" w:customStyle="1" w:styleId="FechaCar">
    <w:name w:val="Fecha Car"/>
    <w:link w:val="Fecha"/>
    <w:rsid w:val="00373EB9"/>
    <w:rPr>
      <w:sz w:val="24"/>
      <w:szCs w:val="24"/>
    </w:rPr>
  </w:style>
  <w:style w:type="paragraph" w:styleId="Firmadecorreoelectrnico">
    <w:name w:val="E-mail Signature"/>
    <w:basedOn w:val="Normal"/>
    <w:link w:val="FirmadecorreoelectrnicoCar"/>
    <w:rsid w:val="00373EB9"/>
  </w:style>
  <w:style w:type="character" w:customStyle="1" w:styleId="FirmadecorreoelectrnicoCar">
    <w:name w:val="Firma de correo electrónico Car"/>
    <w:link w:val="Firmadecorreoelectrnico"/>
    <w:rsid w:val="00373EB9"/>
    <w:rPr>
      <w:sz w:val="24"/>
      <w:szCs w:val="24"/>
    </w:rPr>
  </w:style>
  <w:style w:type="paragraph" w:styleId="Textonotaalfinal">
    <w:name w:val="endnote text"/>
    <w:basedOn w:val="Normal"/>
    <w:link w:val="TextonotaalfinalCar"/>
    <w:rsid w:val="00373EB9"/>
    <w:rPr>
      <w:sz w:val="20"/>
      <w:szCs w:val="20"/>
    </w:rPr>
  </w:style>
  <w:style w:type="character" w:customStyle="1" w:styleId="TextonotaalfinalCar">
    <w:name w:val="Texto nota al final Car"/>
    <w:basedOn w:val="Fuentedeprrafopredeter"/>
    <w:link w:val="Textonotaalfinal"/>
    <w:rsid w:val="00373EB9"/>
  </w:style>
  <w:style w:type="paragraph" w:styleId="Direccinsobre">
    <w:name w:val="envelope address"/>
    <w:basedOn w:val="Normal"/>
    <w:rsid w:val="00373EB9"/>
    <w:pPr>
      <w:framePr w:w="7920" w:h="1980" w:hRule="exact" w:hSpace="180" w:wrap="auto" w:hAnchor="page" w:xAlign="center" w:yAlign="bottom"/>
      <w:ind w:left="2880"/>
    </w:pPr>
    <w:rPr>
      <w:rFonts w:ascii="Cambria" w:hAnsi="Cambria"/>
    </w:rPr>
  </w:style>
  <w:style w:type="paragraph" w:styleId="Remitedesobre">
    <w:name w:val="envelope return"/>
    <w:basedOn w:val="Normal"/>
    <w:rsid w:val="00373EB9"/>
    <w:rPr>
      <w:rFonts w:ascii="Cambria" w:hAnsi="Cambria"/>
      <w:sz w:val="20"/>
      <w:szCs w:val="20"/>
    </w:rPr>
  </w:style>
  <w:style w:type="paragraph" w:styleId="Textonotapie">
    <w:name w:val="footnote text"/>
    <w:basedOn w:val="Normal"/>
    <w:link w:val="TextonotapieCar"/>
    <w:rsid w:val="00373EB9"/>
    <w:rPr>
      <w:sz w:val="20"/>
      <w:szCs w:val="20"/>
    </w:rPr>
  </w:style>
  <w:style w:type="character" w:customStyle="1" w:styleId="TextonotapieCar">
    <w:name w:val="Texto nota pie Car"/>
    <w:basedOn w:val="Fuentedeprrafopredeter"/>
    <w:link w:val="Textonotapie"/>
    <w:rsid w:val="00373EB9"/>
  </w:style>
  <w:style w:type="paragraph" w:styleId="DireccinHTML">
    <w:name w:val="HTML Address"/>
    <w:basedOn w:val="Normal"/>
    <w:link w:val="DireccinHTMLCar"/>
    <w:rsid w:val="00373EB9"/>
    <w:rPr>
      <w:i/>
      <w:iCs/>
    </w:rPr>
  </w:style>
  <w:style w:type="character" w:customStyle="1" w:styleId="DireccinHTMLCar">
    <w:name w:val="Dirección HTML Car"/>
    <w:link w:val="DireccinHTML"/>
    <w:rsid w:val="00373EB9"/>
    <w:rPr>
      <w:i/>
      <w:iCs/>
      <w:sz w:val="24"/>
      <w:szCs w:val="24"/>
    </w:rPr>
  </w:style>
  <w:style w:type="paragraph" w:styleId="HTMLconformatoprevio">
    <w:name w:val="HTML Preformatted"/>
    <w:basedOn w:val="Normal"/>
    <w:link w:val="HTMLconformatoprevioCar"/>
    <w:uiPriority w:val="99"/>
    <w:rsid w:val="00373EB9"/>
    <w:rPr>
      <w:rFonts w:ascii="Courier New" w:hAnsi="Courier New" w:cs="Courier New"/>
      <w:sz w:val="20"/>
      <w:szCs w:val="20"/>
    </w:rPr>
  </w:style>
  <w:style w:type="character" w:customStyle="1" w:styleId="HTMLconformatoprevioCar">
    <w:name w:val="HTML con formato previo Car"/>
    <w:link w:val="HTMLconformatoprevio"/>
    <w:uiPriority w:val="99"/>
    <w:rsid w:val="00373EB9"/>
    <w:rPr>
      <w:rFonts w:ascii="Courier New" w:hAnsi="Courier New" w:cs="Courier New"/>
    </w:rPr>
  </w:style>
  <w:style w:type="paragraph" w:styleId="ndice1">
    <w:name w:val="index 1"/>
    <w:basedOn w:val="Normal"/>
    <w:next w:val="Normal"/>
    <w:autoRedefine/>
    <w:rsid w:val="00373EB9"/>
    <w:pPr>
      <w:ind w:left="240" w:hanging="240"/>
    </w:pPr>
  </w:style>
  <w:style w:type="paragraph" w:styleId="ndice2">
    <w:name w:val="index 2"/>
    <w:basedOn w:val="Normal"/>
    <w:next w:val="Normal"/>
    <w:autoRedefine/>
    <w:rsid w:val="00373EB9"/>
    <w:pPr>
      <w:ind w:left="480" w:hanging="240"/>
    </w:pPr>
  </w:style>
  <w:style w:type="paragraph" w:styleId="ndice3">
    <w:name w:val="index 3"/>
    <w:basedOn w:val="Normal"/>
    <w:next w:val="Normal"/>
    <w:autoRedefine/>
    <w:rsid w:val="00373EB9"/>
    <w:pPr>
      <w:ind w:left="720" w:hanging="240"/>
    </w:pPr>
  </w:style>
  <w:style w:type="paragraph" w:styleId="ndice4">
    <w:name w:val="index 4"/>
    <w:basedOn w:val="Normal"/>
    <w:next w:val="Normal"/>
    <w:autoRedefine/>
    <w:rsid w:val="00373EB9"/>
    <w:pPr>
      <w:ind w:left="960" w:hanging="240"/>
    </w:pPr>
  </w:style>
  <w:style w:type="paragraph" w:styleId="ndice5">
    <w:name w:val="index 5"/>
    <w:basedOn w:val="Normal"/>
    <w:next w:val="Normal"/>
    <w:autoRedefine/>
    <w:rsid w:val="00373EB9"/>
    <w:pPr>
      <w:ind w:left="1200" w:hanging="240"/>
    </w:pPr>
  </w:style>
  <w:style w:type="paragraph" w:styleId="ndice6">
    <w:name w:val="index 6"/>
    <w:basedOn w:val="Normal"/>
    <w:next w:val="Normal"/>
    <w:autoRedefine/>
    <w:rsid w:val="00373EB9"/>
    <w:pPr>
      <w:ind w:left="1440" w:hanging="240"/>
    </w:pPr>
  </w:style>
  <w:style w:type="paragraph" w:styleId="ndice7">
    <w:name w:val="index 7"/>
    <w:basedOn w:val="Normal"/>
    <w:next w:val="Normal"/>
    <w:autoRedefine/>
    <w:rsid w:val="00373EB9"/>
    <w:pPr>
      <w:ind w:left="1680" w:hanging="240"/>
    </w:pPr>
  </w:style>
  <w:style w:type="paragraph" w:styleId="ndice8">
    <w:name w:val="index 8"/>
    <w:basedOn w:val="Normal"/>
    <w:next w:val="Normal"/>
    <w:autoRedefine/>
    <w:rsid w:val="00FA2E97"/>
    <w:pPr>
      <w:spacing w:before="240"/>
      <w:ind w:left="1930" w:hanging="245"/>
    </w:pPr>
  </w:style>
  <w:style w:type="paragraph" w:styleId="ndice9">
    <w:name w:val="index 9"/>
    <w:basedOn w:val="Normal"/>
    <w:next w:val="Normal"/>
    <w:autoRedefine/>
    <w:rsid w:val="00373EB9"/>
    <w:pPr>
      <w:ind w:left="2160" w:hanging="240"/>
    </w:pPr>
  </w:style>
  <w:style w:type="paragraph" w:styleId="Ttulodendice">
    <w:name w:val="index heading"/>
    <w:basedOn w:val="Normal"/>
    <w:next w:val="ndice1"/>
    <w:rsid w:val="00373EB9"/>
    <w:rPr>
      <w:rFonts w:ascii="Cambria" w:hAnsi="Cambria"/>
      <w:b/>
      <w:bCs/>
    </w:rPr>
  </w:style>
  <w:style w:type="paragraph" w:customStyle="1" w:styleId="Citaintensa1">
    <w:name w:val="Cita intensa1"/>
    <w:basedOn w:val="Normal"/>
    <w:next w:val="Normal"/>
    <w:link w:val="IntenseQuoteChar"/>
    <w:uiPriority w:val="30"/>
    <w:qFormat/>
    <w:rsid w:val="00373EB9"/>
    <w:pPr>
      <w:pBdr>
        <w:bottom w:val="single" w:sz="4" w:space="4" w:color="4F81BD"/>
      </w:pBdr>
      <w:spacing w:before="200" w:after="280"/>
      <w:ind w:left="936" w:right="936"/>
    </w:pPr>
    <w:rPr>
      <w:b/>
      <w:bCs/>
      <w:i/>
      <w:iCs/>
      <w:color w:val="4F81BD"/>
    </w:rPr>
  </w:style>
  <w:style w:type="character" w:customStyle="1" w:styleId="IntenseQuoteChar">
    <w:name w:val="Intense Quote Char"/>
    <w:link w:val="Citaintensa1"/>
    <w:uiPriority w:val="30"/>
    <w:rsid w:val="00373EB9"/>
    <w:rPr>
      <w:b/>
      <w:bCs/>
      <w:i/>
      <w:iCs/>
      <w:color w:val="4F81BD"/>
      <w:sz w:val="24"/>
      <w:szCs w:val="24"/>
    </w:rPr>
  </w:style>
  <w:style w:type="paragraph" w:styleId="Lista">
    <w:name w:val="List"/>
    <w:basedOn w:val="Normal"/>
    <w:rsid w:val="00373EB9"/>
    <w:pPr>
      <w:ind w:left="360" w:hanging="360"/>
      <w:contextualSpacing/>
    </w:pPr>
  </w:style>
  <w:style w:type="paragraph" w:styleId="Lista2">
    <w:name w:val="List 2"/>
    <w:basedOn w:val="Normal"/>
    <w:rsid w:val="00373EB9"/>
    <w:pPr>
      <w:ind w:left="720" w:hanging="360"/>
      <w:contextualSpacing/>
    </w:pPr>
  </w:style>
  <w:style w:type="paragraph" w:styleId="Lista3">
    <w:name w:val="List 3"/>
    <w:basedOn w:val="Normal"/>
    <w:rsid w:val="00373EB9"/>
    <w:pPr>
      <w:ind w:left="1080" w:hanging="360"/>
      <w:contextualSpacing/>
    </w:pPr>
  </w:style>
  <w:style w:type="paragraph" w:styleId="Lista4">
    <w:name w:val="List 4"/>
    <w:basedOn w:val="Normal"/>
    <w:rsid w:val="00373EB9"/>
    <w:pPr>
      <w:ind w:left="1440" w:hanging="360"/>
      <w:contextualSpacing/>
    </w:pPr>
  </w:style>
  <w:style w:type="paragraph" w:styleId="Lista5">
    <w:name w:val="List 5"/>
    <w:basedOn w:val="Normal"/>
    <w:rsid w:val="00373EB9"/>
    <w:pPr>
      <w:ind w:left="1800" w:hanging="360"/>
      <w:contextualSpacing/>
    </w:pPr>
  </w:style>
  <w:style w:type="paragraph" w:styleId="Listaconvietas">
    <w:name w:val="List Bullet"/>
    <w:basedOn w:val="Normal"/>
    <w:rsid w:val="00373EB9"/>
    <w:pPr>
      <w:numPr>
        <w:numId w:val="1"/>
      </w:numPr>
      <w:contextualSpacing/>
    </w:pPr>
  </w:style>
  <w:style w:type="paragraph" w:styleId="Listaconvietas2">
    <w:name w:val="List Bullet 2"/>
    <w:basedOn w:val="Normal"/>
    <w:rsid w:val="00373EB9"/>
    <w:pPr>
      <w:numPr>
        <w:numId w:val="2"/>
      </w:numPr>
      <w:contextualSpacing/>
    </w:pPr>
  </w:style>
  <w:style w:type="paragraph" w:styleId="Listaconvietas3">
    <w:name w:val="List Bullet 3"/>
    <w:basedOn w:val="Normal"/>
    <w:rsid w:val="00373EB9"/>
    <w:pPr>
      <w:numPr>
        <w:numId w:val="3"/>
      </w:numPr>
      <w:contextualSpacing/>
    </w:pPr>
  </w:style>
  <w:style w:type="paragraph" w:styleId="Listaconvietas4">
    <w:name w:val="List Bullet 4"/>
    <w:basedOn w:val="Normal"/>
    <w:rsid w:val="00373EB9"/>
    <w:pPr>
      <w:numPr>
        <w:numId w:val="4"/>
      </w:numPr>
      <w:contextualSpacing/>
    </w:pPr>
  </w:style>
  <w:style w:type="paragraph" w:styleId="Listaconvietas5">
    <w:name w:val="List Bullet 5"/>
    <w:basedOn w:val="Normal"/>
    <w:rsid w:val="00373EB9"/>
    <w:pPr>
      <w:numPr>
        <w:numId w:val="5"/>
      </w:numPr>
      <w:contextualSpacing/>
    </w:pPr>
  </w:style>
  <w:style w:type="paragraph" w:styleId="Continuarlista">
    <w:name w:val="List Continue"/>
    <w:basedOn w:val="Normal"/>
    <w:rsid w:val="00373EB9"/>
    <w:pPr>
      <w:spacing w:after="120"/>
      <w:ind w:left="360"/>
      <w:contextualSpacing/>
    </w:pPr>
  </w:style>
  <w:style w:type="paragraph" w:styleId="Continuarlista2">
    <w:name w:val="List Continue 2"/>
    <w:basedOn w:val="Normal"/>
    <w:rsid w:val="00373EB9"/>
    <w:pPr>
      <w:spacing w:after="120"/>
      <w:ind w:left="720"/>
      <w:contextualSpacing/>
    </w:pPr>
  </w:style>
  <w:style w:type="paragraph" w:styleId="Continuarlista3">
    <w:name w:val="List Continue 3"/>
    <w:basedOn w:val="Normal"/>
    <w:rsid w:val="00373EB9"/>
    <w:pPr>
      <w:spacing w:after="120"/>
      <w:ind w:left="1080"/>
      <w:contextualSpacing/>
    </w:pPr>
  </w:style>
  <w:style w:type="paragraph" w:styleId="Continuarlista4">
    <w:name w:val="List Continue 4"/>
    <w:basedOn w:val="Normal"/>
    <w:rsid w:val="00373EB9"/>
    <w:pPr>
      <w:spacing w:after="120"/>
      <w:ind w:left="1440"/>
      <w:contextualSpacing/>
    </w:pPr>
  </w:style>
  <w:style w:type="paragraph" w:styleId="Continuarlista5">
    <w:name w:val="List Continue 5"/>
    <w:basedOn w:val="Normal"/>
    <w:rsid w:val="00373EB9"/>
    <w:pPr>
      <w:spacing w:after="120"/>
      <w:ind w:left="1800"/>
      <w:contextualSpacing/>
    </w:pPr>
  </w:style>
  <w:style w:type="paragraph" w:styleId="Listaconnmeros">
    <w:name w:val="List Number"/>
    <w:basedOn w:val="Normal"/>
    <w:rsid w:val="00373EB9"/>
    <w:pPr>
      <w:numPr>
        <w:numId w:val="6"/>
      </w:numPr>
      <w:contextualSpacing/>
    </w:pPr>
  </w:style>
  <w:style w:type="paragraph" w:styleId="Listaconnmeros2">
    <w:name w:val="List Number 2"/>
    <w:basedOn w:val="Normal"/>
    <w:rsid w:val="00373EB9"/>
    <w:pPr>
      <w:numPr>
        <w:numId w:val="7"/>
      </w:numPr>
      <w:contextualSpacing/>
    </w:pPr>
  </w:style>
  <w:style w:type="paragraph" w:styleId="Listaconnmeros3">
    <w:name w:val="List Number 3"/>
    <w:basedOn w:val="Normal"/>
    <w:rsid w:val="00373EB9"/>
    <w:pPr>
      <w:numPr>
        <w:numId w:val="8"/>
      </w:numPr>
      <w:contextualSpacing/>
    </w:pPr>
  </w:style>
  <w:style w:type="paragraph" w:styleId="Listaconnmeros4">
    <w:name w:val="List Number 4"/>
    <w:basedOn w:val="Normal"/>
    <w:rsid w:val="00373EB9"/>
    <w:pPr>
      <w:numPr>
        <w:numId w:val="9"/>
      </w:numPr>
      <w:contextualSpacing/>
    </w:pPr>
  </w:style>
  <w:style w:type="paragraph" w:styleId="Listaconnmeros5">
    <w:name w:val="List Number 5"/>
    <w:basedOn w:val="Normal"/>
    <w:rsid w:val="00373EB9"/>
    <w:pPr>
      <w:numPr>
        <w:numId w:val="10"/>
      </w:numPr>
      <w:contextualSpacing/>
    </w:pPr>
  </w:style>
  <w:style w:type="paragraph" w:customStyle="1" w:styleId="Prrafodelista1">
    <w:name w:val="Párrafo de lista1"/>
    <w:basedOn w:val="Normal"/>
    <w:uiPriority w:val="34"/>
    <w:qFormat/>
    <w:rsid w:val="00373EB9"/>
    <w:pPr>
      <w:ind w:left="720"/>
    </w:pPr>
  </w:style>
  <w:style w:type="paragraph" w:styleId="Textomacro">
    <w:name w:val="macro"/>
    <w:link w:val="TextomacroCar"/>
    <w:rsid w:val="00373EB9"/>
    <w:pPr>
      <w:tabs>
        <w:tab w:val="left" w:pos="480"/>
        <w:tab w:val="left" w:pos="960"/>
        <w:tab w:val="left" w:pos="1440"/>
        <w:tab w:val="left" w:pos="1920"/>
        <w:tab w:val="left" w:pos="2400"/>
        <w:tab w:val="left" w:pos="2880"/>
        <w:tab w:val="left" w:pos="3360"/>
        <w:tab w:val="left" w:pos="3840"/>
        <w:tab w:val="left" w:pos="4320"/>
      </w:tabs>
      <w:spacing w:line="360" w:lineRule="auto"/>
      <w:ind w:firstLine="720"/>
    </w:pPr>
    <w:rPr>
      <w:rFonts w:ascii="Courier New" w:hAnsi="Courier New" w:cs="Courier New"/>
      <w:lang w:val="en-US" w:eastAsia="en-US"/>
    </w:rPr>
  </w:style>
  <w:style w:type="character" w:customStyle="1" w:styleId="TextomacroCar">
    <w:name w:val="Texto macro Car"/>
    <w:link w:val="Textomacro"/>
    <w:rsid w:val="00373EB9"/>
    <w:rPr>
      <w:rFonts w:ascii="Courier New" w:hAnsi="Courier New" w:cs="Courier New"/>
      <w:lang w:val="en-US" w:eastAsia="en-US" w:bidi="ar-SA"/>
    </w:rPr>
  </w:style>
  <w:style w:type="paragraph" w:styleId="Encabezadodemensaje">
    <w:name w:val="Message Header"/>
    <w:basedOn w:val="Normal"/>
    <w:link w:val="EncabezadodemensajeCar"/>
    <w:rsid w:val="00373EB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EncabezadodemensajeCar">
    <w:name w:val="Encabezado de mensaje Car"/>
    <w:link w:val="Encabezadodemensaje"/>
    <w:rsid w:val="00373EB9"/>
    <w:rPr>
      <w:rFonts w:ascii="Cambria" w:eastAsia="Times New Roman" w:hAnsi="Cambria" w:cs="Times New Roman"/>
      <w:sz w:val="24"/>
      <w:szCs w:val="24"/>
      <w:shd w:val="pct20" w:color="auto" w:fill="auto"/>
    </w:rPr>
  </w:style>
  <w:style w:type="paragraph" w:customStyle="1" w:styleId="Sinespaciado1">
    <w:name w:val="Sin espaciado1"/>
    <w:uiPriority w:val="1"/>
    <w:qFormat/>
    <w:rsid w:val="00373EB9"/>
    <w:pPr>
      <w:ind w:firstLine="720"/>
    </w:pPr>
    <w:rPr>
      <w:sz w:val="24"/>
      <w:szCs w:val="24"/>
      <w:lang w:val="en-US" w:eastAsia="en-US"/>
    </w:rPr>
  </w:style>
  <w:style w:type="paragraph" w:styleId="NormalWeb">
    <w:name w:val="Normal (Web)"/>
    <w:basedOn w:val="Normal"/>
    <w:uiPriority w:val="99"/>
    <w:rsid w:val="00373EB9"/>
  </w:style>
  <w:style w:type="paragraph" w:styleId="Sangranormal">
    <w:name w:val="Normal Indent"/>
    <w:basedOn w:val="Normal"/>
    <w:rsid w:val="00373EB9"/>
    <w:pPr>
      <w:ind w:left="720"/>
    </w:pPr>
  </w:style>
  <w:style w:type="paragraph" w:styleId="Encabezadodenota">
    <w:name w:val="Note Heading"/>
    <w:basedOn w:val="Normal"/>
    <w:next w:val="Normal"/>
    <w:link w:val="EncabezadodenotaCar"/>
    <w:rsid w:val="00373EB9"/>
  </w:style>
  <w:style w:type="character" w:customStyle="1" w:styleId="EncabezadodenotaCar">
    <w:name w:val="Encabezado de nota Car"/>
    <w:link w:val="Encabezadodenota"/>
    <w:rsid w:val="00373EB9"/>
    <w:rPr>
      <w:sz w:val="24"/>
      <w:szCs w:val="24"/>
    </w:rPr>
  </w:style>
  <w:style w:type="paragraph" w:styleId="Textosinformato">
    <w:name w:val="Plain Text"/>
    <w:basedOn w:val="Normal"/>
    <w:link w:val="TextosinformatoCar"/>
    <w:rsid w:val="00373EB9"/>
    <w:rPr>
      <w:rFonts w:ascii="Courier New" w:hAnsi="Courier New" w:cs="Courier New"/>
      <w:sz w:val="20"/>
      <w:szCs w:val="20"/>
    </w:rPr>
  </w:style>
  <w:style w:type="character" w:customStyle="1" w:styleId="TextosinformatoCar">
    <w:name w:val="Texto sin formato Car"/>
    <w:link w:val="Textosinformato"/>
    <w:rsid w:val="00373EB9"/>
    <w:rPr>
      <w:rFonts w:ascii="Courier New" w:hAnsi="Courier New" w:cs="Courier New"/>
    </w:rPr>
  </w:style>
  <w:style w:type="paragraph" w:customStyle="1" w:styleId="Cita1">
    <w:name w:val="Cita1"/>
    <w:basedOn w:val="Normal"/>
    <w:next w:val="Normal"/>
    <w:link w:val="QuoteChar"/>
    <w:uiPriority w:val="29"/>
    <w:qFormat/>
    <w:rsid w:val="00373EB9"/>
    <w:rPr>
      <w:i/>
      <w:iCs/>
      <w:color w:val="000000"/>
    </w:rPr>
  </w:style>
  <w:style w:type="character" w:customStyle="1" w:styleId="QuoteChar">
    <w:name w:val="Quote Char"/>
    <w:link w:val="Cita1"/>
    <w:uiPriority w:val="29"/>
    <w:rsid w:val="00373EB9"/>
    <w:rPr>
      <w:i/>
      <w:iCs/>
      <w:color w:val="000000"/>
      <w:sz w:val="24"/>
      <w:szCs w:val="24"/>
    </w:rPr>
  </w:style>
  <w:style w:type="paragraph" w:styleId="Saludo">
    <w:name w:val="Salutation"/>
    <w:basedOn w:val="Normal"/>
    <w:next w:val="Normal"/>
    <w:link w:val="SaludoCar"/>
    <w:rsid w:val="00373EB9"/>
  </w:style>
  <w:style w:type="character" w:customStyle="1" w:styleId="SaludoCar">
    <w:name w:val="Saludo Car"/>
    <w:link w:val="Saludo"/>
    <w:rsid w:val="00373EB9"/>
    <w:rPr>
      <w:sz w:val="24"/>
      <w:szCs w:val="24"/>
    </w:rPr>
  </w:style>
  <w:style w:type="paragraph" w:styleId="Firma">
    <w:name w:val="Signature"/>
    <w:basedOn w:val="Normal"/>
    <w:link w:val="FirmaCar"/>
    <w:rsid w:val="00373EB9"/>
    <w:pPr>
      <w:ind w:left="4320"/>
    </w:pPr>
  </w:style>
  <w:style w:type="character" w:customStyle="1" w:styleId="FirmaCar">
    <w:name w:val="Firma Car"/>
    <w:link w:val="Firma"/>
    <w:rsid w:val="00373EB9"/>
    <w:rPr>
      <w:sz w:val="24"/>
      <w:szCs w:val="24"/>
    </w:rPr>
  </w:style>
  <w:style w:type="paragraph" w:styleId="Subttulo">
    <w:name w:val="Subtitle"/>
    <w:basedOn w:val="Normal"/>
    <w:next w:val="Normal"/>
    <w:link w:val="SubttuloCar"/>
    <w:qFormat/>
    <w:rsid w:val="00373EB9"/>
    <w:pPr>
      <w:spacing w:after="60"/>
      <w:jc w:val="center"/>
      <w:outlineLvl w:val="1"/>
    </w:pPr>
    <w:rPr>
      <w:rFonts w:ascii="Cambria" w:hAnsi="Cambria"/>
    </w:rPr>
  </w:style>
  <w:style w:type="character" w:customStyle="1" w:styleId="SubttuloCar">
    <w:name w:val="Subtítulo Car"/>
    <w:link w:val="Subttulo"/>
    <w:rsid w:val="00373EB9"/>
    <w:rPr>
      <w:rFonts w:ascii="Cambria" w:eastAsia="Times New Roman" w:hAnsi="Cambria" w:cs="Times New Roman"/>
      <w:sz w:val="24"/>
      <w:szCs w:val="24"/>
    </w:rPr>
  </w:style>
  <w:style w:type="paragraph" w:styleId="Textoconsangra">
    <w:name w:val="table of authorities"/>
    <w:basedOn w:val="Normal"/>
    <w:next w:val="Normal"/>
    <w:rsid w:val="00373EB9"/>
    <w:pPr>
      <w:ind w:left="240" w:hanging="240"/>
    </w:pPr>
  </w:style>
  <w:style w:type="paragraph" w:styleId="Ttulo">
    <w:name w:val="Title"/>
    <w:basedOn w:val="Normal"/>
    <w:next w:val="Normal"/>
    <w:link w:val="TtuloCar"/>
    <w:qFormat/>
    <w:rsid w:val="00373EB9"/>
    <w:pPr>
      <w:spacing w:before="240" w:after="60"/>
      <w:jc w:val="center"/>
      <w:outlineLvl w:val="0"/>
    </w:pPr>
    <w:rPr>
      <w:rFonts w:ascii="Cambria" w:hAnsi="Cambria"/>
      <w:b/>
      <w:bCs/>
      <w:kern w:val="28"/>
      <w:sz w:val="32"/>
      <w:szCs w:val="32"/>
    </w:rPr>
  </w:style>
  <w:style w:type="character" w:customStyle="1" w:styleId="TtuloCar">
    <w:name w:val="Título Car"/>
    <w:link w:val="Ttulo"/>
    <w:rsid w:val="00373EB9"/>
    <w:rPr>
      <w:rFonts w:ascii="Cambria" w:eastAsia="Times New Roman" w:hAnsi="Cambria" w:cs="Times New Roman"/>
      <w:b/>
      <w:bCs/>
      <w:kern w:val="28"/>
      <w:sz w:val="32"/>
      <w:szCs w:val="32"/>
    </w:rPr>
  </w:style>
  <w:style w:type="paragraph" w:styleId="Encabezadodelista">
    <w:name w:val="toa heading"/>
    <w:basedOn w:val="Normal"/>
    <w:next w:val="Normal"/>
    <w:rsid w:val="00373EB9"/>
    <w:rPr>
      <w:rFonts w:ascii="Cambria" w:hAnsi="Cambria"/>
      <w:b/>
      <w:bCs/>
    </w:rPr>
  </w:style>
  <w:style w:type="paragraph" w:customStyle="1" w:styleId="TtulodeTDC1">
    <w:name w:val="Título de TDC1"/>
    <w:basedOn w:val="Ttulo1"/>
    <w:next w:val="Normal"/>
    <w:uiPriority w:val="39"/>
    <w:qFormat/>
    <w:rsid w:val="00373EB9"/>
    <w:pPr>
      <w:numPr>
        <w:numId w:val="0"/>
      </w:numPr>
      <w:spacing w:before="240" w:after="60"/>
      <w:ind w:firstLine="720"/>
      <w:jc w:val="left"/>
      <w:outlineLvl w:val="9"/>
    </w:pPr>
    <w:rPr>
      <w:rFonts w:ascii="Cambria" w:hAnsi="Cambria" w:cs="Times New Roman"/>
    </w:rPr>
  </w:style>
  <w:style w:type="character" w:customStyle="1" w:styleId="PiedepginaCar">
    <w:name w:val="Pie de página Car"/>
    <w:link w:val="Piedepgina"/>
    <w:uiPriority w:val="99"/>
    <w:rsid w:val="00C36C16"/>
    <w:rPr>
      <w:sz w:val="24"/>
      <w:szCs w:val="24"/>
    </w:rPr>
  </w:style>
  <w:style w:type="paragraph" w:customStyle="1" w:styleId="EstiloTextoindependienteInterlineadosencillo">
    <w:name w:val="Estilo Texto independiente + Interlineado:  sencillo"/>
    <w:basedOn w:val="Textoindependiente"/>
    <w:rsid w:val="009C490E"/>
    <w:pPr>
      <w:spacing w:line="240" w:lineRule="auto"/>
    </w:pPr>
    <w:rPr>
      <w:szCs w:val="20"/>
    </w:rPr>
  </w:style>
  <w:style w:type="character" w:styleId="Refdenotaalfinal">
    <w:name w:val="endnote reference"/>
    <w:rsid w:val="000F3EE3"/>
    <w:rPr>
      <w:vertAlign w:val="superscript"/>
    </w:rPr>
  </w:style>
  <w:style w:type="character" w:styleId="Refdenotaalpie">
    <w:name w:val="footnote reference"/>
    <w:rsid w:val="00DF46DF"/>
    <w:rPr>
      <w:vertAlign w:val="superscript"/>
    </w:rPr>
  </w:style>
  <w:style w:type="paragraph" w:customStyle="1" w:styleId="FooterPage">
    <w:name w:val="Footer Page"/>
    <w:basedOn w:val="TitlePage"/>
    <w:qFormat/>
    <w:rsid w:val="00BF3AC4"/>
    <w:rPr>
      <w:sz w:val="24"/>
      <w:lang w:val="es-ES"/>
    </w:rPr>
  </w:style>
  <w:style w:type="character" w:styleId="Fuerte">
    <w:name w:val="Strong"/>
    <w:uiPriority w:val="22"/>
    <w:qFormat/>
    <w:rsid w:val="00E66475"/>
    <w:rPr>
      <w:b/>
      <w:bCs/>
    </w:rPr>
  </w:style>
  <w:style w:type="paragraph" w:styleId="Bibliografa">
    <w:name w:val="Bibliography"/>
    <w:basedOn w:val="Normal"/>
    <w:next w:val="Normal"/>
    <w:uiPriority w:val="70"/>
    <w:rsid w:val="005556F4"/>
    <w:pPr>
      <w:ind w:firstLine="0"/>
    </w:pPr>
  </w:style>
  <w:style w:type="paragraph" w:styleId="Descripcin">
    <w:name w:val="caption"/>
    <w:basedOn w:val="Normal"/>
    <w:next w:val="Normal"/>
    <w:qFormat/>
    <w:rsid w:val="007D3CAC"/>
    <w:pPr>
      <w:spacing w:before="60" w:after="240" w:line="240" w:lineRule="auto"/>
      <w:ind w:firstLine="0"/>
      <w:jc w:val="center"/>
    </w:pPr>
    <w:rPr>
      <w:i/>
      <w:iCs/>
      <w:sz w:val="18"/>
      <w:szCs w:val="18"/>
    </w:rPr>
  </w:style>
  <w:style w:type="paragraph" w:customStyle="1" w:styleId="Textotabla">
    <w:name w:val="Texto tabla"/>
    <w:basedOn w:val="Normal"/>
    <w:qFormat/>
    <w:rsid w:val="007D3CAC"/>
    <w:rPr>
      <w:sz w:val="18"/>
    </w:rPr>
  </w:style>
  <w:style w:type="character" w:customStyle="1" w:styleId="Ttulo2Car">
    <w:name w:val="Título 2 Car"/>
    <w:basedOn w:val="Fuentedeprrafopredeter"/>
    <w:link w:val="Ttulo2"/>
    <w:rsid w:val="007D3CAC"/>
    <w:rPr>
      <w:rFonts w:asciiTheme="minorHAnsi" w:hAnsiTheme="minorHAnsi"/>
      <w:b/>
      <w:bCs/>
      <w:iCs/>
      <w:sz w:val="26"/>
      <w:szCs w:val="28"/>
      <w:lang w:val="es-ES_tradnl" w:eastAsia="en-US"/>
    </w:rPr>
  </w:style>
  <w:style w:type="character" w:customStyle="1" w:styleId="Ttulo1Car">
    <w:name w:val="Título 1 Car"/>
    <w:basedOn w:val="Fuentedeprrafopredeter"/>
    <w:link w:val="Ttulo1"/>
    <w:rsid w:val="007D3CAC"/>
    <w:rPr>
      <w:rFonts w:asciiTheme="minorHAnsi" w:hAnsiTheme="minorHAnsi" w:cs="Arial"/>
      <w:b/>
      <w:bCs/>
      <w:kern w:val="32"/>
      <w:sz w:val="36"/>
      <w:szCs w:val="32"/>
      <w:lang w:val="es-ES_tradnl" w:eastAsia="en-US"/>
    </w:rPr>
  </w:style>
  <w:style w:type="table" w:styleId="Tablaconcuadrcula">
    <w:name w:val="Table Grid"/>
    <w:basedOn w:val="Tablanormal"/>
    <w:rsid w:val="00CC5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72"/>
    <w:qFormat/>
    <w:rsid w:val="00584426"/>
    <w:pPr>
      <w:ind w:left="720"/>
      <w:contextualSpacing/>
    </w:pPr>
  </w:style>
  <w:style w:type="character" w:styleId="Textodelmarcadordeposicin">
    <w:name w:val="Placeholder Text"/>
    <w:basedOn w:val="Fuentedeprrafopredeter"/>
    <w:uiPriority w:val="99"/>
    <w:unhideWhenUsed/>
    <w:rsid w:val="00584426"/>
    <w:rPr>
      <w:color w:val="666666"/>
    </w:rPr>
  </w:style>
  <w:style w:type="paragraph" w:customStyle="1" w:styleId="FirstParagraph">
    <w:name w:val="First Paragraph"/>
    <w:basedOn w:val="Textoindependiente"/>
    <w:next w:val="Textoindependiente"/>
    <w:qFormat/>
    <w:rsid w:val="00584426"/>
    <w:pPr>
      <w:spacing w:before="180" w:after="180" w:line="240" w:lineRule="auto"/>
      <w:ind w:firstLine="0"/>
      <w:jc w:val="left"/>
    </w:pPr>
    <w:rPr>
      <w:rFonts w:eastAsiaTheme="minorHAnsi" w:cstheme="minorBidi"/>
      <w:sz w:val="24"/>
      <w:lang w:val="en-US"/>
    </w:rPr>
  </w:style>
  <w:style w:type="character" w:customStyle="1" w:styleId="Ttulo3Car">
    <w:name w:val="Título 3 Car"/>
    <w:basedOn w:val="Fuentedeprrafopredeter"/>
    <w:link w:val="Ttulo3"/>
    <w:rsid w:val="007D3CAC"/>
    <w:rPr>
      <w:rFonts w:asciiTheme="minorHAnsi" w:hAnsiTheme="minorHAnsi" w:cs="Arial"/>
      <w:b/>
      <w:i/>
      <w:kern w:val="32"/>
      <w:sz w:val="26"/>
      <w:szCs w:val="26"/>
      <w:lang w:val="es-ES_tradnl" w:eastAsia="en-US"/>
    </w:rPr>
  </w:style>
  <w:style w:type="paragraph" w:customStyle="1" w:styleId="font-claude-response-body">
    <w:name w:val="font-claude-response-body"/>
    <w:basedOn w:val="Normal"/>
    <w:rsid w:val="00521B77"/>
    <w:pPr>
      <w:spacing w:before="100" w:beforeAutospacing="1" w:after="100" w:afterAutospacing="1" w:line="240" w:lineRule="auto"/>
      <w:ind w:firstLine="0"/>
      <w:jc w:val="left"/>
    </w:pPr>
    <w:rPr>
      <w:rFonts w:ascii="Times New Roman" w:hAnsi="Times New Roman"/>
      <w:sz w:val="24"/>
      <w:lang w:val="es-ES" w:eastAsia="es-ES"/>
    </w:rPr>
  </w:style>
  <w:style w:type="character" w:styleId="CdigoHTML">
    <w:name w:val="HTML Code"/>
    <w:basedOn w:val="Fuentedeprrafopredeter"/>
    <w:uiPriority w:val="99"/>
    <w:unhideWhenUsed/>
    <w:rsid w:val="00521B77"/>
    <w:rPr>
      <w:rFonts w:ascii="Courier New" w:eastAsia="Times New Roman" w:hAnsi="Courier New" w:cs="Courier New"/>
      <w:sz w:val="20"/>
      <w:szCs w:val="20"/>
    </w:rPr>
  </w:style>
  <w:style w:type="character" w:styleId="nfasis">
    <w:name w:val="Emphasis"/>
    <w:basedOn w:val="Fuentedeprrafopredeter"/>
    <w:uiPriority w:val="20"/>
    <w:qFormat/>
    <w:rsid w:val="00521B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4095">
      <w:bodyDiv w:val="1"/>
      <w:marLeft w:val="0"/>
      <w:marRight w:val="0"/>
      <w:marTop w:val="0"/>
      <w:marBottom w:val="0"/>
      <w:divBdr>
        <w:top w:val="none" w:sz="0" w:space="0" w:color="auto"/>
        <w:left w:val="none" w:sz="0" w:space="0" w:color="auto"/>
        <w:bottom w:val="none" w:sz="0" w:space="0" w:color="auto"/>
        <w:right w:val="none" w:sz="0" w:space="0" w:color="auto"/>
      </w:divBdr>
    </w:div>
    <w:div w:id="170681744">
      <w:bodyDiv w:val="1"/>
      <w:marLeft w:val="0"/>
      <w:marRight w:val="0"/>
      <w:marTop w:val="0"/>
      <w:marBottom w:val="0"/>
      <w:divBdr>
        <w:top w:val="none" w:sz="0" w:space="0" w:color="auto"/>
        <w:left w:val="none" w:sz="0" w:space="0" w:color="auto"/>
        <w:bottom w:val="none" w:sz="0" w:space="0" w:color="auto"/>
        <w:right w:val="none" w:sz="0" w:space="0" w:color="auto"/>
      </w:divBdr>
    </w:div>
    <w:div w:id="232928963">
      <w:bodyDiv w:val="1"/>
      <w:marLeft w:val="0"/>
      <w:marRight w:val="0"/>
      <w:marTop w:val="0"/>
      <w:marBottom w:val="0"/>
      <w:divBdr>
        <w:top w:val="none" w:sz="0" w:space="0" w:color="auto"/>
        <w:left w:val="none" w:sz="0" w:space="0" w:color="auto"/>
        <w:bottom w:val="none" w:sz="0" w:space="0" w:color="auto"/>
        <w:right w:val="none" w:sz="0" w:space="0" w:color="auto"/>
      </w:divBdr>
    </w:div>
    <w:div w:id="238563096">
      <w:bodyDiv w:val="1"/>
      <w:marLeft w:val="0"/>
      <w:marRight w:val="0"/>
      <w:marTop w:val="0"/>
      <w:marBottom w:val="0"/>
      <w:divBdr>
        <w:top w:val="none" w:sz="0" w:space="0" w:color="auto"/>
        <w:left w:val="none" w:sz="0" w:space="0" w:color="auto"/>
        <w:bottom w:val="none" w:sz="0" w:space="0" w:color="auto"/>
        <w:right w:val="none" w:sz="0" w:space="0" w:color="auto"/>
      </w:divBdr>
    </w:div>
    <w:div w:id="330566354">
      <w:bodyDiv w:val="1"/>
      <w:marLeft w:val="0"/>
      <w:marRight w:val="0"/>
      <w:marTop w:val="0"/>
      <w:marBottom w:val="0"/>
      <w:divBdr>
        <w:top w:val="none" w:sz="0" w:space="0" w:color="auto"/>
        <w:left w:val="none" w:sz="0" w:space="0" w:color="auto"/>
        <w:bottom w:val="none" w:sz="0" w:space="0" w:color="auto"/>
        <w:right w:val="none" w:sz="0" w:space="0" w:color="auto"/>
      </w:divBdr>
    </w:div>
    <w:div w:id="417793628">
      <w:bodyDiv w:val="1"/>
      <w:marLeft w:val="0"/>
      <w:marRight w:val="0"/>
      <w:marTop w:val="0"/>
      <w:marBottom w:val="0"/>
      <w:divBdr>
        <w:top w:val="none" w:sz="0" w:space="0" w:color="auto"/>
        <w:left w:val="none" w:sz="0" w:space="0" w:color="auto"/>
        <w:bottom w:val="none" w:sz="0" w:space="0" w:color="auto"/>
        <w:right w:val="none" w:sz="0" w:space="0" w:color="auto"/>
      </w:divBdr>
    </w:div>
    <w:div w:id="537670976">
      <w:bodyDiv w:val="1"/>
      <w:marLeft w:val="0"/>
      <w:marRight w:val="0"/>
      <w:marTop w:val="0"/>
      <w:marBottom w:val="0"/>
      <w:divBdr>
        <w:top w:val="none" w:sz="0" w:space="0" w:color="auto"/>
        <w:left w:val="none" w:sz="0" w:space="0" w:color="auto"/>
        <w:bottom w:val="none" w:sz="0" w:space="0" w:color="auto"/>
        <w:right w:val="none" w:sz="0" w:space="0" w:color="auto"/>
      </w:divBdr>
    </w:div>
    <w:div w:id="560167007">
      <w:bodyDiv w:val="1"/>
      <w:marLeft w:val="0"/>
      <w:marRight w:val="0"/>
      <w:marTop w:val="0"/>
      <w:marBottom w:val="0"/>
      <w:divBdr>
        <w:top w:val="none" w:sz="0" w:space="0" w:color="auto"/>
        <w:left w:val="none" w:sz="0" w:space="0" w:color="auto"/>
        <w:bottom w:val="none" w:sz="0" w:space="0" w:color="auto"/>
        <w:right w:val="none" w:sz="0" w:space="0" w:color="auto"/>
      </w:divBdr>
    </w:div>
    <w:div w:id="604046027">
      <w:bodyDiv w:val="1"/>
      <w:marLeft w:val="0"/>
      <w:marRight w:val="0"/>
      <w:marTop w:val="0"/>
      <w:marBottom w:val="0"/>
      <w:divBdr>
        <w:top w:val="none" w:sz="0" w:space="0" w:color="auto"/>
        <w:left w:val="none" w:sz="0" w:space="0" w:color="auto"/>
        <w:bottom w:val="none" w:sz="0" w:space="0" w:color="auto"/>
        <w:right w:val="none" w:sz="0" w:space="0" w:color="auto"/>
      </w:divBdr>
    </w:div>
    <w:div w:id="768820380">
      <w:bodyDiv w:val="1"/>
      <w:marLeft w:val="0"/>
      <w:marRight w:val="0"/>
      <w:marTop w:val="0"/>
      <w:marBottom w:val="0"/>
      <w:divBdr>
        <w:top w:val="none" w:sz="0" w:space="0" w:color="auto"/>
        <w:left w:val="none" w:sz="0" w:space="0" w:color="auto"/>
        <w:bottom w:val="none" w:sz="0" w:space="0" w:color="auto"/>
        <w:right w:val="none" w:sz="0" w:space="0" w:color="auto"/>
      </w:divBdr>
    </w:div>
    <w:div w:id="780950495">
      <w:bodyDiv w:val="1"/>
      <w:marLeft w:val="0"/>
      <w:marRight w:val="0"/>
      <w:marTop w:val="0"/>
      <w:marBottom w:val="0"/>
      <w:divBdr>
        <w:top w:val="none" w:sz="0" w:space="0" w:color="auto"/>
        <w:left w:val="none" w:sz="0" w:space="0" w:color="auto"/>
        <w:bottom w:val="none" w:sz="0" w:space="0" w:color="auto"/>
        <w:right w:val="none" w:sz="0" w:space="0" w:color="auto"/>
      </w:divBdr>
    </w:div>
    <w:div w:id="873464185">
      <w:bodyDiv w:val="1"/>
      <w:marLeft w:val="0"/>
      <w:marRight w:val="0"/>
      <w:marTop w:val="0"/>
      <w:marBottom w:val="0"/>
      <w:divBdr>
        <w:top w:val="none" w:sz="0" w:space="0" w:color="auto"/>
        <w:left w:val="none" w:sz="0" w:space="0" w:color="auto"/>
        <w:bottom w:val="none" w:sz="0" w:space="0" w:color="auto"/>
        <w:right w:val="none" w:sz="0" w:space="0" w:color="auto"/>
      </w:divBdr>
    </w:div>
    <w:div w:id="905846969">
      <w:bodyDiv w:val="1"/>
      <w:marLeft w:val="0"/>
      <w:marRight w:val="0"/>
      <w:marTop w:val="0"/>
      <w:marBottom w:val="0"/>
      <w:divBdr>
        <w:top w:val="none" w:sz="0" w:space="0" w:color="auto"/>
        <w:left w:val="none" w:sz="0" w:space="0" w:color="auto"/>
        <w:bottom w:val="none" w:sz="0" w:space="0" w:color="auto"/>
        <w:right w:val="none" w:sz="0" w:space="0" w:color="auto"/>
      </w:divBdr>
    </w:div>
    <w:div w:id="1038628418">
      <w:bodyDiv w:val="1"/>
      <w:marLeft w:val="0"/>
      <w:marRight w:val="0"/>
      <w:marTop w:val="0"/>
      <w:marBottom w:val="0"/>
      <w:divBdr>
        <w:top w:val="none" w:sz="0" w:space="0" w:color="auto"/>
        <w:left w:val="none" w:sz="0" w:space="0" w:color="auto"/>
        <w:bottom w:val="none" w:sz="0" w:space="0" w:color="auto"/>
        <w:right w:val="none" w:sz="0" w:space="0" w:color="auto"/>
      </w:divBdr>
    </w:div>
    <w:div w:id="1080256414">
      <w:bodyDiv w:val="1"/>
      <w:marLeft w:val="0"/>
      <w:marRight w:val="0"/>
      <w:marTop w:val="0"/>
      <w:marBottom w:val="0"/>
      <w:divBdr>
        <w:top w:val="none" w:sz="0" w:space="0" w:color="auto"/>
        <w:left w:val="none" w:sz="0" w:space="0" w:color="auto"/>
        <w:bottom w:val="none" w:sz="0" w:space="0" w:color="auto"/>
        <w:right w:val="none" w:sz="0" w:space="0" w:color="auto"/>
      </w:divBdr>
    </w:div>
    <w:div w:id="1567687679">
      <w:bodyDiv w:val="1"/>
      <w:marLeft w:val="0"/>
      <w:marRight w:val="0"/>
      <w:marTop w:val="0"/>
      <w:marBottom w:val="0"/>
      <w:divBdr>
        <w:top w:val="none" w:sz="0" w:space="0" w:color="auto"/>
        <w:left w:val="none" w:sz="0" w:space="0" w:color="auto"/>
        <w:bottom w:val="none" w:sz="0" w:space="0" w:color="auto"/>
        <w:right w:val="none" w:sz="0" w:space="0" w:color="auto"/>
      </w:divBdr>
    </w:div>
    <w:div w:id="1636787255">
      <w:bodyDiv w:val="1"/>
      <w:marLeft w:val="0"/>
      <w:marRight w:val="0"/>
      <w:marTop w:val="0"/>
      <w:marBottom w:val="0"/>
      <w:divBdr>
        <w:top w:val="none" w:sz="0" w:space="0" w:color="auto"/>
        <w:left w:val="none" w:sz="0" w:space="0" w:color="auto"/>
        <w:bottom w:val="none" w:sz="0" w:space="0" w:color="auto"/>
        <w:right w:val="none" w:sz="0" w:space="0" w:color="auto"/>
      </w:divBdr>
    </w:div>
    <w:div w:id="1739591160">
      <w:bodyDiv w:val="1"/>
      <w:marLeft w:val="0"/>
      <w:marRight w:val="0"/>
      <w:marTop w:val="0"/>
      <w:marBottom w:val="0"/>
      <w:divBdr>
        <w:top w:val="none" w:sz="0" w:space="0" w:color="auto"/>
        <w:left w:val="none" w:sz="0" w:space="0" w:color="auto"/>
        <w:bottom w:val="none" w:sz="0" w:space="0" w:color="auto"/>
        <w:right w:val="none" w:sz="0" w:space="0" w:color="auto"/>
      </w:divBdr>
    </w:div>
    <w:div w:id="208090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ourtois\Desktop\doctoralbodytext.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BuckiWord2013</b:Tag>
    <b:SourceType>Book</b:SourceType>
    <b:Guid>{6CE3876E-170C-474A-96B9-9E2D41E038E5}</b:Guid>
    <b:Title>Word 2013 Bible</b:Title>
    <b:Year>2013</b:Year>
    <b:Publisher>John Wiley &amp; Sons</b:Publisher>
    <b:Author>
      <b:Author>
        <b:NameList>
          <b:Person>
            <b:Last>Bucki</b:Last>
            <b:Middle>A</b:Middle>
            <b:First>Lisa</b:First>
          </b:Person>
        </b:NameList>
      </b:Author>
    </b:Author>
    <b:RefOrder>1</b:RefOrder>
  </b:Source>
  <b:Source>
    <b:Tag>CFI19</b:Tag>
    <b:SourceType>InternetSite</b:SourceType>
    <b:Guid>{053FEDB3-949C-4F6D-9174-64ADDE790B89}</b:Guid>
    <b:Title>Cursos de Formación en Informática</b:Title>
    <b:Author>
      <b:Author>
        <b:NameList>
          <b:Person>
            <b:Last>CFI</b:Last>
          </b:Person>
        </b:NameList>
      </b:Author>
    </b:Author>
    <b:YearAccessed>2019</b:YearAccessed>
    <b:MonthAccessed>06</b:MonthAccessed>
    <b:DayAccessed>01</b:DayAccessed>
    <b:URL>http://cursosinformatica.ucm.es</b:URL>
    <b:RefOrder>2</b:RefOrder>
  </b:Source>
</b:Sources>
</file>

<file path=customXml/itemProps1.xml><?xml version="1.0" encoding="utf-8"?>
<ds:datastoreItem xmlns:ds="http://schemas.openxmlformats.org/officeDocument/2006/customXml" ds:itemID="{6BDFD514-E8F7-BB44-ADF6-36E214372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doctoralbodytext.dot</Template>
  <TotalTime>18258</TotalTime>
  <Pages>82</Pages>
  <Words>13495</Words>
  <Characters>74225</Characters>
  <Application>Microsoft Office Word</Application>
  <DocSecurity>0</DocSecurity>
  <Lines>618</Lines>
  <Paragraphs>175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Memoria TFM - FDI-UCM</vt:lpstr>
      <vt:lpstr>Memoria TFM - FDI-UCM</vt:lpstr>
    </vt:vector>
  </TitlesOfParts>
  <Company/>
  <LinksUpToDate>false</LinksUpToDate>
  <CharactersWithSpaces>87545</CharactersWithSpaces>
  <SharedDoc>false</SharedDoc>
  <HLinks>
    <vt:vector size="144" baseType="variant">
      <vt:variant>
        <vt:i4>1114165</vt:i4>
      </vt:variant>
      <vt:variant>
        <vt:i4>179</vt:i4>
      </vt:variant>
      <vt:variant>
        <vt:i4>0</vt:i4>
      </vt:variant>
      <vt:variant>
        <vt:i4>5</vt:i4>
      </vt:variant>
      <vt:variant>
        <vt:lpwstr/>
      </vt:variant>
      <vt:variant>
        <vt:lpwstr>_Toc11676646</vt:lpwstr>
      </vt:variant>
      <vt:variant>
        <vt:i4>1179701</vt:i4>
      </vt:variant>
      <vt:variant>
        <vt:i4>173</vt:i4>
      </vt:variant>
      <vt:variant>
        <vt:i4>0</vt:i4>
      </vt:variant>
      <vt:variant>
        <vt:i4>5</vt:i4>
      </vt:variant>
      <vt:variant>
        <vt:lpwstr/>
      </vt:variant>
      <vt:variant>
        <vt:lpwstr>_Toc11676645</vt:lpwstr>
      </vt:variant>
      <vt:variant>
        <vt:i4>1245237</vt:i4>
      </vt:variant>
      <vt:variant>
        <vt:i4>167</vt:i4>
      </vt:variant>
      <vt:variant>
        <vt:i4>0</vt:i4>
      </vt:variant>
      <vt:variant>
        <vt:i4>5</vt:i4>
      </vt:variant>
      <vt:variant>
        <vt:lpwstr/>
      </vt:variant>
      <vt:variant>
        <vt:lpwstr>_Toc11676644</vt:lpwstr>
      </vt:variant>
      <vt:variant>
        <vt:i4>1310773</vt:i4>
      </vt:variant>
      <vt:variant>
        <vt:i4>161</vt:i4>
      </vt:variant>
      <vt:variant>
        <vt:i4>0</vt:i4>
      </vt:variant>
      <vt:variant>
        <vt:i4>5</vt:i4>
      </vt:variant>
      <vt:variant>
        <vt:lpwstr/>
      </vt:variant>
      <vt:variant>
        <vt:lpwstr>_Toc11676643</vt:lpwstr>
      </vt:variant>
      <vt:variant>
        <vt:i4>1376309</vt:i4>
      </vt:variant>
      <vt:variant>
        <vt:i4>155</vt:i4>
      </vt:variant>
      <vt:variant>
        <vt:i4>0</vt:i4>
      </vt:variant>
      <vt:variant>
        <vt:i4>5</vt:i4>
      </vt:variant>
      <vt:variant>
        <vt:lpwstr/>
      </vt:variant>
      <vt:variant>
        <vt:lpwstr>_Toc11676642</vt:lpwstr>
      </vt:variant>
      <vt:variant>
        <vt:i4>1441845</vt:i4>
      </vt:variant>
      <vt:variant>
        <vt:i4>149</vt:i4>
      </vt:variant>
      <vt:variant>
        <vt:i4>0</vt:i4>
      </vt:variant>
      <vt:variant>
        <vt:i4>5</vt:i4>
      </vt:variant>
      <vt:variant>
        <vt:lpwstr/>
      </vt:variant>
      <vt:variant>
        <vt:lpwstr>_Toc11676641</vt:lpwstr>
      </vt:variant>
      <vt:variant>
        <vt:i4>1507381</vt:i4>
      </vt:variant>
      <vt:variant>
        <vt:i4>143</vt:i4>
      </vt:variant>
      <vt:variant>
        <vt:i4>0</vt:i4>
      </vt:variant>
      <vt:variant>
        <vt:i4>5</vt:i4>
      </vt:variant>
      <vt:variant>
        <vt:lpwstr/>
      </vt:variant>
      <vt:variant>
        <vt:lpwstr>_Toc11676640</vt:lpwstr>
      </vt:variant>
      <vt:variant>
        <vt:i4>1966130</vt:i4>
      </vt:variant>
      <vt:variant>
        <vt:i4>137</vt:i4>
      </vt:variant>
      <vt:variant>
        <vt:i4>0</vt:i4>
      </vt:variant>
      <vt:variant>
        <vt:i4>5</vt:i4>
      </vt:variant>
      <vt:variant>
        <vt:lpwstr/>
      </vt:variant>
      <vt:variant>
        <vt:lpwstr>_Toc11676639</vt:lpwstr>
      </vt:variant>
      <vt:variant>
        <vt:i4>2031666</vt:i4>
      </vt:variant>
      <vt:variant>
        <vt:i4>131</vt:i4>
      </vt:variant>
      <vt:variant>
        <vt:i4>0</vt:i4>
      </vt:variant>
      <vt:variant>
        <vt:i4>5</vt:i4>
      </vt:variant>
      <vt:variant>
        <vt:lpwstr/>
      </vt:variant>
      <vt:variant>
        <vt:lpwstr>_Toc11676638</vt:lpwstr>
      </vt:variant>
      <vt:variant>
        <vt:i4>1048626</vt:i4>
      </vt:variant>
      <vt:variant>
        <vt:i4>125</vt:i4>
      </vt:variant>
      <vt:variant>
        <vt:i4>0</vt:i4>
      </vt:variant>
      <vt:variant>
        <vt:i4>5</vt:i4>
      </vt:variant>
      <vt:variant>
        <vt:lpwstr/>
      </vt:variant>
      <vt:variant>
        <vt:lpwstr>_Toc11676637</vt:lpwstr>
      </vt:variant>
      <vt:variant>
        <vt:i4>1114162</vt:i4>
      </vt:variant>
      <vt:variant>
        <vt:i4>119</vt:i4>
      </vt:variant>
      <vt:variant>
        <vt:i4>0</vt:i4>
      </vt:variant>
      <vt:variant>
        <vt:i4>5</vt:i4>
      </vt:variant>
      <vt:variant>
        <vt:lpwstr/>
      </vt:variant>
      <vt:variant>
        <vt:lpwstr>_Toc11676636</vt:lpwstr>
      </vt:variant>
      <vt:variant>
        <vt:i4>1179698</vt:i4>
      </vt:variant>
      <vt:variant>
        <vt:i4>113</vt:i4>
      </vt:variant>
      <vt:variant>
        <vt:i4>0</vt:i4>
      </vt:variant>
      <vt:variant>
        <vt:i4>5</vt:i4>
      </vt:variant>
      <vt:variant>
        <vt:lpwstr/>
      </vt:variant>
      <vt:variant>
        <vt:lpwstr>_Toc11676635</vt:lpwstr>
      </vt:variant>
      <vt:variant>
        <vt:i4>1245234</vt:i4>
      </vt:variant>
      <vt:variant>
        <vt:i4>107</vt:i4>
      </vt:variant>
      <vt:variant>
        <vt:i4>0</vt:i4>
      </vt:variant>
      <vt:variant>
        <vt:i4>5</vt:i4>
      </vt:variant>
      <vt:variant>
        <vt:lpwstr/>
      </vt:variant>
      <vt:variant>
        <vt:lpwstr>_Toc11676634</vt:lpwstr>
      </vt:variant>
      <vt:variant>
        <vt:i4>1310770</vt:i4>
      </vt:variant>
      <vt:variant>
        <vt:i4>101</vt:i4>
      </vt:variant>
      <vt:variant>
        <vt:i4>0</vt:i4>
      </vt:variant>
      <vt:variant>
        <vt:i4>5</vt:i4>
      </vt:variant>
      <vt:variant>
        <vt:lpwstr/>
      </vt:variant>
      <vt:variant>
        <vt:lpwstr>_Toc11676633</vt:lpwstr>
      </vt:variant>
      <vt:variant>
        <vt:i4>1376306</vt:i4>
      </vt:variant>
      <vt:variant>
        <vt:i4>95</vt:i4>
      </vt:variant>
      <vt:variant>
        <vt:i4>0</vt:i4>
      </vt:variant>
      <vt:variant>
        <vt:i4>5</vt:i4>
      </vt:variant>
      <vt:variant>
        <vt:lpwstr/>
      </vt:variant>
      <vt:variant>
        <vt:lpwstr>_Toc11676632</vt:lpwstr>
      </vt:variant>
      <vt:variant>
        <vt:i4>1441842</vt:i4>
      </vt:variant>
      <vt:variant>
        <vt:i4>89</vt:i4>
      </vt:variant>
      <vt:variant>
        <vt:i4>0</vt:i4>
      </vt:variant>
      <vt:variant>
        <vt:i4>5</vt:i4>
      </vt:variant>
      <vt:variant>
        <vt:lpwstr/>
      </vt:variant>
      <vt:variant>
        <vt:lpwstr>_Toc11676631</vt:lpwstr>
      </vt:variant>
      <vt:variant>
        <vt:i4>1507378</vt:i4>
      </vt:variant>
      <vt:variant>
        <vt:i4>83</vt:i4>
      </vt:variant>
      <vt:variant>
        <vt:i4>0</vt:i4>
      </vt:variant>
      <vt:variant>
        <vt:i4>5</vt:i4>
      </vt:variant>
      <vt:variant>
        <vt:lpwstr/>
      </vt:variant>
      <vt:variant>
        <vt:lpwstr>_Toc11676630</vt:lpwstr>
      </vt:variant>
      <vt:variant>
        <vt:i4>1966131</vt:i4>
      </vt:variant>
      <vt:variant>
        <vt:i4>77</vt:i4>
      </vt:variant>
      <vt:variant>
        <vt:i4>0</vt:i4>
      </vt:variant>
      <vt:variant>
        <vt:i4>5</vt:i4>
      </vt:variant>
      <vt:variant>
        <vt:lpwstr/>
      </vt:variant>
      <vt:variant>
        <vt:lpwstr>_Toc11676629</vt:lpwstr>
      </vt:variant>
      <vt:variant>
        <vt:i4>2031667</vt:i4>
      </vt:variant>
      <vt:variant>
        <vt:i4>71</vt:i4>
      </vt:variant>
      <vt:variant>
        <vt:i4>0</vt:i4>
      </vt:variant>
      <vt:variant>
        <vt:i4>5</vt:i4>
      </vt:variant>
      <vt:variant>
        <vt:lpwstr/>
      </vt:variant>
      <vt:variant>
        <vt:lpwstr>_Toc11676628</vt:lpwstr>
      </vt:variant>
      <vt:variant>
        <vt:i4>1048627</vt:i4>
      </vt:variant>
      <vt:variant>
        <vt:i4>65</vt:i4>
      </vt:variant>
      <vt:variant>
        <vt:i4>0</vt:i4>
      </vt:variant>
      <vt:variant>
        <vt:i4>5</vt:i4>
      </vt:variant>
      <vt:variant>
        <vt:lpwstr/>
      </vt:variant>
      <vt:variant>
        <vt:lpwstr>_Toc11676627</vt:lpwstr>
      </vt:variant>
      <vt:variant>
        <vt:i4>1114163</vt:i4>
      </vt:variant>
      <vt:variant>
        <vt:i4>59</vt:i4>
      </vt:variant>
      <vt:variant>
        <vt:i4>0</vt:i4>
      </vt:variant>
      <vt:variant>
        <vt:i4>5</vt:i4>
      </vt:variant>
      <vt:variant>
        <vt:lpwstr/>
      </vt:variant>
      <vt:variant>
        <vt:lpwstr>_Toc11676626</vt:lpwstr>
      </vt:variant>
      <vt:variant>
        <vt:i4>1179699</vt:i4>
      </vt:variant>
      <vt:variant>
        <vt:i4>53</vt:i4>
      </vt:variant>
      <vt:variant>
        <vt:i4>0</vt:i4>
      </vt:variant>
      <vt:variant>
        <vt:i4>5</vt:i4>
      </vt:variant>
      <vt:variant>
        <vt:lpwstr/>
      </vt:variant>
      <vt:variant>
        <vt:lpwstr>_Toc11676625</vt:lpwstr>
      </vt:variant>
      <vt:variant>
        <vt:i4>1245235</vt:i4>
      </vt:variant>
      <vt:variant>
        <vt:i4>47</vt:i4>
      </vt:variant>
      <vt:variant>
        <vt:i4>0</vt:i4>
      </vt:variant>
      <vt:variant>
        <vt:i4>5</vt:i4>
      </vt:variant>
      <vt:variant>
        <vt:lpwstr/>
      </vt:variant>
      <vt:variant>
        <vt:lpwstr>_Toc11676624</vt:lpwstr>
      </vt:variant>
      <vt:variant>
        <vt:i4>7995441</vt:i4>
      </vt:variant>
      <vt:variant>
        <vt:i4>0</vt:i4>
      </vt:variant>
      <vt:variant>
        <vt:i4>0</vt:i4>
      </vt:variant>
      <vt:variant>
        <vt:i4>5</vt:i4>
      </vt:variant>
      <vt:variant>
        <vt:lpwstr>https://informatica.ucm.es/normativa-trabajos-de-fin-de-master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TFM - FDI-UCM</dc:title>
  <dc:subject/>
  <dc:creator>KSU</dc:creator>
  <cp:keywords/>
  <dc:description/>
  <cp:lastModifiedBy>Ale llord</cp:lastModifiedBy>
  <cp:revision>32</cp:revision>
  <cp:lastPrinted>2018-10-09T14:28:00Z</cp:lastPrinted>
  <dcterms:created xsi:type="dcterms:W3CDTF">2019-06-20T06:32:00Z</dcterms:created>
  <dcterms:modified xsi:type="dcterms:W3CDTF">2026-05-14T15:59:00Z</dcterms:modified>
</cp:coreProperties>
</file>