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6560B" w14:textId="77777777" w:rsidR="000824EF" w:rsidRPr="00263DC7" w:rsidRDefault="000824EF" w:rsidP="00E96B70">
      <w:pPr>
        <w:pStyle w:val="TitlePage"/>
        <w:rPr>
          <w:caps/>
          <w:sz w:val="40"/>
          <w:lang w:val="es-ES_tradnl"/>
        </w:rPr>
      </w:pPr>
    </w:p>
    <w:p w14:paraId="174FA855" w14:textId="77777777" w:rsidR="000824EF" w:rsidRPr="00263DC7" w:rsidRDefault="000824EF" w:rsidP="00E96B70">
      <w:pPr>
        <w:pStyle w:val="TitlePage"/>
        <w:rPr>
          <w:caps/>
          <w:sz w:val="40"/>
          <w:lang w:val="es-ES_tradnl"/>
        </w:rPr>
      </w:pPr>
    </w:p>
    <w:p w14:paraId="65F99187" w14:textId="77777777" w:rsidR="006671FA" w:rsidRDefault="006671FA" w:rsidP="006D3EA5">
      <w:pPr>
        <w:pStyle w:val="TitlePage"/>
        <w:spacing w:before="120"/>
        <w:rPr>
          <w:caps/>
          <w:sz w:val="40"/>
          <w:lang w:val="es-ES_tradnl"/>
        </w:rPr>
      </w:pPr>
      <w:r w:rsidRPr="006671FA">
        <w:rPr>
          <w:caps/>
          <w:sz w:val="40"/>
          <w:lang w:val="es-ES_tradnl"/>
        </w:rPr>
        <w:t>Optimización de carteras basada en la predicción de retornos mediante modelos de machine learning y series temporales</w:t>
      </w:r>
    </w:p>
    <w:p w14:paraId="3250E147" w14:textId="77777777" w:rsidR="006671FA" w:rsidRDefault="006671FA" w:rsidP="006D3EA5">
      <w:pPr>
        <w:pStyle w:val="TitlePage"/>
        <w:spacing w:before="120"/>
        <w:rPr>
          <w:caps/>
          <w:sz w:val="40"/>
          <w:lang w:val="es-ES_tradnl"/>
        </w:rPr>
      </w:pPr>
    </w:p>
    <w:p w14:paraId="63DF3696" w14:textId="77777777" w:rsidR="00245D61" w:rsidRPr="00800533" w:rsidRDefault="006671FA" w:rsidP="006D3EA5">
      <w:pPr>
        <w:pStyle w:val="TitlePage"/>
        <w:spacing w:before="120"/>
        <w:rPr>
          <w:caps/>
          <w:sz w:val="40"/>
        </w:rPr>
      </w:pPr>
      <w:r w:rsidRPr="00800533">
        <w:rPr>
          <w:caps/>
          <w:sz w:val="40"/>
        </w:rPr>
        <w:t>Dynamic portfolio optimization based on return forecasting using time series and machine learning models</w:t>
      </w:r>
    </w:p>
    <w:p w14:paraId="053DF183" w14:textId="77777777" w:rsidR="008E36E4" w:rsidRPr="00800533" w:rsidRDefault="008E36E4">
      <w:pPr>
        <w:pStyle w:val="TitlePage"/>
      </w:pPr>
    </w:p>
    <w:p w14:paraId="3466D9F9" w14:textId="77777777" w:rsidR="00BE2360" w:rsidRPr="00800533" w:rsidRDefault="00BE2360">
      <w:pPr>
        <w:pStyle w:val="TitlePage"/>
      </w:pPr>
    </w:p>
    <w:p w14:paraId="68C505D0" w14:textId="77777777" w:rsidR="00F333C0" w:rsidRPr="00263DC7" w:rsidRDefault="001F5B98" w:rsidP="00F333C0">
      <w:pPr>
        <w:pStyle w:val="TitlePage"/>
        <w:rPr>
          <w:lang w:val="es-ES_tradnl"/>
        </w:rPr>
      </w:pPr>
      <w:r w:rsidRPr="00263DC7">
        <w:rPr>
          <w:noProof/>
          <w:lang w:val="es-ES_tradnl" w:eastAsia="es-ES_tradnl"/>
        </w:rPr>
        <w:drawing>
          <wp:inline distT="0" distB="0" distL="0" distR="0" wp14:anchorId="67F47147" wp14:editId="5A86390C">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697CED07" w14:textId="77777777" w:rsidR="00D862DB" w:rsidRPr="00263DC7" w:rsidRDefault="00D862DB">
      <w:pPr>
        <w:pStyle w:val="TitlePage"/>
        <w:rPr>
          <w:lang w:val="es-ES_tradnl"/>
        </w:rPr>
      </w:pPr>
    </w:p>
    <w:p w14:paraId="789E1808" w14:textId="77777777" w:rsidR="008E36E4" w:rsidRPr="00263DC7" w:rsidRDefault="00F333C0" w:rsidP="00EF05DF">
      <w:pPr>
        <w:pStyle w:val="TitlePage"/>
        <w:rPr>
          <w:lang w:val="es-ES_tradnl"/>
        </w:rPr>
      </w:pPr>
      <w:r w:rsidRPr="00263DC7">
        <w:rPr>
          <w:lang w:val="es-ES_tradnl"/>
        </w:rPr>
        <w:t xml:space="preserve">Trabajo Fin </w:t>
      </w:r>
      <w:r w:rsidR="00E736EB" w:rsidRPr="00263DC7">
        <w:rPr>
          <w:lang w:val="es-ES_tradnl"/>
        </w:rPr>
        <w:t>de</w:t>
      </w:r>
      <w:r w:rsidR="00C60031">
        <w:rPr>
          <w:lang w:val="es-ES_tradnl"/>
        </w:rPr>
        <w:t xml:space="preserve"> </w:t>
      </w:r>
      <w:r w:rsidR="00CB5E4C" w:rsidRPr="00263DC7">
        <w:rPr>
          <w:lang w:val="es-ES_tradnl"/>
        </w:rPr>
        <w:t>Máster</w:t>
      </w:r>
    </w:p>
    <w:p w14:paraId="640CD9B9" w14:textId="77777777" w:rsidR="005716FE" w:rsidRDefault="00263DC7" w:rsidP="005716FE">
      <w:pPr>
        <w:pStyle w:val="TitlePage"/>
        <w:rPr>
          <w:lang w:val="es-ES_tradnl"/>
        </w:rPr>
      </w:pPr>
      <w:r w:rsidRPr="00263DC7">
        <w:rPr>
          <w:lang w:val="es-ES_tradnl"/>
        </w:rPr>
        <w:t xml:space="preserve">Curso </w:t>
      </w:r>
      <w:r w:rsidR="001C7BF4">
        <w:rPr>
          <w:lang w:val="es-ES_tradnl"/>
        </w:rPr>
        <w:t>2025</w:t>
      </w:r>
      <w:r w:rsidRPr="00263DC7">
        <w:rPr>
          <w:lang w:val="es-ES_tradnl"/>
        </w:rPr>
        <w:t>-20</w:t>
      </w:r>
      <w:r w:rsidR="001C7BF4">
        <w:rPr>
          <w:lang w:val="es-ES_tradnl"/>
        </w:rPr>
        <w:t>26</w:t>
      </w:r>
    </w:p>
    <w:p w14:paraId="5C0980EC" w14:textId="77777777" w:rsidR="005F6988" w:rsidRDefault="005F6988" w:rsidP="005716FE">
      <w:pPr>
        <w:pStyle w:val="TitlePage"/>
        <w:rPr>
          <w:lang w:val="es-ES_tradnl"/>
        </w:rPr>
      </w:pPr>
    </w:p>
    <w:p w14:paraId="73A3BB18" w14:textId="77777777" w:rsidR="005F6988" w:rsidRDefault="005F6988" w:rsidP="005716FE">
      <w:pPr>
        <w:pStyle w:val="TitlePage"/>
        <w:rPr>
          <w:lang w:val="es-ES_tradnl"/>
        </w:rPr>
      </w:pPr>
    </w:p>
    <w:p w14:paraId="6B4D6DFE" w14:textId="77777777" w:rsidR="005F6988" w:rsidRDefault="005F6988" w:rsidP="005716FE">
      <w:pPr>
        <w:pStyle w:val="TitlePage"/>
        <w:rPr>
          <w:lang w:val="es-ES_tradnl"/>
        </w:rPr>
      </w:pPr>
    </w:p>
    <w:p w14:paraId="1481A73B" w14:textId="77777777" w:rsidR="005F6988" w:rsidRPr="00263DC7" w:rsidRDefault="005F6988" w:rsidP="005716FE">
      <w:pPr>
        <w:pStyle w:val="TitlePage"/>
        <w:rPr>
          <w:lang w:val="es-ES_tradnl"/>
        </w:rPr>
      </w:pPr>
    </w:p>
    <w:p w14:paraId="4CF942F2" w14:textId="77777777" w:rsidR="00CB5E4C" w:rsidRPr="00263DC7" w:rsidRDefault="00CB5E4C" w:rsidP="00CB5E4C">
      <w:pPr>
        <w:pStyle w:val="TitlePage"/>
        <w:rPr>
          <w:lang w:val="es-ES_tradnl"/>
        </w:rPr>
      </w:pPr>
    </w:p>
    <w:p w14:paraId="118A26D1" w14:textId="77777777" w:rsidR="00CB5E4C" w:rsidRPr="00263DC7" w:rsidRDefault="00CB5E4C" w:rsidP="00CB5E4C">
      <w:pPr>
        <w:pStyle w:val="TitlePage"/>
        <w:rPr>
          <w:lang w:val="es-ES_tradnl"/>
        </w:rPr>
      </w:pPr>
      <w:r w:rsidRPr="00263DC7">
        <w:rPr>
          <w:lang w:val="es-ES_tradnl"/>
        </w:rPr>
        <w:lastRenderedPageBreak/>
        <w:t>Autor</w:t>
      </w:r>
    </w:p>
    <w:p w14:paraId="7BFFDECA" w14:textId="77777777" w:rsidR="00CB5E4C" w:rsidRPr="00263DC7" w:rsidRDefault="006671FA" w:rsidP="00CB5E4C">
      <w:pPr>
        <w:pStyle w:val="TitlePage"/>
        <w:rPr>
          <w:caps/>
          <w:szCs w:val="32"/>
          <w:lang w:val="es-ES_tradnl"/>
        </w:rPr>
      </w:pPr>
      <w:r>
        <w:rPr>
          <w:caps/>
          <w:szCs w:val="32"/>
          <w:lang w:val="es-ES_tradnl"/>
        </w:rPr>
        <w:t>Alejandra LLord Muñoz de la espada</w:t>
      </w:r>
    </w:p>
    <w:p w14:paraId="2212D46F" w14:textId="77777777" w:rsidR="00CB5E4C" w:rsidRPr="00263DC7" w:rsidRDefault="00CB5E4C" w:rsidP="00CB5E4C">
      <w:pPr>
        <w:pStyle w:val="TitlePage"/>
        <w:rPr>
          <w:caps/>
          <w:szCs w:val="32"/>
          <w:lang w:val="es-ES_tradnl"/>
        </w:rPr>
      </w:pPr>
    </w:p>
    <w:p w14:paraId="476C7347" w14:textId="77777777" w:rsidR="00CB5E4C" w:rsidRPr="00263DC7" w:rsidRDefault="00CB5E4C" w:rsidP="00CB5E4C">
      <w:pPr>
        <w:pStyle w:val="TitlePage"/>
        <w:rPr>
          <w:caps/>
          <w:szCs w:val="32"/>
          <w:lang w:val="es-ES_tradnl"/>
        </w:rPr>
      </w:pPr>
      <w:r w:rsidRPr="00263DC7">
        <w:rPr>
          <w:caps/>
          <w:szCs w:val="32"/>
          <w:lang w:val="es-ES_tradnl"/>
        </w:rPr>
        <w:t>Director</w:t>
      </w:r>
    </w:p>
    <w:p w14:paraId="268F332D" w14:textId="77777777" w:rsidR="00CB5E4C" w:rsidRDefault="006671FA" w:rsidP="00CB5E4C">
      <w:pPr>
        <w:pStyle w:val="TitlePage"/>
        <w:rPr>
          <w:lang w:val="es-ES_tradnl"/>
        </w:rPr>
      </w:pPr>
      <w:r>
        <w:rPr>
          <w:lang w:val="es-ES_tradnl"/>
        </w:rPr>
        <w:t>Rafael Caballero</w:t>
      </w:r>
    </w:p>
    <w:p w14:paraId="5EAB0AA8" w14:textId="77777777" w:rsidR="006D3EA5" w:rsidRPr="00263DC7" w:rsidRDefault="006D3EA5" w:rsidP="00CB5E4C">
      <w:pPr>
        <w:pStyle w:val="TitlePage"/>
        <w:rPr>
          <w:lang w:val="es-ES_tradnl"/>
        </w:rPr>
      </w:pPr>
    </w:p>
    <w:p w14:paraId="62C4A98B" w14:textId="77777777" w:rsidR="006D3EA5" w:rsidRPr="00263DC7" w:rsidRDefault="006D3EA5" w:rsidP="006D3EA5">
      <w:pPr>
        <w:pStyle w:val="TitlePage"/>
        <w:rPr>
          <w:caps/>
          <w:szCs w:val="32"/>
          <w:lang w:val="es-ES_tradnl"/>
        </w:rPr>
      </w:pPr>
      <w:r>
        <w:rPr>
          <w:caps/>
          <w:szCs w:val="32"/>
          <w:lang w:val="es-ES_tradnl"/>
        </w:rPr>
        <w:t>Colaborador</w:t>
      </w:r>
    </w:p>
    <w:p w14:paraId="2DA92385" w14:textId="77777777" w:rsidR="006D3EA5" w:rsidRPr="00263DC7" w:rsidRDefault="006D3EA5" w:rsidP="006D3EA5">
      <w:pPr>
        <w:pStyle w:val="TitlePage"/>
        <w:rPr>
          <w:lang w:val="es-ES_tradnl"/>
        </w:rPr>
      </w:pPr>
      <w:r>
        <w:rPr>
          <w:lang w:val="es-ES_tradnl"/>
        </w:rPr>
        <w:fldChar w:fldCharType="begin">
          <w:ffData>
            <w:name w:val=""/>
            <w:enabled/>
            <w:calcOnExit w:val="0"/>
            <w:textInput>
              <w:default w:val="Colaborador"/>
            </w:textInput>
          </w:ffData>
        </w:fldChar>
      </w:r>
      <w:r>
        <w:rPr>
          <w:lang w:val="es-ES_tradnl"/>
        </w:rPr>
        <w:instrText xml:space="preserve"> FORMTEXT </w:instrText>
      </w:r>
      <w:r>
        <w:rPr>
          <w:lang w:val="es-ES_tradnl"/>
        </w:rPr>
      </w:r>
      <w:r>
        <w:rPr>
          <w:lang w:val="es-ES_tradnl"/>
        </w:rPr>
        <w:fldChar w:fldCharType="separate"/>
      </w:r>
      <w:r>
        <w:rPr>
          <w:noProof/>
          <w:lang w:val="es-ES_tradnl"/>
        </w:rPr>
        <w:t>Colaborador</w:t>
      </w:r>
      <w:r>
        <w:rPr>
          <w:lang w:val="es-ES_tradnl"/>
        </w:rPr>
        <w:fldChar w:fldCharType="end"/>
      </w:r>
    </w:p>
    <w:p w14:paraId="4CC47FFB" w14:textId="77777777" w:rsidR="00E736EB" w:rsidRPr="00263DC7" w:rsidRDefault="00E736EB" w:rsidP="00EF05DF">
      <w:pPr>
        <w:pStyle w:val="TitlePage"/>
        <w:rPr>
          <w:lang w:val="es-ES_tradnl"/>
        </w:rPr>
      </w:pPr>
    </w:p>
    <w:p w14:paraId="296E91C8" w14:textId="77777777" w:rsidR="008E36E4" w:rsidRPr="00263DC7" w:rsidRDefault="008E36E4">
      <w:pPr>
        <w:pStyle w:val="TitlePage"/>
        <w:rPr>
          <w:lang w:val="es-ES_tradnl"/>
        </w:rPr>
      </w:pPr>
    </w:p>
    <w:p w14:paraId="11DB7815" w14:textId="77777777" w:rsidR="00CB5E4C" w:rsidRPr="00263DC7" w:rsidRDefault="006671FA" w:rsidP="00BF3AC4">
      <w:pPr>
        <w:pStyle w:val="FooterPage"/>
        <w:rPr>
          <w:lang w:val="es-ES_tradnl"/>
        </w:rPr>
      </w:pPr>
      <w:r>
        <w:rPr>
          <w:lang w:val="es-ES_tradnl"/>
        </w:rPr>
        <w:t>Máster en Inteligencia Artificial</w:t>
      </w:r>
    </w:p>
    <w:p w14:paraId="2B9A699D" w14:textId="77777777" w:rsidR="00CB5E4C" w:rsidRPr="00263DC7" w:rsidRDefault="00CB5E4C" w:rsidP="00BF3AC4">
      <w:pPr>
        <w:pStyle w:val="FooterPage"/>
        <w:rPr>
          <w:lang w:val="es-ES_tradnl"/>
        </w:rPr>
      </w:pPr>
      <w:r w:rsidRPr="00263DC7">
        <w:rPr>
          <w:lang w:val="es-ES_tradnl"/>
        </w:rPr>
        <w:t>Facultad de Informática</w:t>
      </w:r>
    </w:p>
    <w:p w14:paraId="5DD27769" w14:textId="77777777" w:rsidR="00263DC7" w:rsidRPr="006671FA" w:rsidRDefault="00CB5E4C" w:rsidP="006671FA">
      <w:pPr>
        <w:pStyle w:val="FooterPage"/>
        <w:rPr>
          <w:lang w:val="es-ES_tradnl"/>
        </w:rPr>
        <w:sectPr w:rsidR="00263DC7" w:rsidRPr="006671FA" w:rsidSect="00C36C16">
          <w:footerReference w:type="even" r:id="rId9"/>
          <w:footerReference w:type="default" r:id="rId10"/>
          <w:type w:val="continuous"/>
          <w:pgSz w:w="12240" w:h="15840"/>
          <w:pgMar w:top="1440" w:right="1440" w:bottom="1440" w:left="1440" w:header="720" w:footer="720" w:gutter="0"/>
          <w:pgNumType w:fmt="lowerRoman" w:start="1"/>
          <w:cols w:space="720"/>
          <w:docGrid w:linePitch="360"/>
        </w:sectPr>
      </w:pPr>
      <w:r w:rsidRPr="00263DC7">
        <w:rPr>
          <w:lang w:val="es-ES_tradnl"/>
        </w:rPr>
        <w:t>Universidad Complutense de Madrid</w:t>
      </w:r>
    </w:p>
    <w:p w14:paraId="6E3BED01" w14:textId="77777777" w:rsidR="00263DC7" w:rsidRPr="00263DC7" w:rsidRDefault="00263DC7" w:rsidP="006671FA">
      <w:pPr>
        <w:pStyle w:val="TitlePage"/>
        <w:jc w:val="both"/>
        <w:rPr>
          <w:caps/>
          <w:sz w:val="40"/>
          <w:lang w:val="es-ES_tradnl"/>
        </w:rPr>
      </w:pPr>
    </w:p>
    <w:p w14:paraId="0C0034DB" w14:textId="77777777" w:rsidR="006671FA" w:rsidRDefault="006671FA" w:rsidP="006671FA">
      <w:pPr>
        <w:pStyle w:val="TitlePage"/>
        <w:spacing w:before="120"/>
        <w:rPr>
          <w:caps/>
          <w:sz w:val="40"/>
          <w:lang w:val="es-ES_tradnl"/>
        </w:rPr>
      </w:pPr>
      <w:r w:rsidRPr="006671FA">
        <w:rPr>
          <w:caps/>
          <w:sz w:val="40"/>
          <w:lang w:val="es-ES_tradnl"/>
        </w:rPr>
        <w:t>Optimización de carteras basada en la predicción de retornos mediante modelos de machine learning y series temporales</w:t>
      </w:r>
    </w:p>
    <w:p w14:paraId="7EF861D6" w14:textId="77777777" w:rsidR="006671FA" w:rsidRDefault="006671FA" w:rsidP="006671FA">
      <w:pPr>
        <w:pStyle w:val="TitlePage"/>
        <w:spacing w:before="120"/>
        <w:rPr>
          <w:caps/>
          <w:sz w:val="40"/>
          <w:lang w:val="es-ES_tradnl"/>
        </w:rPr>
      </w:pPr>
    </w:p>
    <w:p w14:paraId="19CE5C5C" w14:textId="77777777" w:rsidR="006671FA" w:rsidRPr="00800533" w:rsidRDefault="006671FA" w:rsidP="006671FA">
      <w:pPr>
        <w:pStyle w:val="TitlePage"/>
        <w:spacing w:before="120"/>
        <w:rPr>
          <w:caps/>
          <w:sz w:val="40"/>
        </w:rPr>
      </w:pPr>
      <w:r w:rsidRPr="00800533">
        <w:rPr>
          <w:caps/>
          <w:sz w:val="40"/>
        </w:rPr>
        <w:t>Dynamic portfolio optimization based on return</w:t>
      </w:r>
      <w:r w:rsidR="005F6988" w:rsidRPr="00800533">
        <w:rPr>
          <w:caps/>
          <w:sz w:val="40"/>
        </w:rPr>
        <w:t xml:space="preserve"> </w:t>
      </w:r>
      <w:r w:rsidRPr="00800533">
        <w:rPr>
          <w:caps/>
          <w:sz w:val="40"/>
        </w:rPr>
        <w:t>forecasting using time series and machine learning models</w:t>
      </w:r>
    </w:p>
    <w:p w14:paraId="1CB9F497" w14:textId="77777777" w:rsidR="00AA14E6" w:rsidRPr="00800533" w:rsidRDefault="00AA14E6" w:rsidP="00000C0D">
      <w:pPr>
        <w:pStyle w:val="TitlePage"/>
      </w:pPr>
    </w:p>
    <w:p w14:paraId="24E8FD0E" w14:textId="77777777" w:rsidR="00042575" w:rsidRPr="00800533" w:rsidRDefault="00042575" w:rsidP="00000C0D">
      <w:pPr>
        <w:pStyle w:val="TitlePage"/>
      </w:pPr>
    </w:p>
    <w:p w14:paraId="1940BE68" w14:textId="77777777" w:rsidR="006D3EA5" w:rsidRPr="00263DC7" w:rsidRDefault="00000C0D" w:rsidP="006D3EA5">
      <w:pPr>
        <w:pStyle w:val="TitlePage"/>
        <w:rPr>
          <w:lang w:val="es-ES_tradnl"/>
        </w:rPr>
      </w:pPr>
      <w:r w:rsidRPr="00F65C8D">
        <w:rPr>
          <w:lang w:val="es-ES_tradnl"/>
        </w:rPr>
        <w:t xml:space="preserve">Trabajo de Fin de </w:t>
      </w:r>
      <w:r w:rsidR="006671FA">
        <w:rPr>
          <w:lang w:val="es-ES_tradnl"/>
        </w:rPr>
        <w:t>Máster en Inteligencia Artificial</w:t>
      </w:r>
    </w:p>
    <w:p w14:paraId="63D557B9" w14:textId="77777777" w:rsidR="00F65C8D" w:rsidRPr="00F65C8D" w:rsidRDefault="00000C0D" w:rsidP="00F65C8D">
      <w:pPr>
        <w:pStyle w:val="TitlePage"/>
        <w:rPr>
          <w:lang w:val="es-ES_tradnl"/>
        </w:rPr>
      </w:pPr>
      <w:r w:rsidRPr="00F65C8D">
        <w:rPr>
          <w:lang w:val="es-ES_tradnl"/>
        </w:rPr>
        <w:t>Departamento de</w:t>
      </w:r>
      <w:r w:rsidR="00F65C8D" w:rsidRPr="00F65C8D">
        <w:rPr>
          <w:lang w:val="es-ES_tradnl"/>
        </w:rPr>
        <w:t xml:space="preserve"> </w:t>
      </w:r>
      <w:r w:rsidR="006671FA" w:rsidRPr="00800533">
        <w:rPr>
          <w:lang w:val="es-ES"/>
        </w:rPr>
        <w:t>Informática</w:t>
      </w:r>
    </w:p>
    <w:p w14:paraId="0A933A0A" w14:textId="77777777" w:rsidR="00263DC7" w:rsidRPr="00263DC7" w:rsidRDefault="00000C0D" w:rsidP="00000C0D">
      <w:pPr>
        <w:pStyle w:val="TitlePage"/>
        <w:rPr>
          <w:lang w:val="es-ES_tradnl"/>
        </w:rPr>
      </w:pPr>
      <w:r w:rsidRPr="00000C0D">
        <w:rPr>
          <w:lang w:val="es-ES_tradnl"/>
        </w:rPr>
        <w:t xml:space="preserve"> </w:t>
      </w:r>
    </w:p>
    <w:p w14:paraId="4D263F57" w14:textId="77777777" w:rsidR="00263DC7" w:rsidRPr="00263DC7" w:rsidRDefault="00263DC7" w:rsidP="00263DC7">
      <w:pPr>
        <w:pStyle w:val="TitlePage"/>
        <w:rPr>
          <w:lang w:val="es-ES_tradnl"/>
        </w:rPr>
      </w:pPr>
    </w:p>
    <w:p w14:paraId="4F58BECD" w14:textId="77777777" w:rsidR="00263DC7" w:rsidRPr="00263DC7" w:rsidRDefault="00263DC7" w:rsidP="00263DC7">
      <w:pPr>
        <w:pStyle w:val="TitlePage"/>
        <w:rPr>
          <w:lang w:val="es-ES_tradnl"/>
        </w:rPr>
      </w:pPr>
      <w:r w:rsidRPr="00263DC7">
        <w:rPr>
          <w:lang w:val="es-ES_tradnl"/>
        </w:rPr>
        <w:t>Autor</w:t>
      </w:r>
    </w:p>
    <w:p w14:paraId="1A9CA248" w14:textId="77777777" w:rsidR="00263DC7" w:rsidRPr="00263DC7" w:rsidRDefault="006671FA" w:rsidP="00263DC7">
      <w:pPr>
        <w:pStyle w:val="TitlePage"/>
        <w:rPr>
          <w:caps/>
          <w:szCs w:val="32"/>
          <w:lang w:val="es-ES_tradnl"/>
        </w:rPr>
      </w:pPr>
      <w:r>
        <w:rPr>
          <w:caps/>
          <w:szCs w:val="32"/>
          <w:lang w:val="es-ES_tradnl"/>
        </w:rPr>
        <w:t>Alejandra Llord</w:t>
      </w:r>
    </w:p>
    <w:p w14:paraId="060A558A" w14:textId="77777777" w:rsidR="00263DC7" w:rsidRPr="00263DC7" w:rsidRDefault="00263DC7" w:rsidP="00263DC7">
      <w:pPr>
        <w:pStyle w:val="TitlePage"/>
        <w:rPr>
          <w:caps/>
          <w:szCs w:val="32"/>
          <w:lang w:val="es-ES_tradnl"/>
        </w:rPr>
      </w:pPr>
    </w:p>
    <w:p w14:paraId="55803725" w14:textId="77777777" w:rsidR="006D3EA5" w:rsidRPr="00263DC7" w:rsidRDefault="006D3EA5" w:rsidP="006D3EA5">
      <w:pPr>
        <w:pStyle w:val="TitlePage"/>
        <w:rPr>
          <w:caps/>
          <w:szCs w:val="32"/>
          <w:lang w:val="es-ES_tradnl"/>
        </w:rPr>
      </w:pPr>
      <w:r w:rsidRPr="00263DC7">
        <w:rPr>
          <w:caps/>
          <w:szCs w:val="32"/>
          <w:lang w:val="es-ES_tradnl"/>
        </w:rPr>
        <w:t>Director</w:t>
      </w:r>
    </w:p>
    <w:p w14:paraId="32D06022" w14:textId="77777777" w:rsidR="006D3EA5" w:rsidRDefault="006671FA" w:rsidP="006D3EA5">
      <w:pPr>
        <w:pStyle w:val="TitlePage"/>
        <w:rPr>
          <w:lang w:val="es-ES_tradnl"/>
        </w:rPr>
      </w:pPr>
      <w:r>
        <w:rPr>
          <w:lang w:val="es-ES_tradnl"/>
        </w:rPr>
        <w:t>Rafael Caballero</w:t>
      </w:r>
    </w:p>
    <w:p w14:paraId="7F04BC15" w14:textId="77777777" w:rsidR="006D3EA5" w:rsidRPr="00263DC7" w:rsidRDefault="006D3EA5" w:rsidP="006D3EA5">
      <w:pPr>
        <w:pStyle w:val="TitlePage"/>
        <w:rPr>
          <w:lang w:val="es-ES_tradnl"/>
        </w:rPr>
      </w:pPr>
    </w:p>
    <w:p w14:paraId="73B0799F" w14:textId="77777777" w:rsidR="006D3EA5" w:rsidRPr="00263DC7" w:rsidRDefault="006D3EA5" w:rsidP="006D3EA5">
      <w:pPr>
        <w:pStyle w:val="TitlePage"/>
        <w:rPr>
          <w:caps/>
          <w:szCs w:val="32"/>
          <w:lang w:val="es-ES_tradnl"/>
        </w:rPr>
      </w:pPr>
      <w:r>
        <w:rPr>
          <w:caps/>
          <w:szCs w:val="32"/>
          <w:lang w:val="es-ES_tradnl"/>
        </w:rPr>
        <w:t>Colaborador</w:t>
      </w:r>
    </w:p>
    <w:p w14:paraId="5436BCAD" w14:textId="77777777" w:rsidR="006D3EA5" w:rsidRPr="00263DC7" w:rsidRDefault="006D3EA5" w:rsidP="006D3EA5">
      <w:pPr>
        <w:pStyle w:val="TitlePage"/>
        <w:rPr>
          <w:lang w:val="es-ES_tradnl"/>
        </w:rPr>
      </w:pPr>
      <w:r>
        <w:rPr>
          <w:lang w:val="es-ES_tradnl"/>
        </w:rPr>
        <w:fldChar w:fldCharType="begin">
          <w:ffData>
            <w:name w:val=""/>
            <w:enabled/>
            <w:calcOnExit w:val="0"/>
            <w:textInput>
              <w:default w:val="Colaborador"/>
            </w:textInput>
          </w:ffData>
        </w:fldChar>
      </w:r>
      <w:r>
        <w:rPr>
          <w:lang w:val="es-ES_tradnl"/>
        </w:rPr>
        <w:instrText xml:space="preserve"> FORMTEXT </w:instrText>
      </w:r>
      <w:r>
        <w:rPr>
          <w:lang w:val="es-ES_tradnl"/>
        </w:rPr>
      </w:r>
      <w:r>
        <w:rPr>
          <w:lang w:val="es-ES_tradnl"/>
        </w:rPr>
        <w:fldChar w:fldCharType="separate"/>
      </w:r>
      <w:r>
        <w:rPr>
          <w:noProof/>
          <w:lang w:val="es-ES_tradnl"/>
        </w:rPr>
        <w:t>Colaborador</w:t>
      </w:r>
      <w:r>
        <w:rPr>
          <w:lang w:val="es-ES_tradnl"/>
        </w:rPr>
        <w:fldChar w:fldCharType="end"/>
      </w:r>
    </w:p>
    <w:p w14:paraId="52F112B0" w14:textId="77777777" w:rsidR="00263DC7" w:rsidRPr="00263DC7" w:rsidRDefault="00263DC7" w:rsidP="00263DC7">
      <w:pPr>
        <w:pStyle w:val="TitlePage"/>
        <w:rPr>
          <w:lang w:val="es-ES_tradnl"/>
        </w:rPr>
      </w:pPr>
    </w:p>
    <w:p w14:paraId="0566BB9D" w14:textId="77777777" w:rsidR="00263DC7" w:rsidRDefault="00F65C8D" w:rsidP="006D3EA5">
      <w:pPr>
        <w:pStyle w:val="TitlePage"/>
        <w:rPr>
          <w:lang w:val="es-ES_tradnl"/>
        </w:rPr>
      </w:pPr>
      <w:r w:rsidRPr="00F65C8D">
        <w:rPr>
          <w:b/>
          <w:lang w:val="es-ES_tradnl"/>
        </w:rPr>
        <w:t>Convocatoria</w:t>
      </w:r>
      <w:r>
        <w:rPr>
          <w:lang w:val="es-ES_tradnl"/>
        </w:rPr>
        <w:t xml:space="preserve">: </w:t>
      </w:r>
      <w:r w:rsidR="006671FA">
        <w:rPr>
          <w:lang w:val="es-ES_tradnl"/>
        </w:rPr>
        <w:t>Junio 2026</w:t>
      </w:r>
    </w:p>
    <w:p w14:paraId="51382910" w14:textId="77777777" w:rsidR="006D3EA5" w:rsidRPr="00263DC7" w:rsidRDefault="00F65C8D" w:rsidP="006D3EA5">
      <w:pPr>
        <w:pStyle w:val="TitlePage"/>
        <w:rPr>
          <w:lang w:val="es-ES_tradnl"/>
        </w:rPr>
      </w:pPr>
      <w:r w:rsidRPr="00F65C8D">
        <w:rPr>
          <w:b/>
          <w:lang w:val="es-ES_tradnl"/>
        </w:rPr>
        <w:t>Calificación</w:t>
      </w:r>
      <w:r>
        <w:rPr>
          <w:lang w:val="es-ES_tradnl"/>
        </w:rPr>
        <w:t xml:space="preserve">: </w:t>
      </w:r>
      <w:r w:rsidR="006D3EA5">
        <w:rPr>
          <w:lang w:val="es-ES_tradnl"/>
        </w:rPr>
        <w:fldChar w:fldCharType="begin">
          <w:ffData>
            <w:name w:val=""/>
            <w:enabled/>
            <w:calcOnExit w:val="0"/>
            <w:textInput>
              <w:default w:val="Nota"/>
            </w:textInput>
          </w:ffData>
        </w:fldChar>
      </w:r>
      <w:r w:rsidR="006D3EA5">
        <w:rPr>
          <w:lang w:val="es-ES_tradnl"/>
        </w:rPr>
        <w:instrText xml:space="preserve"> FORMTEXT </w:instrText>
      </w:r>
      <w:r w:rsidR="006D3EA5">
        <w:rPr>
          <w:lang w:val="es-ES_tradnl"/>
        </w:rPr>
      </w:r>
      <w:r w:rsidR="006D3EA5">
        <w:rPr>
          <w:lang w:val="es-ES_tradnl"/>
        </w:rPr>
        <w:fldChar w:fldCharType="separate"/>
      </w:r>
      <w:r w:rsidR="006D3EA5">
        <w:rPr>
          <w:noProof/>
          <w:lang w:val="es-ES_tradnl"/>
        </w:rPr>
        <w:t>Nota</w:t>
      </w:r>
      <w:r w:rsidR="006D3EA5">
        <w:rPr>
          <w:lang w:val="es-ES_tradnl"/>
        </w:rPr>
        <w:fldChar w:fldCharType="end"/>
      </w:r>
    </w:p>
    <w:p w14:paraId="728C1909" w14:textId="77777777" w:rsidR="00F65C8D" w:rsidRDefault="00F65C8D" w:rsidP="00263DC7">
      <w:pPr>
        <w:pStyle w:val="TitlePage"/>
        <w:rPr>
          <w:lang w:val="es-ES_tradnl"/>
        </w:rPr>
      </w:pPr>
    </w:p>
    <w:p w14:paraId="03A96064" w14:textId="77777777" w:rsidR="00F65C8D" w:rsidRDefault="00F65C8D" w:rsidP="00263DC7">
      <w:pPr>
        <w:pStyle w:val="TitlePage"/>
        <w:rPr>
          <w:lang w:val="es-ES_tradnl"/>
        </w:rPr>
      </w:pPr>
    </w:p>
    <w:p w14:paraId="13E38205" w14:textId="77777777" w:rsidR="00F65C8D" w:rsidRPr="00263DC7" w:rsidRDefault="00F65C8D" w:rsidP="00263DC7">
      <w:pPr>
        <w:pStyle w:val="TitlePage"/>
        <w:rPr>
          <w:lang w:val="es-ES_tradnl"/>
        </w:rPr>
      </w:pPr>
    </w:p>
    <w:p w14:paraId="19FFBB4E" w14:textId="77777777" w:rsidR="00263DC7" w:rsidRPr="00263DC7" w:rsidRDefault="006671FA" w:rsidP="00263DC7">
      <w:pPr>
        <w:pStyle w:val="FooterPage"/>
        <w:rPr>
          <w:lang w:val="es-ES_tradnl"/>
        </w:rPr>
      </w:pPr>
      <w:r>
        <w:rPr>
          <w:lang w:val="es-ES_tradnl"/>
        </w:rPr>
        <w:t>Máster en Inteligencia Artificial</w:t>
      </w:r>
    </w:p>
    <w:p w14:paraId="02C16FBD" w14:textId="77777777" w:rsidR="00263DC7" w:rsidRPr="00263DC7" w:rsidRDefault="00263DC7" w:rsidP="00263DC7">
      <w:pPr>
        <w:pStyle w:val="FooterPage"/>
        <w:rPr>
          <w:lang w:val="es-ES_tradnl"/>
        </w:rPr>
      </w:pPr>
      <w:r w:rsidRPr="00263DC7">
        <w:rPr>
          <w:lang w:val="es-ES_tradnl"/>
        </w:rPr>
        <w:t>Facultad de Informática</w:t>
      </w:r>
    </w:p>
    <w:p w14:paraId="51E85550" w14:textId="77777777" w:rsidR="00263DC7" w:rsidRDefault="00263DC7" w:rsidP="00263DC7">
      <w:pPr>
        <w:pStyle w:val="FooterPage"/>
        <w:rPr>
          <w:lang w:val="es-ES_tradnl"/>
        </w:rPr>
      </w:pPr>
      <w:r w:rsidRPr="00263DC7">
        <w:rPr>
          <w:lang w:val="es-ES_tradnl"/>
        </w:rPr>
        <w:t>Universidad Complutense de Madrid</w:t>
      </w:r>
    </w:p>
    <w:p w14:paraId="591DCBFC" w14:textId="77777777" w:rsidR="00F65C8D" w:rsidRDefault="00F65C8D" w:rsidP="00263DC7">
      <w:pPr>
        <w:pStyle w:val="FooterPage"/>
        <w:rPr>
          <w:lang w:val="es-ES_tradnl"/>
        </w:rPr>
      </w:pPr>
    </w:p>
    <w:p w14:paraId="67275EEE" w14:textId="77777777" w:rsidR="00F65C8D" w:rsidRPr="00263DC7" w:rsidRDefault="006D3EA5" w:rsidP="00F65C8D">
      <w:pPr>
        <w:pStyle w:val="FooterPage"/>
      </w:pPr>
      <w:r>
        <w:fldChar w:fldCharType="begin">
          <w:ffData>
            <w:name w:val="GradYear1"/>
            <w:enabled/>
            <w:calcOnExit w:val="0"/>
            <w:textInput>
              <w:default w:val="DÍA de MES de AÑO"/>
            </w:textInput>
          </w:ffData>
        </w:fldChar>
      </w:r>
      <w:bookmarkStart w:id="0" w:name="GradYear1"/>
      <w:r>
        <w:instrText xml:space="preserve"> FORMTEXT </w:instrText>
      </w:r>
      <w:r>
        <w:fldChar w:fldCharType="separate"/>
      </w:r>
      <w:r>
        <w:rPr>
          <w:noProof/>
        </w:rPr>
        <w:t>DÍA de MES de AÑO</w:t>
      </w:r>
      <w:r>
        <w:fldChar w:fldCharType="end"/>
      </w:r>
      <w:bookmarkEnd w:id="0"/>
    </w:p>
    <w:p w14:paraId="6C71CF3D" w14:textId="77777777" w:rsidR="00263DC7" w:rsidRDefault="00263DC7" w:rsidP="00F43FCD"/>
    <w:p w14:paraId="65283DE3" w14:textId="77777777" w:rsidR="00F65C8D" w:rsidRPr="006671FA" w:rsidRDefault="00F65C8D" w:rsidP="00F43FCD">
      <w:pPr>
        <w:rPr>
          <w:rFonts w:cstheme="minorHAnsi"/>
        </w:rPr>
        <w:sectPr w:rsidR="00F65C8D" w:rsidRPr="006671FA" w:rsidSect="00263DC7">
          <w:type w:val="oddPage"/>
          <w:pgSz w:w="12240" w:h="15840"/>
          <w:pgMar w:top="1440" w:right="1440" w:bottom="1440" w:left="1440" w:header="720" w:footer="720" w:gutter="0"/>
          <w:pgNumType w:fmt="lowerRoman" w:start="1"/>
          <w:cols w:space="720"/>
          <w:docGrid w:linePitch="360"/>
        </w:sectPr>
      </w:pPr>
    </w:p>
    <w:p w14:paraId="53DB0880" w14:textId="77777777" w:rsidR="00A43AEE" w:rsidRPr="006671FA" w:rsidRDefault="00A43AEE" w:rsidP="00A43AEE">
      <w:pPr>
        <w:pStyle w:val="PageHeading"/>
        <w:rPr>
          <w:rFonts w:asciiTheme="minorHAnsi" w:hAnsiTheme="minorHAnsi" w:cstheme="minorHAnsi"/>
          <w:lang w:val="es-ES_tradnl"/>
        </w:rPr>
      </w:pPr>
      <w:bookmarkStart w:id="1" w:name="_Toc229572256"/>
      <w:r w:rsidRPr="006671FA">
        <w:rPr>
          <w:rFonts w:asciiTheme="minorHAnsi" w:hAnsiTheme="minorHAnsi" w:cstheme="minorHAnsi"/>
          <w:lang w:val="es-ES_tradnl"/>
        </w:rPr>
        <w:lastRenderedPageBreak/>
        <w:t>Dedicatoria</w:t>
      </w:r>
      <w:bookmarkEnd w:id="1"/>
    </w:p>
    <w:p w14:paraId="14E20AF1" w14:textId="77777777" w:rsidR="00A43AEE" w:rsidRPr="006671FA" w:rsidRDefault="00A43AEE" w:rsidP="001E4710">
      <w:pPr>
        <w:ind w:left="4820" w:firstLine="0"/>
        <w:jc w:val="right"/>
        <w:rPr>
          <w:rFonts w:cstheme="minorHAnsi"/>
          <w:color w:val="5B9BD5" w:themeColor="accent1"/>
        </w:rPr>
      </w:pPr>
    </w:p>
    <w:p w14:paraId="3ECA7D5E" w14:textId="77777777" w:rsidR="00A43AEE" w:rsidRPr="006671FA" w:rsidRDefault="00A43AEE" w:rsidP="00A43AEE">
      <w:pPr>
        <w:rPr>
          <w:rFonts w:cstheme="minorHAnsi"/>
        </w:rPr>
      </w:pPr>
    </w:p>
    <w:p w14:paraId="7938535D" w14:textId="77777777" w:rsidR="00A43AEE" w:rsidRPr="006671FA" w:rsidRDefault="00A43AEE" w:rsidP="00A43AEE">
      <w:pPr>
        <w:rPr>
          <w:rFonts w:cstheme="minorHAnsi"/>
        </w:rPr>
        <w:sectPr w:rsidR="00A43AEE" w:rsidRPr="006671FA" w:rsidSect="00310A7E">
          <w:footerReference w:type="default" r:id="rId11"/>
          <w:type w:val="oddPage"/>
          <w:pgSz w:w="12240" w:h="15840"/>
          <w:pgMar w:top="1440" w:right="1440" w:bottom="1440" w:left="1440" w:header="720" w:footer="720" w:gutter="0"/>
          <w:pgNumType w:fmt="upperRoman"/>
          <w:cols w:space="720"/>
          <w:docGrid w:linePitch="360"/>
        </w:sectPr>
      </w:pPr>
    </w:p>
    <w:p w14:paraId="00E31D49" w14:textId="77777777" w:rsidR="00F43FCD" w:rsidRPr="006671FA" w:rsidRDefault="00F43FCD" w:rsidP="00F43FCD">
      <w:pPr>
        <w:pStyle w:val="PageHeading"/>
        <w:rPr>
          <w:rFonts w:asciiTheme="minorHAnsi" w:hAnsiTheme="minorHAnsi" w:cstheme="minorHAnsi"/>
          <w:lang w:val="es-ES"/>
        </w:rPr>
      </w:pPr>
      <w:bookmarkStart w:id="2" w:name="_Toc229572257"/>
      <w:r w:rsidRPr="006671FA">
        <w:rPr>
          <w:rFonts w:asciiTheme="minorHAnsi" w:hAnsiTheme="minorHAnsi" w:cstheme="minorHAnsi"/>
          <w:lang w:val="es-ES"/>
        </w:rPr>
        <w:lastRenderedPageBreak/>
        <w:t>Agradecimientos</w:t>
      </w:r>
      <w:bookmarkEnd w:id="2"/>
    </w:p>
    <w:p w14:paraId="23E72ECC" w14:textId="77777777" w:rsidR="00F43FCD" w:rsidRPr="006671FA" w:rsidRDefault="00F43FCD" w:rsidP="00F43FCD">
      <w:pPr>
        <w:pStyle w:val="Ttulo1"/>
        <w:numPr>
          <w:ilvl w:val="0"/>
          <w:numId w:val="0"/>
        </w:numPr>
        <w:rPr>
          <w:rFonts w:cstheme="minorHAnsi"/>
          <w:lang w:val="es-ES"/>
        </w:rPr>
        <w:sectPr w:rsidR="00F43FCD" w:rsidRPr="006671FA" w:rsidSect="00310A7E">
          <w:type w:val="oddPage"/>
          <w:pgSz w:w="12240" w:h="15840"/>
          <w:pgMar w:top="1440" w:right="1440" w:bottom="1440" w:left="1440" w:header="720" w:footer="720" w:gutter="0"/>
          <w:pgNumType w:fmt="upperRoman"/>
          <w:cols w:space="720"/>
          <w:docGrid w:linePitch="360"/>
        </w:sectPr>
      </w:pPr>
    </w:p>
    <w:p w14:paraId="76FB0134" w14:textId="77777777" w:rsidR="008E36E4" w:rsidRPr="006671FA" w:rsidRDefault="00496D25" w:rsidP="006D3EA5">
      <w:pPr>
        <w:pStyle w:val="PageHeading"/>
        <w:rPr>
          <w:rFonts w:asciiTheme="minorHAnsi" w:hAnsiTheme="minorHAnsi" w:cstheme="minorHAnsi"/>
          <w:lang w:val="es-ES_tradnl"/>
        </w:rPr>
      </w:pPr>
      <w:bookmarkStart w:id="3" w:name="_Toc229572258"/>
      <w:r w:rsidRPr="006671FA">
        <w:rPr>
          <w:rFonts w:asciiTheme="minorHAnsi" w:hAnsiTheme="minorHAnsi" w:cstheme="minorHAnsi"/>
          <w:lang w:val="es-ES_tradnl"/>
        </w:rPr>
        <w:lastRenderedPageBreak/>
        <w:t>Resumen</w:t>
      </w:r>
      <w:bookmarkEnd w:id="3"/>
    </w:p>
    <w:p w14:paraId="6D0EEA14" w14:textId="563412FC" w:rsidR="0053370D" w:rsidRPr="0053370D" w:rsidRDefault="0053370D" w:rsidP="004D64A4">
      <w:pPr>
        <w:ind w:firstLine="0"/>
        <w:jc w:val="center"/>
        <w:rPr>
          <w:rFonts w:cstheme="minorHAnsi"/>
          <w:lang w:val="es-ES"/>
        </w:rPr>
      </w:pPr>
      <w:r w:rsidRPr="0053370D">
        <w:rPr>
          <w:rFonts w:cstheme="minorHAnsi"/>
          <w:b/>
          <w:bCs/>
          <w:lang w:val="es-ES"/>
        </w:rPr>
        <w:t>Optimización de carteras basada en la predicción de retornos mediante modelos de Machine Learning y Series Temporales</w:t>
      </w:r>
    </w:p>
    <w:p w14:paraId="2953EA05" w14:textId="46F2CB42" w:rsidR="002616F8" w:rsidRPr="002616F8" w:rsidRDefault="00FD01C4" w:rsidP="004D64A4">
      <w:pPr>
        <w:ind w:firstLine="0"/>
        <w:jc w:val="left"/>
        <w:rPr>
          <w:rFonts w:cstheme="minorHAnsi"/>
          <w:lang w:val="es-ES" w:eastAsia="es-ES"/>
        </w:rPr>
      </w:pPr>
      <w:r w:rsidRPr="00FD01C4">
        <w:rPr>
          <w:rFonts w:cstheme="minorHAnsi"/>
          <w:lang w:eastAsia="es-ES"/>
        </w:rPr>
        <w:t xml:space="preserve">Este trabajo </w:t>
      </w:r>
      <w:r w:rsidR="0075244A">
        <w:rPr>
          <w:rFonts w:cstheme="minorHAnsi"/>
          <w:lang w:eastAsia="es-ES"/>
        </w:rPr>
        <w:t xml:space="preserve">de </w:t>
      </w:r>
      <w:r w:rsidRPr="00FD01C4">
        <w:rPr>
          <w:rFonts w:cstheme="minorHAnsi"/>
          <w:lang w:eastAsia="es-ES"/>
        </w:rPr>
        <w:t>estudia el uso de modelos predictivos para la construcción de carteras de inversión formadas por ETFs (Exchange Traded Funds), o fondos cotizados. Para ello, se analiza si la predicción de los retornos futuros de estos activos permite construir carteras con mejores resultados que las obtenidas mediante métodos tradicionales más sencillos, como la media histórica o el último valor observado.</w:t>
      </w:r>
    </w:p>
    <w:p w14:paraId="33616558" w14:textId="2BDA513B" w:rsidR="00FD01C4" w:rsidRPr="00FD01C4" w:rsidRDefault="00851FCB" w:rsidP="004D64A4">
      <w:pPr>
        <w:ind w:firstLine="0"/>
        <w:jc w:val="left"/>
        <w:rPr>
          <w:rFonts w:cstheme="minorHAnsi"/>
          <w:lang w:val="es-ES" w:eastAsia="es-ES"/>
        </w:rPr>
      </w:pPr>
      <w:r w:rsidRPr="00851FCB">
        <w:rPr>
          <w:rFonts w:cstheme="minorHAnsi"/>
          <w:lang w:eastAsia="es-ES"/>
        </w:rPr>
        <w:t xml:space="preserve">El </w:t>
      </w:r>
      <w:r w:rsidR="0075244A">
        <w:rPr>
          <w:rFonts w:cstheme="minorHAnsi"/>
          <w:lang w:eastAsia="es-ES"/>
        </w:rPr>
        <w:t>análisis</w:t>
      </w:r>
      <w:r w:rsidRPr="00851FCB">
        <w:rPr>
          <w:rFonts w:cstheme="minorHAnsi"/>
          <w:lang w:eastAsia="es-ES"/>
        </w:rPr>
        <w:t xml:space="preserve"> parte de datos históricos de ETFs, a partir de los cuales se calculan retornos diarios y semanales. Esta doble frecuencia permite comparar una visión más inmediata del mercado con otra más estable y menos afectada por el ruido diario</w:t>
      </w:r>
      <w:r w:rsidR="00FD01C4" w:rsidRPr="00FD01C4">
        <w:rPr>
          <w:rFonts w:cstheme="minorHAnsi"/>
          <w:lang w:val="es-ES" w:eastAsia="es-ES"/>
        </w:rPr>
        <w:t xml:space="preserve">. </w:t>
      </w:r>
      <w:r w:rsidR="00FD01C4" w:rsidRPr="00FD01C4">
        <w:rPr>
          <w:rFonts w:cstheme="minorHAnsi"/>
          <w:lang w:eastAsia="es-ES"/>
        </w:rPr>
        <w:t>Sobre amb</w:t>
      </w:r>
      <w:r>
        <w:rPr>
          <w:rFonts w:cstheme="minorHAnsi"/>
          <w:lang w:eastAsia="es-ES"/>
        </w:rPr>
        <w:t>as</w:t>
      </w:r>
      <w:r w:rsidR="00FD01C4" w:rsidRPr="00FD01C4">
        <w:rPr>
          <w:rFonts w:cstheme="minorHAnsi"/>
          <w:lang w:eastAsia="es-ES"/>
        </w:rPr>
        <w:t xml:space="preserve"> </w:t>
      </w:r>
      <w:r>
        <w:rPr>
          <w:rFonts w:cstheme="minorHAnsi"/>
          <w:lang w:eastAsia="es-ES"/>
        </w:rPr>
        <w:t>frecuencias</w:t>
      </w:r>
      <w:r w:rsidR="00FD01C4" w:rsidRPr="00FD01C4">
        <w:rPr>
          <w:rFonts w:cstheme="minorHAnsi"/>
          <w:lang w:eastAsia="es-ES"/>
        </w:rPr>
        <w:t xml:space="preserve"> se aplican modelo</w:t>
      </w:r>
      <w:r>
        <w:rPr>
          <w:rFonts w:cstheme="minorHAnsi"/>
          <w:lang w:eastAsia="es-ES"/>
        </w:rPr>
        <w:t xml:space="preserve">s </w:t>
      </w:r>
      <w:r w:rsidR="00FD01C4" w:rsidRPr="00FD01C4">
        <w:rPr>
          <w:rFonts w:cstheme="minorHAnsi"/>
          <w:lang w:val="es-ES" w:eastAsia="es-ES"/>
        </w:rPr>
        <w:t>de series temporales y modelos de aprendizaje automático. En el primer caso se aplican modelos ARIMA a cada ETF de forma individual. En el segundo, se prueban modelos como Ridge, Random Forest y Gradient Boosting, incorporando información de varios activos, volumen y variables temporales.</w:t>
      </w:r>
    </w:p>
    <w:p w14:paraId="632D9BC0" w14:textId="0063C07D" w:rsidR="0053370D" w:rsidRDefault="00851FCB" w:rsidP="004D64A4">
      <w:pPr>
        <w:ind w:firstLine="0"/>
        <w:jc w:val="left"/>
        <w:rPr>
          <w:rFonts w:cstheme="minorHAnsi"/>
          <w:lang w:val="es-ES" w:eastAsia="es-ES"/>
        </w:rPr>
      </w:pPr>
      <w:r w:rsidRPr="00851FCB">
        <w:rPr>
          <w:rFonts w:cstheme="minorHAnsi"/>
          <w:lang w:eastAsia="es-ES"/>
        </w:rPr>
        <w:t>Una vez comparados los modelos, las predicciones del mejor de ellos se incorporan a un proceso de optimización de carteras</w:t>
      </w:r>
      <w:r>
        <w:rPr>
          <w:rFonts w:cstheme="minorHAnsi"/>
          <w:lang w:eastAsia="es-ES"/>
        </w:rPr>
        <w:t xml:space="preserve"> basado </w:t>
      </w:r>
      <w:r w:rsidR="00FD01C4" w:rsidRPr="00FD01C4">
        <w:rPr>
          <w:rFonts w:cstheme="minorHAnsi"/>
          <w:lang w:val="es-ES" w:eastAsia="es-ES"/>
        </w:rPr>
        <w:t>en Markowitz</w:t>
      </w:r>
      <w:r>
        <w:t xml:space="preserve">, </w:t>
      </w:r>
      <w:r w:rsidRPr="00851FCB">
        <w:rPr>
          <w:rFonts w:cstheme="minorHAnsi"/>
          <w:lang w:eastAsia="es-ES"/>
        </w:rPr>
        <w:t xml:space="preserve">donde se </w:t>
      </w:r>
      <w:r>
        <w:rPr>
          <w:rFonts w:cstheme="minorHAnsi"/>
          <w:lang w:eastAsia="es-ES"/>
        </w:rPr>
        <w:t>contrastan</w:t>
      </w:r>
      <w:r w:rsidRPr="00851FCB">
        <w:rPr>
          <w:rFonts w:cstheme="minorHAnsi"/>
          <w:lang w:eastAsia="es-ES"/>
        </w:rPr>
        <w:t xml:space="preserve"> con las estrategias tradicionales descritas anteriormente</w:t>
      </w:r>
      <w:r w:rsidR="00646A20">
        <w:rPr>
          <w:rFonts w:cstheme="minorHAnsi"/>
          <w:lang w:val="es-ES" w:eastAsia="es-ES"/>
        </w:rPr>
        <w:t>.</w:t>
      </w:r>
      <w:r w:rsidR="00646A20" w:rsidRPr="00646A20">
        <w:rPr>
          <w:rFonts w:cstheme="minorHAnsi"/>
          <w:lang w:eastAsia="es-ES"/>
        </w:rPr>
        <w:t xml:space="preserve"> </w:t>
      </w:r>
      <w:r w:rsidRPr="00851FCB">
        <w:rPr>
          <w:rFonts w:cstheme="minorHAnsi"/>
          <w:lang w:eastAsia="es-ES"/>
        </w:rPr>
        <w:t>De este modo, el trabajo evalúa si las predicciones tienen utilidad no solo desde el punto de vista estadístico, sino también desde el económico.</w:t>
      </w:r>
    </w:p>
    <w:p w14:paraId="407EBE46" w14:textId="77777777" w:rsidR="0053370D" w:rsidRDefault="0053370D" w:rsidP="00E66475">
      <w:pPr>
        <w:rPr>
          <w:rFonts w:cstheme="minorHAnsi"/>
          <w:lang w:val="es-ES" w:eastAsia="es-ES"/>
        </w:rPr>
      </w:pPr>
    </w:p>
    <w:p w14:paraId="38DBA2C3" w14:textId="396706DA" w:rsidR="00496D25" w:rsidRPr="006671FA" w:rsidRDefault="00496D25" w:rsidP="0053370D">
      <w:pPr>
        <w:jc w:val="center"/>
        <w:rPr>
          <w:rStyle w:val="Fuerte"/>
          <w:rFonts w:cstheme="minorHAnsi"/>
        </w:rPr>
      </w:pPr>
      <w:r w:rsidRPr="006671FA">
        <w:rPr>
          <w:rStyle w:val="Fuerte"/>
          <w:rFonts w:cstheme="minorHAnsi"/>
        </w:rPr>
        <w:t>Palabras clave</w:t>
      </w:r>
    </w:p>
    <w:p w14:paraId="5EC63C4C" w14:textId="17E39E3A" w:rsidR="00851FCB" w:rsidRPr="00851FCB" w:rsidRDefault="00851FCB" w:rsidP="004D64A4">
      <w:pPr>
        <w:pStyle w:val="Textoindependiente"/>
        <w:ind w:firstLine="0"/>
        <w:jc w:val="left"/>
        <w:rPr>
          <w:lang w:val="es-ES"/>
        </w:rPr>
        <w:sectPr w:rsidR="00851FCB" w:rsidRPr="00851FCB" w:rsidSect="00310A7E">
          <w:type w:val="oddPage"/>
          <w:pgSz w:w="12240" w:h="15840"/>
          <w:pgMar w:top="1440" w:right="1440" w:bottom="1440" w:left="1440" w:header="720" w:footer="720" w:gutter="0"/>
          <w:pgNumType w:fmt="upperRoman"/>
          <w:cols w:space="720"/>
          <w:docGrid w:linePitch="360"/>
        </w:sectPr>
      </w:pPr>
      <w:r w:rsidRPr="00851FCB">
        <w:rPr>
          <w:lang w:val="es-ES"/>
        </w:rPr>
        <w:t>ETF</w:t>
      </w:r>
      <w:r w:rsidR="004D64A4">
        <w:rPr>
          <w:lang w:val="es-ES"/>
        </w:rPr>
        <w:t>s</w:t>
      </w:r>
      <w:r w:rsidRPr="00851FCB">
        <w:rPr>
          <w:lang w:val="es-ES"/>
        </w:rPr>
        <w:t xml:space="preserve">, </w:t>
      </w:r>
      <w:r w:rsidR="004D64A4">
        <w:rPr>
          <w:lang w:val="es-ES"/>
        </w:rPr>
        <w:t>Portfolio O</w:t>
      </w:r>
      <w:r w:rsidRPr="00851FCB">
        <w:rPr>
          <w:lang w:val="es-ES"/>
        </w:rPr>
        <w:t>ptimization, Markowitz</w:t>
      </w:r>
      <w:r w:rsidR="004D64A4">
        <w:rPr>
          <w:lang w:val="es-ES"/>
        </w:rPr>
        <w:t xml:space="preserve"> </w:t>
      </w:r>
      <w:r w:rsidR="004D64A4" w:rsidRPr="004D64A4">
        <w:t>Model</w:t>
      </w:r>
      <w:r w:rsidRPr="00851FCB">
        <w:rPr>
          <w:lang w:val="es-ES"/>
        </w:rPr>
        <w:t xml:space="preserve">, </w:t>
      </w:r>
      <w:r>
        <w:rPr>
          <w:lang w:val="es-ES"/>
        </w:rPr>
        <w:t>M</w:t>
      </w:r>
      <w:r w:rsidRPr="00851FCB">
        <w:rPr>
          <w:lang w:val="es-ES"/>
        </w:rPr>
        <w:t xml:space="preserve">achine </w:t>
      </w:r>
      <w:r>
        <w:rPr>
          <w:lang w:val="es-ES"/>
        </w:rPr>
        <w:t>L</w:t>
      </w:r>
      <w:r w:rsidRPr="00851FCB">
        <w:rPr>
          <w:lang w:val="es-ES"/>
        </w:rPr>
        <w:t>earnin</w:t>
      </w:r>
      <w:r w:rsidR="004D64A4">
        <w:rPr>
          <w:lang w:val="es-ES"/>
        </w:rPr>
        <w:t>g,</w:t>
      </w:r>
      <w:r w:rsidR="004D64A4" w:rsidRPr="004D64A4">
        <w:rPr>
          <w:lang w:val="es-ES"/>
        </w:rPr>
        <w:t xml:space="preserve"> </w:t>
      </w:r>
      <w:r w:rsidR="004D64A4" w:rsidRPr="004D64A4">
        <w:rPr>
          <w:lang w:val="es-ES"/>
        </w:rPr>
        <w:t>Time Series Forecasting</w:t>
      </w:r>
      <w:r w:rsidR="004D64A4">
        <w:t xml:space="preserve">, </w:t>
      </w:r>
      <w:r w:rsidR="004D64A4" w:rsidRPr="00851FCB">
        <w:rPr>
          <w:lang w:val="es-ES"/>
        </w:rPr>
        <w:t>ARIMA</w:t>
      </w:r>
      <w:r w:rsidRPr="00851FCB">
        <w:rPr>
          <w:lang w:val="es-ES"/>
        </w:rPr>
        <w:t xml:space="preserve">, walk-forward, </w:t>
      </w:r>
      <w:r w:rsidR="004D64A4">
        <w:rPr>
          <w:lang w:val="es-ES"/>
        </w:rPr>
        <w:t>B</w:t>
      </w:r>
      <w:r w:rsidRPr="00851FCB">
        <w:rPr>
          <w:lang w:val="es-ES"/>
        </w:rPr>
        <w:t>acktesting</w:t>
      </w:r>
    </w:p>
    <w:p w14:paraId="760426AB" w14:textId="77777777" w:rsidR="00496D25" w:rsidRPr="006671FA" w:rsidRDefault="00C62B66" w:rsidP="006D3EA5">
      <w:pPr>
        <w:pStyle w:val="PageHeading"/>
        <w:rPr>
          <w:rFonts w:asciiTheme="minorHAnsi" w:hAnsiTheme="minorHAnsi" w:cstheme="minorHAnsi"/>
        </w:rPr>
      </w:pPr>
      <w:bookmarkStart w:id="4" w:name="_Toc229572259"/>
      <w:r w:rsidRPr="006671FA">
        <w:rPr>
          <w:rFonts w:asciiTheme="minorHAnsi" w:hAnsiTheme="minorHAnsi" w:cstheme="minorHAnsi"/>
        </w:rPr>
        <w:lastRenderedPageBreak/>
        <w:t>Abstract</w:t>
      </w:r>
      <w:bookmarkEnd w:id="4"/>
    </w:p>
    <w:p w14:paraId="46EB3E7D" w14:textId="26C9382C" w:rsidR="004D64A4" w:rsidRPr="004D64A4" w:rsidRDefault="004D64A4" w:rsidP="004D64A4">
      <w:pPr>
        <w:ind w:firstLine="0"/>
        <w:jc w:val="center"/>
        <w:rPr>
          <w:rFonts w:cstheme="minorHAnsi"/>
          <w:lang w:val="es-ES"/>
        </w:rPr>
      </w:pPr>
      <w:r w:rsidRPr="004D64A4">
        <w:rPr>
          <w:rFonts w:cstheme="minorHAnsi"/>
          <w:b/>
          <w:bCs/>
        </w:rPr>
        <w:t>Dynamic portfolio optimization based on return forecasting using Time Series and Machine Learning</w:t>
      </w:r>
    </w:p>
    <w:p w14:paraId="2AEC58C4" w14:textId="60107809" w:rsidR="004D64A4" w:rsidRPr="004D64A4" w:rsidRDefault="0075244A" w:rsidP="004D64A4">
      <w:pPr>
        <w:ind w:firstLine="0"/>
        <w:rPr>
          <w:rFonts w:cstheme="minorHAnsi"/>
          <w:lang w:val="es-ES" w:eastAsia="es-ES"/>
        </w:rPr>
      </w:pPr>
      <w:r w:rsidRPr="0075244A">
        <w:rPr>
          <w:rFonts w:cstheme="minorHAnsi"/>
          <w:lang w:eastAsia="es-ES"/>
        </w:rPr>
        <w:t xml:space="preserve">This thesis </w:t>
      </w:r>
      <w:r w:rsidR="004D64A4" w:rsidRPr="004D64A4">
        <w:rPr>
          <w:rFonts w:cstheme="minorHAnsi"/>
          <w:lang w:val="es-ES" w:eastAsia="es-ES"/>
        </w:rPr>
        <w:t xml:space="preserve">studies the use of predictive models for the construction of investment portfolios made up of ETFs (Exchange Traded Funds). </w:t>
      </w:r>
      <w:r w:rsidRPr="0075244A">
        <w:rPr>
          <w:rFonts w:cstheme="minorHAnsi"/>
          <w:lang w:eastAsia="es-ES"/>
        </w:rPr>
        <w:t>The objective is to evaluate whether return forecasts for these ETFs can improve portfolio construction compared with simpler approaches, such as the historical mean or the last observed return</w:t>
      </w:r>
      <w:r w:rsidR="004D64A4" w:rsidRPr="004D64A4">
        <w:rPr>
          <w:rFonts w:cstheme="minorHAnsi"/>
          <w:lang w:val="es-ES" w:eastAsia="es-ES"/>
        </w:rPr>
        <w:t>.</w:t>
      </w:r>
    </w:p>
    <w:p w14:paraId="48161E03" w14:textId="4334CCB7" w:rsidR="004D64A4" w:rsidRPr="004D64A4" w:rsidRDefault="004D64A4" w:rsidP="004D64A4">
      <w:pPr>
        <w:ind w:firstLine="0"/>
        <w:rPr>
          <w:rFonts w:cstheme="minorHAnsi"/>
          <w:lang w:val="es-ES" w:eastAsia="es-ES"/>
        </w:rPr>
      </w:pPr>
      <w:r w:rsidRPr="004D64A4">
        <w:rPr>
          <w:rFonts w:cstheme="minorHAnsi"/>
          <w:lang w:val="es-ES" w:eastAsia="es-ES"/>
        </w:rPr>
        <w:t xml:space="preserve">The </w:t>
      </w:r>
      <w:r w:rsidR="0075244A">
        <w:rPr>
          <w:rFonts w:cstheme="minorHAnsi"/>
          <w:lang w:val="es-ES" w:eastAsia="es-ES"/>
        </w:rPr>
        <w:t>analysis</w:t>
      </w:r>
      <w:r w:rsidRPr="004D64A4">
        <w:rPr>
          <w:rFonts w:cstheme="minorHAnsi"/>
          <w:lang w:val="es-ES" w:eastAsia="es-ES"/>
        </w:rPr>
        <w:t xml:space="preserve"> starts from historical ETF data, from which daily and weekly returns are calculated. This double frequency makes it possible to compare a more immediate view of the market with a more stable one, less affected by daily noise. Time series models and machine learning models are applied to both frequencies. In the first case, ARIMA models are applied to each ETF individually. In the second, models such as Ridge, Random Forest and Gradient Boosting are tested, incorporating information from several assets, volume and temporal variables.</w:t>
      </w:r>
    </w:p>
    <w:p w14:paraId="138A2585" w14:textId="06228FFB" w:rsidR="004D64A4" w:rsidRPr="004D64A4" w:rsidRDefault="004D64A4" w:rsidP="004D64A4">
      <w:pPr>
        <w:ind w:firstLine="0"/>
        <w:rPr>
          <w:rFonts w:cstheme="minorHAnsi"/>
          <w:lang w:val="es-ES" w:eastAsia="es-ES"/>
        </w:rPr>
      </w:pPr>
      <w:r w:rsidRPr="004D64A4">
        <w:rPr>
          <w:rFonts w:cstheme="minorHAnsi"/>
          <w:lang w:val="es-ES" w:eastAsia="es-ES"/>
        </w:rPr>
        <w:t>Once the models have been compared, the predictions from the best</w:t>
      </w:r>
      <w:r w:rsidR="0075244A">
        <w:rPr>
          <w:rFonts w:cstheme="minorHAnsi"/>
          <w:lang w:val="es-ES" w:eastAsia="es-ES"/>
        </w:rPr>
        <w:t xml:space="preserve"> </w:t>
      </w:r>
      <w:r w:rsidRPr="004D64A4">
        <w:rPr>
          <w:rFonts w:cstheme="minorHAnsi"/>
          <w:lang w:val="es-ES" w:eastAsia="es-ES"/>
        </w:rPr>
        <w:t>model are incorporated into a portfolio optimization process based on Markowitz, where they are contrasted with the traditional strategies described above. In this way, the work evaluates whether the predictions are useful not only from a statistical point of view, but also from an economic one.</w:t>
      </w:r>
    </w:p>
    <w:p w14:paraId="450C3087" w14:textId="35CE1D48" w:rsidR="00C62B66" w:rsidRPr="006671FA" w:rsidRDefault="00C62B66" w:rsidP="00C62B66">
      <w:pPr>
        <w:rPr>
          <w:rFonts w:cstheme="minorHAnsi"/>
          <w:lang w:val="en-US"/>
        </w:rPr>
      </w:pPr>
    </w:p>
    <w:p w14:paraId="7FAE71EC" w14:textId="77777777" w:rsidR="00496D25" w:rsidRPr="006671FA" w:rsidRDefault="00496D25" w:rsidP="0075244A">
      <w:pPr>
        <w:ind w:firstLine="0"/>
        <w:jc w:val="center"/>
        <w:rPr>
          <w:rStyle w:val="Fuerte"/>
          <w:rFonts w:cstheme="minorHAnsi"/>
          <w:lang w:val="en-US"/>
        </w:rPr>
      </w:pPr>
      <w:r w:rsidRPr="006671FA">
        <w:rPr>
          <w:rStyle w:val="Fuerte"/>
          <w:rFonts w:cstheme="minorHAnsi"/>
          <w:lang w:val="en-US"/>
        </w:rPr>
        <w:t>Keywords</w:t>
      </w:r>
    </w:p>
    <w:p w14:paraId="69C27B8A" w14:textId="77777777" w:rsidR="004D64A4" w:rsidRPr="00851FCB" w:rsidRDefault="004D64A4" w:rsidP="004D64A4">
      <w:pPr>
        <w:pStyle w:val="Textoindependiente"/>
        <w:ind w:firstLine="0"/>
        <w:jc w:val="left"/>
        <w:rPr>
          <w:lang w:val="es-ES"/>
        </w:rPr>
        <w:sectPr w:rsidR="004D64A4" w:rsidRPr="00851FCB" w:rsidSect="004D64A4">
          <w:type w:val="oddPage"/>
          <w:pgSz w:w="12240" w:h="15840"/>
          <w:pgMar w:top="1440" w:right="1440" w:bottom="1440" w:left="1440" w:header="720" w:footer="720" w:gutter="0"/>
          <w:pgNumType w:fmt="upperRoman"/>
          <w:cols w:space="720"/>
          <w:docGrid w:linePitch="360"/>
        </w:sectPr>
      </w:pPr>
      <w:r w:rsidRPr="00851FCB">
        <w:rPr>
          <w:lang w:val="es-ES"/>
        </w:rPr>
        <w:t>ETF</w:t>
      </w:r>
      <w:r>
        <w:rPr>
          <w:lang w:val="es-ES"/>
        </w:rPr>
        <w:t>s</w:t>
      </w:r>
      <w:r w:rsidRPr="00851FCB">
        <w:rPr>
          <w:lang w:val="es-ES"/>
        </w:rPr>
        <w:t xml:space="preserve">, </w:t>
      </w:r>
      <w:r>
        <w:rPr>
          <w:lang w:val="es-ES"/>
        </w:rPr>
        <w:t>Portfolio O</w:t>
      </w:r>
      <w:r w:rsidRPr="00851FCB">
        <w:rPr>
          <w:lang w:val="es-ES"/>
        </w:rPr>
        <w:t>ptimization, Markowitz</w:t>
      </w:r>
      <w:r>
        <w:rPr>
          <w:lang w:val="es-ES"/>
        </w:rPr>
        <w:t xml:space="preserve"> </w:t>
      </w:r>
      <w:r w:rsidRPr="004D64A4">
        <w:t>Model</w:t>
      </w:r>
      <w:r w:rsidRPr="00851FCB">
        <w:rPr>
          <w:lang w:val="es-ES"/>
        </w:rPr>
        <w:t xml:space="preserve">, </w:t>
      </w:r>
      <w:r>
        <w:rPr>
          <w:lang w:val="es-ES"/>
        </w:rPr>
        <w:t>M</w:t>
      </w:r>
      <w:r w:rsidRPr="00851FCB">
        <w:rPr>
          <w:lang w:val="es-ES"/>
        </w:rPr>
        <w:t xml:space="preserve">achine </w:t>
      </w:r>
      <w:r>
        <w:rPr>
          <w:lang w:val="es-ES"/>
        </w:rPr>
        <w:t>L</w:t>
      </w:r>
      <w:r w:rsidRPr="00851FCB">
        <w:rPr>
          <w:lang w:val="es-ES"/>
        </w:rPr>
        <w:t>earnin</w:t>
      </w:r>
      <w:r>
        <w:rPr>
          <w:lang w:val="es-ES"/>
        </w:rPr>
        <w:t>g,</w:t>
      </w:r>
      <w:r w:rsidRPr="004D64A4">
        <w:rPr>
          <w:lang w:val="es-ES"/>
        </w:rPr>
        <w:t xml:space="preserve"> Time Series Forecasting</w:t>
      </w:r>
      <w:r>
        <w:t xml:space="preserve">, </w:t>
      </w:r>
      <w:r w:rsidRPr="00851FCB">
        <w:rPr>
          <w:lang w:val="es-ES"/>
        </w:rPr>
        <w:t xml:space="preserve">ARIMA, walk-forward, </w:t>
      </w:r>
      <w:r>
        <w:rPr>
          <w:lang w:val="es-ES"/>
        </w:rPr>
        <w:t>B</w:t>
      </w:r>
      <w:r w:rsidRPr="00851FCB">
        <w:rPr>
          <w:lang w:val="es-ES"/>
        </w:rPr>
        <w:t>acktesting</w:t>
      </w:r>
    </w:p>
    <w:p w14:paraId="00FD160F" w14:textId="77777777" w:rsidR="00496D25" w:rsidRPr="006671FA" w:rsidRDefault="00496D25" w:rsidP="00F43FCD">
      <w:pPr>
        <w:rPr>
          <w:rFonts w:cstheme="minorHAnsi"/>
          <w:lang w:val="en-US"/>
        </w:rPr>
      </w:pPr>
    </w:p>
    <w:p w14:paraId="08440097" w14:textId="77777777" w:rsidR="00496D25" w:rsidRPr="006671FA" w:rsidRDefault="00496D25" w:rsidP="00F43FCD">
      <w:pPr>
        <w:rPr>
          <w:rFonts w:cstheme="minorHAnsi"/>
          <w:lang w:val="en-US"/>
        </w:rPr>
      </w:pPr>
    </w:p>
    <w:p w14:paraId="33D74ABE" w14:textId="77777777" w:rsidR="00A36EC1" w:rsidRPr="006671FA" w:rsidRDefault="00A36EC1" w:rsidP="00F43FCD">
      <w:pPr>
        <w:rPr>
          <w:rFonts w:cstheme="minorHAnsi"/>
          <w:lang w:val="en-US"/>
        </w:rPr>
        <w:sectPr w:rsidR="00A36EC1" w:rsidRPr="006671FA" w:rsidSect="00310A7E">
          <w:type w:val="oddPage"/>
          <w:pgSz w:w="12240" w:h="15840"/>
          <w:pgMar w:top="1440" w:right="1440" w:bottom="1440" w:left="1440" w:header="720" w:footer="720" w:gutter="0"/>
          <w:pgNumType w:fmt="upperRoman"/>
          <w:cols w:space="720"/>
          <w:docGrid w:linePitch="360"/>
        </w:sectPr>
      </w:pPr>
    </w:p>
    <w:p w14:paraId="655B2E9B" w14:textId="77777777" w:rsidR="008E36E4" w:rsidRPr="006671FA" w:rsidRDefault="009C490E">
      <w:pPr>
        <w:pStyle w:val="PageHeading"/>
        <w:rPr>
          <w:rFonts w:asciiTheme="minorHAnsi" w:hAnsiTheme="minorHAnsi" w:cstheme="minorHAnsi"/>
          <w:lang w:val="es-ES_tradnl"/>
        </w:rPr>
      </w:pPr>
      <w:bookmarkStart w:id="5" w:name="Indice"/>
      <w:bookmarkStart w:id="6" w:name="_Toc229572260"/>
      <w:r w:rsidRPr="006671FA">
        <w:rPr>
          <w:rFonts w:asciiTheme="minorHAnsi" w:hAnsiTheme="minorHAnsi" w:cstheme="minorHAnsi"/>
          <w:lang w:val="es-ES_tradnl"/>
        </w:rPr>
        <w:lastRenderedPageBreak/>
        <w:t>Índice</w:t>
      </w:r>
      <w:r w:rsidR="00EF05DF" w:rsidRPr="006671FA">
        <w:rPr>
          <w:rFonts w:asciiTheme="minorHAnsi" w:hAnsiTheme="minorHAnsi" w:cstheme="minorHAnsi"/>
          <w:lang w:val="es-ES_tradnl"/>
        </w:rPr>
        <w:t xml:space="preserve"> de contenidos</w:t>
      </w:r>
      <w:bookmarkEnd w:id="5"/>
      <w:bookmarkEnd w:id="6"/>
    </w:p>
    <w:p w14:paraId="7617CEC1" w14:textId="77777777" w:rsidR="008360E1" w:rsidRDefault="00913EDA">
      <w:pPr>
        <w:pStyle w:val="TDC1"/>
        <w:rPr>
          <w:rFonts w:eastAsiaTheme="minorEastAsia" w:cstheme="minorBidi"/>
          <w:noProof/>
          <w:kern w:val="2"/>
          <w:sz w:val="24"/>
          <w:lang w:val="es-ES" w:eastAsia="es-ES"/>
          <w14:ligatures w14:val="standardContextual"/>
        </w:rPr>
      </w:pPr>
      <w:r w:rsidRPr="006671FA">
        <w:rPr>
          <w:rFonts w:cstheme="minorHAnsi"/>
        </w:rPr>
        <w:fldChar w:fldCharType="begin"/>
      </w:r>
      <w:r w:rsidRPr="006671FA">
        <w:rPr>
          <w:rFonts w:cstheme="minorHAnsi"/>
        </w:rPr>
        <w:instrText xml:space="preserve"> TOC \o "1-3" \t "Título 5;4" </w:instrText>
      </w:r>
      <w:r w:rsidRPr="006671FA">
        <w:rPr>
          <w:rFonts w:cstheme="minorHAnsi"/>
        </w:rPr>
        <w:fldChar w:fldCharType="separate"/>
      </w:r>
      <w:r w:rsidR="008360E1" w:rsidRPr="006D0BE1">
        <w:rPr>
          <w:rFonts w:cstheme="minorHAnsi"/>
          <w:noProof/>
        </w:rPr>
        <w:t>Dedicatoria</w:t>
      </w:r>
      <w:r w:rsidR="008360E1">
        <w:rPr>
          <w:noProof/>
        </w:rPr>
        <w:tab/>
      </w:r>
      <w:r w:rsidR="008360E1">
        <w:rPr>
          <w:noProof/>
        </w:rPr>
        <w:fldChar w:fldCharType="begin"/>
      </w:r>
      <w:r w:rsidR="008360E1">
        <w:rPr>
          <w:noProof/>
        </w:rPr>
        <w:instrText xml:space="preserve"> PAGEREF _Toc229572256 \h </w:instrText>
      </w:r>
      <w:r w:rsidR="008360E1">
        <w:rPr>
          <w:noProof/>
        </w:rPr>
      </w:r>
      <w:r w:rsidR="008360E1">
        <w:rPr>
          <w:noProof/>
        </w:rPr>
        <w:fldChar w:fldCharType="separate"/>
      </w:r>
      <w:r w:rsidR="008360E1">
        <w:rPr>
          <w:noProof/>
        </w:rPr>
        <w:t>III</w:t>
      </w:r>
      <w:r w:rsidR="008360E1">
        <w:rPr>
          <w:noProof/>
        </w:rPr>
        <w:fldChar w:fldCharType="end"/>
      </w:r>
    </w:p>
    <w:p w14:paraId="0A63AD90"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Agradecimientos</w:t>
      </w:r>
      <w:r>
        <w:rPr>
          <w:noProof/>
        </w:rPr>
        <w:tab/>
      </w:r>
      <w:r>
        <w:rPr>
          <w:noProof/>
        </w:rPr>
        <w:fldChar w:fldCharType="begin"/>
      </w:r>
      <w:r>
        <w:rPr>
          <w:noProof/>
        </w:rPr>
        <w:instrText xml:space="preserve"> PAGEREF _Toc229572257 \h </w:instrText>
      </w:r>
      <w:r>
        <w:rPr>
          <w:noProof/>
        </w:rPr>
      </w:r>
      <w:r>
        <w:rPr>
          <w:noProof/>
        </w:rPr>
        <w:fldChar w:fldCharType="separate"/>
      </w:r>
      <w:r>
        <w:rPr>
          <w:noProof/>
        </w:rPr>
        <w:t>V</w:t>
      </w:r>
      <w:r>
        <w:rPr>
          <w:noProof/>
        </w:rPr>
        <w:fldChar w:fldCharType="end"/>
      </w:r>
    </w:p>
    <w:p w14:paraId="2D063312"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Resumen</w:t>
      </w:r>
      <w:r>
        <w:rPr>
          <w:noProof/>
        </w:rPr>
        <w:tab/>
      </w:r>
      <w:r>
        <w:rPr>
          <w:noProof/>
        </w:rPr>
        <w:fldChar w:fldCharType="begin"/>
      </w:r>
      <w:r>
        <w:rPr>
          <w:noProof/>
        </w:rPr>
        <w:instrText xml:space="preserve"> PAGEREF _Toc229572258 \h </w:instrText>
      </w:r>
      <w:r>
        <w:rPr>
          <w:noProof/>
        </w:rPr>
      </w:r>
      <w:r>
        <w:rPr>
          <w:noProof/>
        </w:rPr>
        <w:fldChar w:fldCharType="separate"/>
      </w:r>
      <w:r>
        <w:rPr>
          <w:noProof/>
        </w:rPr>
        <w:t>VII</w:t>
      </w:r>
      <w:r>
        <w:rPr>
          <w:noProof/>
        </w:rPr>
        <w:fldChar w:fldCharType="end"/>
      </w:r>
    </w:p>
    <w:p w14:paraId="61E2177F"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Abstract</w:t>
      </w:r>
      <w:r>
        <w:rPr>
          <w:noProof/>
        </w:rPr>
        <w:tab/>
      </w:r>
      <w:r>
        <w:rPr>
          <w:noProof/>
        </w:rPr>
        <w:fldChar w:fldCharType="begin"/>
      </w:r>
      <w:r>
        <w:rPr>
          <w:noProof/>
        </w:rPr>
        <w:instrText xml:space="preserve"> PAGEREF _Toc229572259 \h </w:instrText>
      </w:r>
      <w:r>
        <w:rPr>
          <w:noProof/>
        </w:rPr>
      </w:r>
      <w:r>
        <w:rPr>
          <w:noProof/>
        </w:rPr>
        <w:fldChar w:fldCharType="separate"/>
      </w:r>
      <w:r>
        <w:rPr>
          <w:noProof/>
        </w:rPr>
        <w:t>IX</w:t>
      </w:r>
      <w:r>
        <w:rPr>
          <w:noProof/>
        </w:rPr>
        <w:fldChar w:fldCharType="end"/>
      </w:r>
    </w:p>
    <w:p w14:paraId="39AC5ACC"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Índice de contenidos</w:t>
      </w:r>
      <w:r>
        <w:rPr>
          <w:noProof/>
        </w:rPr>
        <w:tab/>
      </w:r>
      <w:r>
        <w:rPr>
          <w:noProof/>
        </w:rPr>
        <w:fldChar w:fldCharType="begin"/>
      </w:r>
      <w:r>
        <w:rPr>
          <w:noProof/>
        </w:rPr>
        <w:instrText xml:space="preserve"> PAGEREF _Toc229572260 \h </w:instrText>
      </w:r>
      <w:r>
        <w:rPr>
          <w:noProof/>
        </w:rPr>
      </w:r>
      <w:r>
        <w:rPr>
          <w:noProof/>
        </w:rPr>
        <w:fldChar w:fldCharType="separate"/>
      </w:r>
      <w:r>
        <w:rPr>
          <w:noProof/>
        </w:rPr>
        <w:t>X</w:t>
      </w:r>
      <w:r>
        <w:rPr>
          <w:noProof/>
        </w:rPr>
        <w:fldChar w:fldCharType="end"/>
      </w:r>
    </w:p>
    <w:p w14:paraId="24242106"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Índice de figuras</w:t>
      </w:r>
      <w:r>
        <w:rPr>
          <w:noProof/>
        </w:rPr>
        <w:tab/>
      </w:r>
      <w:r>
        <w:rPr>
          <w:noProof/>
        </w:rPr>
        <w:fldChar w:fldCharType="begin"/>
      </w:r>
      <w:r>
        <w:rPr>
          <w:noProof/>
        </w:rPr>
        <w:instrText xml:space="preserve"> PAGEREF _Toc229572261 \h </w:instrText>
      </w:r>
      <w:r>
        <w:rPr>
          <w:noProof/>
        </w:rPr>
      </w:r>
      <w:r>
        <w:rPr>
          <w:noProof/>
        </w:rPr>
        <w:fldChar w:fldCharType="separate"/>
      </w:r>
      <w:r>
        <w:rPr>
          <w:noProof/>
        </w:rPr>
        <w:t>XIII</w:t>
      </w:r>
      <w:r>
        <w:rPr>
          <w:noProof/>
        </w:rPr>
        <w:fldChar w:fldCharType="end"/>
      </w:r>
    </w:p>
    <w:p w14:paraId="19139FA6"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Índice de tablas</w:t>
      </w:r>
      <w:r>
        <w:rPr>
          <w:noProof/>
        </w:rPr>
        <w:tab/>
      </w:r>
      <w:r>
        <w:rPr>
          <w:noProof/>
        </w:rPr>
        <w:fldChar w:fldCharType="begin"/>
      </w:r>
      <w:r>
        <w:rPr>
          <w:noProof/>
        </w:rPr>
        <w:instrText xml:space="preserve"> PAGEREF _Toc229572262 \h </w:instrText>
      </w:r>
      <w:r>
        <w:rPr>
          <w:noProof/>
        </w:rPr>
      </w:r>
      <w:r>
        <w:rPr>
          <w:noProof/>
        </w:rPr>
        <w:fldChar w:fldCharType="separate"/>
      </w:r>
      <w:r>
        <w:rPr>
          <w:noProof/>
        </w:rPr>
        <w:t>XV</w:t>
      </w:r>
      <w:r>
        <w:rPr>
          <w:noProof/>
        </w:rPr>
        <w:fldChar w:fldCharType="end"/>
      </w:r>
    </w:p>
    <w:p w14:paraId="20E06D30"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Capítulo 1 - INTRODUCCIÓN</w:t>
      </w:r>
      <w:r>
        <w:rPr>
          <w:noProof/>
        </w:rPr>
        <w:tab/>
      </w:r>
      <w:r>
        <w:rPr>
          <w:noProof/>
        </w:rPr>
        <w:fldChar w:fldCharType="begin"/>
      </w:r>
      <w:r>
        <w:rPr>
          <w:noProof/>
        </w:rPr>
        <w:instrText xml:space="preserve"> PAGEREF _Toc229572263 \h </w:instrText>
      </w:r>
      <w:r>
        <w:rPr>
          <w:noProof/>
        </w:rPr>
      </w:r>
      <w:r>
        <w:rPr>
          <w:noProof/>
        </w:rPr>
        <w:fldChar w:fldCharType="separate"/>
      </w:r>
      <w:r>
        <w:rPr>
          <w:noProof/>
        </w:rPr>
        <w:t>1</w:t>
      </w:r>
      <w:r>
        <w:rPr>
          <w:noProof/>
        </w:rPr>
        <w:fldChar w:fldCharType="end"/>
      </w:r>
    </w:p>
    <w:p w14:paraId="5CC981A9"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1.1 Motivación</w:t>
      </w:r>
      <w:r>
        <w:rPr>
          <w:noProof/>
        </w:rPr>
        <w:tab/>
      </w:r>
      <w:r>
        <w:rPr>
          <w:noProof/>
        </w:rPr>
        <w:fldChar w:fldCharType="begin"/>
      </w:r>
      <w:r>
        <w:rPr>
          <w:noProof/>
        </w:rPr>
        <w:instrText xml:space="preserve"> PAGEREF _Toc229572264 \h </w:instrText>
      </w:r>
      <w:r>
        <w:rPr>
          <w:noProof/>
        </w:rPr>
      </w:r>
      <w:r>
        <w:rPr>
          <w:noProof/>
        </w:rPr>
        <w:fldChar w:fldCharType="separate"/>
      </w:r>
      <w:r>
        <w:rPr>
          <w:noProof/>
        </w:rPr>
        <w:t>1</w:t>
      </w:r>
      <w:r>
        <w:rPr>
          <w:noProof/>
        </w:rPr>
        <w:fldChar w:fldCharType="end"/>
      </w:r>
    </w:p>
    <w:p w14:paraId="39800537"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1.2 Objetivos</w:t>
      </w:r>
      <w:r>
        <w:rPr>
          <w:noProof/>
        </w:rPr>
        <w:tab/>
      </w:r>
      <w:r>
        <w:rPr>
          <w:noProof/>
        </w:rPr>
        <w:fldChar w:fldCharType="begin"/>
      </w:r>
      <w:r>
        <w:rPr>
          <w:noProof/>
        </w:rPr>
        <w:instrText xml:space="preserve"> PAGEREF _Toc229572265 \h </w:instrText>
      </w:r>
      <w:r>
        <w:rPr>
          <w:noProof/>
        </w:rPr>
      </w:r>
      <w:r>
        <w:rPr>
          <w:noProof/>
        </w:rPr>
        <w:fldChar w:fldCharType="separate"/>
      </w:r>
      <w:r>
        <w:rPr>
          <w:noProof/>
        </w:rPr>
        <w:t>1</w:t>
      </w:r>
      <w:r>
        <w:rPr>
          <w:noProof/>
        </w:rPr>
        <w:fldChar w:fldCharType="end"/>
      </w:r>
    </w:p>
    <w:p w14:paraId="7F54DA21"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1.3 Plan de trabajo</w:t>
      </w:r>
      <w:r>
        <w:rPr>
          <w:noProof/>
        </w:rPr>
        <w:tab/>
      </w:r>
      <w:r>
        <w:rPr>
          <w:noProof/>
        </w:rPr>
        <w:fldChar w:fldCharType="begin"/>
      </w:r>
      <w:r>
        <w:rPr>
          <w:noProof/>
        </w:rPr>
        <w:instrText xml:space="preserve"> PAGEREF _Toc229572266 \h </w:instrText>
      </w:r>
      <w:r>
        <w:rPr>
          <w:noProof/>
        </w:rPr>
      </w:r>
      <w:r>
        <w:rPr>
          <w:noProof/>
        </w:rPr>
        <w:fldChar w:fldCharType="separate"/>
      </w:r>
      <w:r>
        <w:rPr>
          <w:noProof/>
        </w:rPr>
        <w:t>1</w:t>
      </w:r>
      <w:r>
        <w:rPr>
          <w:noProof/>
        </w:rPr>
        <w:fldChar w:fldCharType="end"/>
      </w:r>
    </w:p>
    <w:p w14:paraId="75412B4E"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2 - ESTADO DE LA CUESTIÓN</w:t>
      </w:r>
      <w:r>
        <w:rPr>
          <w:noProof/>
        </w:rPr>
        <w:tab/>
      </w:r>
      <w:r>
        <w:rPr>
          <w:noProof/>
        </w:rPr>
        <w:fldChar w:fldCharType="begin"/>
      </w:r>
      <w:r>
        <w:rPr>
          <w:noProof/>
        </w:rPr>
        <w:instrText xml:space="preserve"> PAGEREF _Toc229572267 \h </w:instrText>
      </w:r>
      <w:r>
        <w:rPr>
          <w:noProof/>
        </w:rPr>
      </w:r>
      <w:r>
        <w:rPr>
          <w:noProof/>
        </w:rPr>
        <w:fldChar w:fldCharType="separate"/>
      </w:r>
      <w:r>
        <w:rPr>
          <w:noProof/>
        </w:rPr>
        <w:t>3</w:t>
      </w:r>
      <w:r>
        <w:rPr>
          <w:noProof/>
        </w:rPr>
        <w:fldChar w:fldCharType="end"/>
      </w:r>
    </w:p>
    <w:p w14:paraId="60275156"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3 - DATOS</w:t>
      </w:r>
      <w:r>
        <w:rPr>
          <w:noProof/>
        </w:rPr>
        <w:tab/>
      </w:r>
      <w:r>
        <w:rPr>
          <w:noProof/>
        </w:rPr>
        <w:fldChar w:fldCharType="begin"/>
      </w:r>
      <w:r>
        <w:rPr>
          <w:noProof/>
        </w:rPr>
        <w:instrText xml:space="preserve"> PAGEREF _Toc229572268 \h </w:instrText>
      </w:r>
      <w:r>
        <w:rPr>
          <w:noProof/>
        </w:rPr>
      </w:r>
      <w:r>
        <w:rPr>
          <w:noProof/>
        </w:rPr>
        <w:fldChar w:fldCharType="separate"/>
      </w:r>
      <w:r>
        <w:rPr>
          <w:noProof/>
        </w:rPr>
        <w:t>5</w:t>
      </w:r>
      <w:r>
        <w:rPr>
          <w:noProof/>
        </w:rPr>
        <w:fldChar w:fldCharType="end"/>
      </w:r>
    </w:p>
    <w:p w14:paraId="5F682FC6"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3.1 Descripción de los datos</w:t>
      </w:r>
      <w:r>
        <w:rPr>
          <w:noProof/>
        </w:rPr>
        <w:tab/>
      </w:r>
      <w:r>
        <w:rPr>
          <w:noProof/>
        </w:rPr>
        <w:fldChar w:fldCharType="begin"/>
      </w:r>
      <w:r>
        <w:rPr>
          <w:noProof/>
        </w:rPr>
        <w:instrText xml:space="preserve"> PAGEREF _Toc229572269 \h </w:instrText>
      </w:r>
      <w:r>
        <w:rPr>
          <w:noProof/>
        </w:rPr>
      </w:r>
      <w:r>
        <w:rPr>
          <w:noProof/>
        </w:rPr>
        <w:fldChar w:fldCharType="separate"/>
      </w:r>
      <w:r>
        <w:rPr>
          <w:noProof/>
        </w:rPr>
        <w:t>5</w:t>
      </w:r>
      <w:r>
        <w:rPr>
          <w:noProof/>
        </w:rPr>
        <w:fldChar w:fldCharType="end"/>
      </w:r>
    </w:p>
    <w:p w14:paraId="3AFDAF79"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3.1.1 Mercado estadounidense (Core US)</w:t>
      </w:r>
      <w:r>
        <w:rPr>
          <w:noProof/>
        </w:rPr>
        <w:tab/>
      </w:r>
      <w:r>
        <w:rPr>
          <w:noProof/>
        </w:rPr>
        <w:fldChar w:fldCharType="begin"/>
      </w:r>
      <w:r>
        <w:rPr>
          <w:noProof/>
        </w:rPr>
        <w:instrText xml:space="preserve"> PAGEREF _Toc229572270 \h </w:instrText>
      </w:r>
      <w:r>
        <w:rPr>
          <w:noProof/>
        </w:rPr>
      </w:r>
      <w:r>
        <w:rPr>
          <w:noProof/>
        </w:rPr>
        <w:fldChar w:fldCharType="separate"/>
      </w:r>
      <w:r>
        <w:rPr>
          <w:noProof/>
        </w:rPr>
        <w:t>5</w:t>
      </w:r>
      <w:r>
        <w:rPr>
          <w:noProof/>
        </w:rPr>
        <w:fldChar w:fldCharType="end"/>
      </w:r>
    </w:p>
    <w:p w14:paraId="3141880E"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3.1.2 Factores y estilos</w:t>
      </w:r>
      <w:r>
        <w:rPr>
          <w:noProof/>
        </w:rPr>
        <w:tab/>
      </w:r>
      <w:r>
        <w:rPr>
          <w:noProof/>
        </w:rPr>
        <w:fldChar w:fldCharType="begin"/>
      </w:r>
      <w:r>
        <w:rPr>
          <w:noProof/>
        </w:rPr>
        <w:instrText xml:space="preserve"> PAGEREF _Toc229572271 \h </w:instrText>
      </w:r>
      <w:r>
        <w:rPr>
          <w:noProof/>
        </w:rPr>
      </w:r>
      <w:r>
        <w:rPr>
          <w:noProof/>
        </w:rPr>
        <w:fldChar w:fldCharType="separate"/>
      </w:r>
      <w:r>
        <w:rPr>
          <w:noProof/>
        </w:rPr>
        <w:t>6</w:t>
      </w:r>
      <w:r>
        <w:rPr>
          <w:noProof/>
        </w:rPr>
        <w:fldChar w:fldCharType="end"/>
      </w:r>
    </w:p>
    <w:p w14:paraId="3A0D456C"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3.1.3 Sectores económicos</w:t>
      </w:r>
      <w:r>
        <w:rPr>
          <w:noProof/>
        </w:rPr>
        <w:tab/>
      </w:r>
      <w:r>
        <w:rPr>
          <w:noProof/>
        </w:rPr>
        <w:fldChar w:fldCharType="begin"/>
      </w:r>
      <w:r>
        <w:rPr>
          <w:noProof/>
        </w:rPr>
        <w:instrText xml:space="preserve"> PAGEREF _Toc229572272 \h </w:instrText>
      </w:r>
      <w:r>
        <w:rPr>
          <w:noProof/>
        </w:rPr>
      </w:r>
      <w:r>
        <w:rPr>
          <w:noProof/>
        </w:rPr>
        <w:fldChar w:fldCharType="separate"/>
      </w:r>
      <w:r>
        <w:rPr>
          <w:noProof/>
        </w:rPr>
        <w:t>6</w:t>
      </w:r>
      <w:r>
        <w:rPr>
          <w:noProof/>
        </w:rPr>
        <w:fldChar w:fldCharType="end"/>
      </w:r>
    </w:p>
    <w:p w14:paraId="2A2D0CE3"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3.1.4 Mercados internacionales</w:t>
      </w:r>
      <w:r>
        <w:rPr>
          <w:noProof/>
        </w:rPr>
        <w:tab/>
      </w:r>
      <w:r>
        <w:rPr>
          <w:noProof/>
        </w:rPr>
        <w:fldChar w:fldCharType="begin"/>
      </w:r>
      <w:r>
        <w:rPr>
          <w:noProof/>
        </w:rPr>
        <w:instrText xml:space="preserve"> PAGEREF _Toc229572273 \h </w:instrText>
      </w:r>
      <w:r>
        <w:rPr>
          <w:noProof/>
        </w:rPr>
      </w:r>
      <w:r>
        <w:rPr>
          <w:noProof/>
        </w:rPr>
        <w:fldChar w:fldCharType="separate"/>
      </w:r>
      <w:r>
        <w:rPr>
          <w:noProof/>
        </w:rPr>
        <w:t>7</w:t>
      </w:r>
      <w:r>
        <w:rPr>
          <w:noProof/>
        </w:rPr>
        <w:fldChar w:fldCharType="end"/>
      </w:r>
    </w:p>
    <w:p w14:paraId="1D543357"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3.1.5 Renta fija (Bonos)</w:t>
      </w:r>
      <w:r>
        <w:rPr>
          <w:noProof/>
        </w:rPr>
        <w:tab/>
      </w:r>
      <w:r>
        <w:rPr>
          <w:noProof/>
        </w:rPr>
        <w:fldChar w:fldCharType="begin"/>
      </w:r>
      <w:r>
        <w:rPr>
          <w:noProof/>
        </w:rPr>
        <w:instrText xml:space="preserve"> PAGEREF _Toc229572274 \h </w:instrText>
      </w:r>
      <w:r>
        <w:rPr>
          <w:noProof/>
        </w:rPr>
      </w:r>
      <w:r>
        <w:rPr>
          <w:noProof/>
        </w:rPr>
        <w:fldChar w:fldCharType="separate"/>
      </w:r>
      <w:r>
        <w:rPr>
          <w:noProof/>
        </w:rPr>
        <w:t>8</w:t>
      </w:r>
      <w:r>
        <w:rPr>
          <w:noProof/>
        </w:rPr>
        <w:fldChar w:fldCharType="end"/>
      </w:r>
    </w:p>
    <w:p w14:paraId="42424009"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lang w:val="es-ES" w:eastAsia="es-ES"/>
        </w:rPr>
        <w:t>3.1.6 Materias primas y activos reales</w:t>
      </w:r>
      <w:r>
        <w:rPr>
          <w:noProof/>
        </w:rPr>
        <w:tab/>
      </w:r>
      <w:r>
        <w:rPr>
          <w:noProof/>
        </w:rPr>
        <w:fldChar w:fldCharType="begin"/>
      </w:r>
      <w:r>
        <w:rPr>
          <w:noProof/>
        </w:rPr>
        <w:instrText xml:space="preserve"> PAGEREF _Toc229572275 \h </w:instrText>
      </w:r>
      <w:r>
        <w:rPr>
          <w:noProof/>
        </w:rPr>
      </w:r>
      <w:r>
        <w:rPr>
          <w:noProof/>
        </w:rPr>
        <w:fldChar w:fldCharType="separate"/>
      </w:r>
      <w:r>
        <w:rPr>
          <w:noProof/>
        </w:rPr>
        <w:t>8</w:t>
      </w:r>
      <w:r>
        <w:rPr>
          <w:noProof/>
        </w:rPr>
        <w:fldChar w:fldCharType="end"/>
      </w:r>
    </w:p>
    <w:p w14:paraId="029F724A"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3.2 Construcción de variables</w:t>
      </w:r>
      <w:r>
        <w:rPr>
          <w:noProof/>
        </w:rPr>
        <w:tab/>
      </w:r>
      <w:r>
        <w:rPr>
          <w:noProof/>
        </w:rPr>
        <w:fldChar w:fldCharType="begin"/>
      </w:r>
      <w:r>
        <w:rPr>
          <w:noProof/>
        </w:rPr>
        <w:instrText xml:space="preserve"> PAGEREF _Toc229572276 \h </w:instrText>
      </w:r>
      <w:r>
        <w:rPr>
          <w:noProof/>
        </w:rPr>
      </w:r>
      <w:r>
        <w:rPr>
          <w:noProof/>
        </w:rPr>
        <w:fldChar w:fldCharType="separate"/>
      </w:r>
      <w:r>
        <w:rPr>
          <w:noProof/>
        </w:rPr>
        <w:t>9</w:t>
      </w:r>
      <w:r>
        <w:rPr>
          <w:noProof/>
        </w:rPr>
        <w:fldChar w:fldCharType="end"/>
      </w:r>
    </w:p>
    <w:p w14:paraId="39F02C44"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3.3 Análisis descriptivo inicial</w:t>
      </w:r>
      <w:r>
        <w:rPr>
          <w:noProof/>
        </w:rPr>
        <w:tab/>
      </w:r>
      <w:r>
        <w:rPr>
          <w:noProof/>
        </w:rPr>
        <w:fldChar w:fldCharType="begin"/>
      </w:r>
      <w:r>
        <w:rPr>
          <w:noProof/>
        </w:rPr>
        <w:instrText xml:space="preserve"> PAGEREF _Toc229572277 \h </w:instrText>
      </w:r>
      <w:r>
        <w:rPr>
          <w:noProof/>
        </w:rPr>
      </w:r>
      <w:r>
        <w:rPr>
          <w:noProof/>
        </w:rPr>
        <w:fldChar w:fldCharType="separate"/>
      </w:r>
      <w:r>
        <w:rPr>
          <w:noProof/>
        </w:rPr>
        <w:t>10</w:t>
      </w:r>
      <w:r>
        <w:rPr>
          <w:noProof/>
        </w:rPr>
        <w:fldChar w:fldCharType="end"/>
      </w:r>
    </w:p>
    <w:p w14:paraId="4DDF0D10"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3.3.1 Estadística descriptiva</w:t>
      </w:r>
      <w:r>
        <w:rPr>
          <w:noProof/>
        </w:rPr>
        <w:tab/>
      </w:r>
      <w:r>
        <w:rPr>
          <w:noProof/>
        </w:rPr>
        <w:fldChar w:fldCharType="begin"/>
      </w:r>
      <w:r>
        <w:rPr>
          <w:noProof/>
        </w:rPr>
        <w:instrText xml:space="preserve"> PAGEREF _Toc229572278 \h </w:instrText>
      </w:r>
      <w:r>
        <w:rPr>
          <w:noProof/>
        </w:rPr>
      </w:r>
      <w:r>
        <w:rPr>
          <w:noProof/>
        </w:rPr>
        <w:fldChar w:fldCharType="separate"/>
      </w:r>
      <w:r>
        <w:rPr>
          <w:noProof/>
        </w:rPr>
        <w:t>10</w:t>
      </w:r>
      <w:r>
        <w:rPr>
          <w:noProof/>
        </w:rPr>
        <w:fldChar w:fldCharType="end"/>
      </w:r>
    </w:p>
    <w:p w14:paraId="0104FFEC"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lastRenderedPageBreak/>
        <w:t>3.3.2 Histogramas</w:t>
      </w:r>
      <w:r>
        <w:rPr>
          <w:noProof/>
        </w:rPr>
        <w:tab/>
      </w:r>
      <w:r>
        <w:rPr>
          <w:noProof/>
        </w:rPr>
        <w:fldChar w:fldCharType="begin"/>
      </w:r>
      <w:r>
        <w:rPr>
          <w:noProof/>
        </w:rPr>
        <w:instrText xml:space="preserve"> PAGEREF _Toc229572279 \h </w:instrText>
      </w:r>
      <w:r>
        <w:rPr>
          <w:noProof/>
        </w:rPr>
      </w:r>
      <w:r>
        <w:rPr>
          <w:noProof/>
        </w:rPr>
        <w:fldChar w:fldCharType="separate"/>
      </w:r>
      <w:r>
        <w:rPr>
          <w:noProof/>
        </w:rPr>
        <w:t>11</w:t>
      </w:r>
      <w:r>
        <w:rPr>
          <w:noProof/>
        </w:rPr>
        <w:fldChar w:fldCharType="end"/>
      </w:r>
    </w:p>
    <w:p w14:paraId="37DAC3CC"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3.3.3 Boxplot</w:t>
      </w:r>
      <w:r>
        <w:rPr>
          <w:noProof/>
        </w:rPr>
        <w:tab/>
      </w:r>
      <w:r>
        <w:rPr>
          <w:noProof/>
        </w:rPr>
        <w:fldChar w:fldCharType="begin"/>
      </w:r>
      <w:r>
        <w:rPr>
          <w:noProof/>
        </w:rPr>
        <w:instrText xml:space="preserve"> PAGEREF _Toc229572280 \h </w:instrText>
      </w:r>
      <w:r>
        <w:rPr>
          <w:noProof/>
        </w:rPr>
      </w:r>
      <w:r>
        <w:rPr>
          <w:noProof/>
        </w:rPr>
        <w:fldChar w:fldCharType="separate"/>
      </w:r>
      <w:r>
        <w:rPr>
          <w:noProof/>
        </w:rPr>
        <w:t>11</w:t>
      </w:r>
      <w:r>
        <w:rPr>
          <w:noProof/>
        </w:rPr>
        <w:fldChar w:fldCharType="end"/>
      </w:r>
    </w:p>
    <w:p w14:paraId="5E963264"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3.3.4 Matriz de correlaciones</w:t>
      </w:r>
      <w:r>
        <w:rPr>
          <w:noProof/>
        </w:rPr>
        <w:tab/>
      </w:r>
      <w:r>
        <w:rPr>
          <w:noProof/>
        </w:rPr>
        <w:fldChar w:fldCharType="begin"/>
      </w:r>
      <w:r>
        <w:rPr>
          <w:noProof/>
        </w:rPr>
        <w:instrText xml:space="preserve"> PAGEREF _Toc229572281 \h </w:instrText>
      </w:r>
      <w:r>
        <w:rPr>
          <w:noProof/>
        </w:rPr>
      </w:r>
      <w:r>
        <w:rPr>
          <w:noProof/>
        </w:rPr>
        <w:fldChar w:fldCharType="separate"/>
      </w:r>
      <w:r>
        <w:rPr>
          <w:noProof/>
        </w:rPr>
        <w:t>13</w:t>
      </w:r>
      <w:r>
        <w:rPr>
          <w:noProof/>
        </w:rPr>
        <w:fldChar w:fldCharType="end"/>
      </w:r>
    </w:p>
    <w:p w14:paraId="4317FDFF"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3.3.5 Periodo Temporal</w:t>
      </w:r>
      <w:r>
        <w:rPr>
          <w:noProof/>
        </w:rPr>
        <w:tab/>
      </w:r>
      <w:r>
        <w:rPr>
          <w:noProof/>
        </w:rPr>
        <w:fldChar w:fldCharType="begin"/>
      </w:r>
      <w:r>
        <w:rPr>
          <w:noProof/>
        </w:rPr>
        <w:instrText xml:space="preserve"> PAGEREF _Toc229572282 \h </w:instrText>
      </w:r>
      <w:r>
        <w:rPr>
          <w:noProof/>
        </w:rPr>
      </w:r>
      <w:r>
        <w:rPr>
          <w:noProof/>
        </w:rPr>
        <w:fldChar w:fldCharType="separate"/>
      </w:r>
      <w:r>
        <w:rPr>
          <w:noProof/>
        </w:rPr>
        <w:t>13</w:t>
      </w:r>
      <w:r>
        <w:rPr>
          <w:noProof/>
        </w:rPr>
        <w:fldChar w:fldCharType="end"/>
      </w:r>
    </w:p>
    <w:p w14:paraId="0A77E70C"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4 - METODOLOGÍA</w:t>
      </w:r>
      <w:r>
        <w:rPr>
          <w:noProof/>
        </w:rPr>
        <w:tab/>
      </w:r>
      <w:r>
        <w:rPr>
          <w:noProof/>
        </w:rPr>
        <w:fldChar w:fldCharType="begin"/>
      </w:r>
      <w:r>
        <w:rPr>
          <w:noProof/>
        </w:rPr>
        <w:instrText xml:space="preserve"> PAGEREF _Toc229572283 \h </w:instrText>
      </w:r>
      <w:r>
        <w:rPr>
          <w:noProof/>
        </w:rPr>
      </w:r>
      <w:r>
        <w:rPr>
          <w:noProof/>
        </w:rPr>
        <w:fldChar w:fldCharType="separate"/>
      </w:r>
      <w:r>
        <w:rPr>
          <w:noProof/>
        </w:rPr>
        <w:t>14</w:t>
      </w:r>
      <w:r>
        <w:rPr>
          <w:noProof/>
        </w:rPr>
        <w:fldChar w:fldCharType="end"/>
      </w:r>
    </w:p>
    <w:p w14:paraId="34E76ECF"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4.1 MODELIZACIÓN MEDIANTE SERIES TEMPORALES</w:t>
      </w:r>
      <w:r>
        <w:rPr>
          <w:noProof/>
        </w:rPr>
        <w:tab/>
      </w:r>
      <w:r>
        <w:rPr>
          <w:noProof/>
        </w:rPr>
        <w:fldChar w:fldCharType="begin"/>
      </w:r>
      <w:r>
        <w:rPr>
          <w:noProof/>
        </w:rPr>
        <w:instrText xml:space="preserve"> PAGEREF _Toc229572284 \h </w:instrText>
      </w:r>
      <w:r>
        <w:rPr>
          <w:noProof/>
        </w:rPr>
      </w:r>
      <w:r>
        <w:rPr>
          <w:noProof/>
        </w:rPr>
        <w:fldChar w:fldCharType="separate"/>
      </w:r>
      <w:r>
        <w:rPr>
          <w:noProof/>
        </w:rPr>
        <w:t>14</w:t>
      </w:r>
      <w:r>
        <w:rPr>
          <w:noProof/>
        </w:rPr>
        <w:fldChar w:fldCharType="end"/>
      </w:r>
    </w:p>
    <w:p w14:paraId="2D92BE90"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4.1.1 Elección de la variable objetivo</w:t>
      </w:r>
      <w:r>
        <w:rPr>
          <w:noProof/>
        </w:rPr>
        <w:tab/>
      </w:r>
      <w:r>
        <w:rPr>
          <w:noProof/>
        </w:rPr>
        <w:fldChar w:fldCharType="begin"/>
      </w:r>
      <w:r>
        <w:rPr>
          <w:noProof/>
        </w:rPr>
        <w:instrText xml:space="preserve"> PAGEREF _Toc229572285 \h </w:instrText>
      </w:r>
      <w:r>
        <w:rPr>
          <w:noProof/>
        </w:rPr>
      </w:r>
      <w:r>
        <w:rPr>
          <w:noProof/>
        </w:rPr>
        <w:fldChar w:fldCharType="separate"/>
      </w:r>
      <w:r>
        <w:rPr>
          <w:noProof/>
        </w:rPr>
        <w:t>14</w:t>
      </w:r>
      <w:r>
        <w:rPr>
          <w:noProof/>
        </w:rPr>
        <w:fldChar w:fldCharType="end"/>
      </w:r>
    </w:p>
    <w:p w14:paraId="71A5591A"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4.1.2 Estacionariedad</w:t>
      </w:r>
      <w:r>
        <w:rPr>
          <w:noProof/>
        </w:rPr>
        <w:tab/>
      </w:r>
      <w:r>
        <w:rPr>
          <w:noProof/>
        </w:rPr>
        <w:fldChar w:fldCharType="begin"/>
      </w:r>
      <w:r>
        <w:rPr>
          <w:noProof/>
        </w:rPr>
        <w:instrText xml:space="preserve"> PAGEREF _Toc229572286 \h </w:instrText>
      </w:r>
      <w:r>
        <w:rPr>
          <w:noProof/>
        </w:rPr>
      </w:r>
      <w:r>
        <w:rPr>
          <w:noProof/>
        </w:rPr>
        <w:fldChar w:fldCharType="separate"/>
      </w:r>
      <w:r>
        <w:rPr>
          <w:noProof/>
        </w:rPr>
        <w:t>14</w:t>
      </w:r>
      <w:r>
        <w:rPr>
          <w:noProof/>
        </w:rPr>
        <w:fldChar w:fldCharType="end"/>
      </w:r>
    </w:p>
    <w:p w14:paraId="6F581C86"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iCs/>
          <w:noProof/>
        </w:rPr>
        <w:t>4.1.3 Análisis de autocorrelación</w:t>
      </w:r>
      <w:r>
        <w:rPr>
          <w:noProof/>
        </w:rPr>
        <w:tab/>
      </w:r>
      <w:r>
        <w:rPr>
          <w:noProof/>
        </w:rPr>
        <w:fldChar w:fldCharType="begin"/>
      </w:r>
      <w:r>
        <w:rPr>
          <w:noProof/>
        </w:rPr>
        <w:instrText xml:space="preserve"> PAGEREF _Toc229572287 \h </w:instrText>
      </w:r>
      <w:r>
        <w:rPr>
          <w:noProof/>
        </w:rPr>
      </w:r>
      <w:r>
        <w:rPr>
          <w:noProof/>
        </w:rPr>
        <w:fldChar w:fldCharType="separate"/>
      </w:r>
      <w:r>
        <w:rPr>
          <w:noProof/>
        </w:rPr>
        <w:t>15</w:t>
      </w:r>
      <w:r>
        <w:rPr>
          <w:noProof/>
        </w:rPr>
        <w:fldChar w:fldCharType="end"/>
      </w:r>
    </w:p>
    <w:p w14:paraId="224B380B"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iCs/>
          <w:noProof/>
        </w:rPr>
        <w:t>4.1.4 Selección del modelo ARIMA</w:t>
      </w:r>
      <w:r>
        <w:rPr>
          <w:noProof/>
        </w:rPr>
        <w:tab/>
      </w:r>
      <w:r>
        <w:rPr>
          <w:noProof/>
        </w:rPr>
        <w:fldChar w:fldCharType="begin"/>
      </w:r>
      <w:r>
        <w:rPr>
          <w:noProof/>
        </w:rPr>
        <w:instrText xml:space="preserve"> PAGEREF _Toc229572288 \h </w:instrText>
      </w:r>
      <w:r>
        <w:rPr>
          <w:noProof/>
        </w:rPr>
      </w:r>
      <w:r>
        <w:rPr>
          <w:noProof/>
        </w:rPr>
        <w:fldChar w:fldCharType="separate"/>
      </w:r>
      <w:r>
        <w:rPr>
          <w:noProof/>
        </w:rPr>
        <w:t>15</w:t>
      </w:r>
      <w:r>
        <w:rPr>
          <w:noProof/>
        </w:rPr>
        <w:fldChar w:fldCharType="end"/>
      </w:r>
    </w:p>
    <w:p w14:paraId="3AB1BF1C"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iCs/>
          <w:noProof/>
        </w:rPr>
        <w:t>4.1.5 Comparación con modelos base</w:t>
      </w:r>
      <w:r>
        <w:rPr>
          <w:noProof/>
        </w:rPr>
        <w:tab/>
      </w:r>
      <w:r>
        <w:rPr>
          <w:noProof/>
        </w:rPr>
        <w:fldChar w:fldCharType="begin"/>
      </w:r>
      <w:r>
        <w:rPr>
          <w:noProof/>
        </w:rPr>
        <w:instrText xml:space="preserve"> PAGEREF _Toc229572289 \h </w:instrText>
      </w:r>
      <w:r>
        <w:rPr>
          <w:noProof/>
        </w:rPr>
      </w:r>
      <w:r>
        <w:rPr>
          <w:noProof/>
        </w:rPr>
        <w:fldChar w:fldCharType="separate"/>
      </w:r>
      <w:r>
        <w:rPr>
          <w:noProof/>
        </w:rPr>
        <w:t>17</w:t>
      </w:r>
      <w:r>
        <w:rPr>
          <w:noProof/>
        </w:rPr>
        <w:fldChar w:fldCharType="end"/>
      </w:r>
    </w:p>
    <w:p w14:paraId="4FFD6917"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lang w:val="es-ES"/>
        </w:rPr>
        <w:t>4.2 MODELIZACIÓN MEDIANTE APRENDIZAJE AUTOMÁTICO</w:t>
      </w:r>
      <w:r>
        <w:rPr>
          <w:noProof/>
        </w:rPr>
        <w:tab/>
      </w:r>
      <w:r>
        <w:rPr>
          <w:noProof/>
        </w:rPr>
        <w:fldChar w:fldCharType="begin"/>
      </w:r>
      <w:r>
        <w:rPr>
          <w:noProof/>
        </w:rPr>
        <w:instrText xml:space="preserve"> PAGEREF _Toc229572290 \h </w:instrText>
      </w:r>
      <w:r>
        <w:rPr>
          <w:noProof/>
        </w:rPr>
      </w:r>
      <w:r>
        <w:rPr>
          <w:noProof/>
        </w:rPr>
        <w:fldChar w:fldCharType="separate"/>
      </w:r>
      <w:r>
        <w:rPr>
          <w:noProof/>
        </w:rPr>
        <w:t>18</w:t>
      </w:r>
      <w:r>
        <w:rPr>
          <w:noProof/>
        </w:rPr>
        <w:fldChar w:fldCharType="end"/>
      </w:r>
    </w:p>
    <w:p w14:paraId="47B581FA"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4.2.1 Introducción y motivación del enfoque</w:t>
      </w:r>
      <w:r>
        <w:rPr>
          <w:noProof/>
        </w:rPr>
        <w:tab/>
      </w:r>
      <w:r>
        <w:rPr>
          <w:noProof/>
        </w:rPr>
        <w:fldChar w:fldCharType="begin"/>
      </w:r>
      <w:r>
        <w:rPr>
          <w:noProof/>
        </w:rPr>
        <w:instrText xml:space="preserve"> PAGEREF _Toc229572291 \h </w:instrText>
      </w:r>
      <w:r>
        <w:rPr>
          <w:noProof/>
        </w:rPr>
      </w:r>
      <w:r>
        <w:rPr>
          <w:noProof/>
        </w:rPr>
        <w:fldChar w:fldCharType="separate"/>
      </w:r>
      <w:r>
        <w:rPr>
          <w:noProof/>
        </w:rPr>
        <w:t>18</w:t>
      </w:r>
      <w:r>
        <w:rPr>
          <w:noProof/>
        </w:rPr>
        <w:fldChar w:fldCharType="end"/>
      </w:r>
    </w:p>
    <w:p w14:paraId="19483FDF"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Preprocesado de los datos</w:t>
      </w:r>
      <w:r>
        <w:rPr>
          <w:noProof/>
        </w:rPr>
        <w:tab/>
      </w:r>
      <w:r>
        <w:rPr>
          <w:noProof/>
        </w:rPr>
        <w:fldChar w:fldCharType="begin"/>
      </w:r>
      <w:r>
        <w:rPr>
          <w:noProof/>
        </w:rPr>
        <w:instrText xml:space="preserve"> PAGEREF _Toc229572292 \h </w:instrText>
      </w:r>
      <w:r>
        <w:rPr>
          <w:noProof/>
        </w:rPr>
      </w:r>
      <w:r>
        <w:rPr>
          <w:noProof/>
        </w:rPr>
        <w:fldChar w:fldCharType="separate"/>
      </w:r>
      <w:r>
        <w:rPr>
          <w:noProof/>
        </w:rPr>
        <w:t>19</w:t>
      </w:r>
      <w:r>
        <w:rPr>
          <w:noProof/>
        </w:rPr>
        <w:fldChar w:fldCharType="end"/>
      </w:r>
    </w:p>
    <w:p w14:paraId="03C6FEA5"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iCs/>
          <w:noProof/>
        </w:rPr>
        <w:t>Preprocesado para la frecuencia diaria</w:t>
      </w:r>
      <w:r>
        <w:rPr>
          <w:noProof/>
        </w:rPr>
        <w:tab/>
      </w:r>
      <w:r>
        <w:rPr>
          <w:noProof/>
        </w:rPr>
        <w:fldChar w:fldCharType="begin"/>
      </w:r>
      <w:r>
        <w:rPr>
          <w:noProof/>
        </w:rPr>
        <w:instrText xml:space="preserve"> PAGEREF _Toc229572293 \h </w:instrText>
      </w:r>
      <w:r>
        <w:rPr>
          <w:noProof/>
        </w:rPr>
      </w:r>
      <w:r>
        <w:rPr>
          <w:noProof/>
        </w:rPr>
        <w:fldChar w:fldCharType="separate"/>
      </w:r>
      <w:r>
        <w:rPr>
          <w:noProof/>
        </w:rPr>
        <w:t>19</w:t>
      </w:r>
      <w:r>
        <w:rPr>
          <w:noProof/>
        </w:rPr>
        <w:fldChar w:fldCharType="end"/>
      </w:r>
    </w:p>
    <w:p w14:paraId="0423AF00"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Preprocesado para la frecuencia semanal</w:t>
      </w:r>
      <w:r>
        <w:rPr>
          <w:noProof/>
        </w:rPr>
        <w:tab/>
      </w:r>
      <w:r>
        <w:rPr>
          <w:noProof/>
        </w:rPr>
        <w:fldChar w:fldCharType="begin"/>
      </w:r>
      <w:r>
        <w:rPr>
          <w:noProof/>
        </w:rPr>
        <w:instrText xml:space="preserve"> PAGEREF _Toc229572294 \h </w:instrText>
      </w:r>
      <w:r>
        <w:rPr>
          <w:noProof/>
        </w:rPr>
      </w:r>
      <w:r>
        <w:rPr>
          <w:noProof/>
        </w:rPr>
        <w:fldChar w:fldCharType="separate"/>
      </w:r>
      <w:r>
        <w:rPr>
          <w:noProof/>
        </w:rPr>
        <w:t>20</w:t>
      </w:r>
      <w:r>
        <w:rPr>
          <w:noProof/>
        </w:rPr>
        <w:fldChar w:fldCharType="end"/>
      </w:r>
    </w:p>
    <w:p w14:paraId="67FD492C"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Diseño del experimento</w:t>
      </w:r>
      <w:r>
        <w:rPr>
          <w:noProof/>
        </w:rPr>
        <w:tab/>
      </w:r>
      <w:r>
        <w:rPr>
          <w:noProof/>
        </w:rPr>
        <w:fldChar w:fldCharType="begin"/>
      </w:r>
      <w:r>
        <w:rPr>
          <w:noProof/>
        </w:rPr>
        <w:instrText xml:space="preserve"> PAGEREF _Toc229572295 \h </w:instrText>
      </w:r>
      <w:r>
        <w:rPr>
          <w:noProof/>
        </w:rPr>
      </w:r>
      <w:r>
        <w:rPr>
          <w:noProof/>
        </w:rPr>
        <w:fldChar w:fldCharType="separate"/>
      </w:r>
      <w:r>
        <w:rPr>
          <w:noProof/>
        </w:rPr>
        <w:t>21</w:t>
      </w:r>
      <w:r>
        <w:rPr>
          <w:noProof/>
        </w:rPr>
        <w:fldChar w:fldCharType="end"/>
      </w:r>
    </w:p>
    <w:p w14:paraId="7AED0355"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Estructura general</w:t>
      </w:r>
      <w:r>
        <w:rPr>
          <w:noProof/>
        </w:rPr>
        <w:tab/>
      </w:r>
      <w:r>
        <w:rPr>
          <w:noProof/>
        </w:rPr>
        <w:fldChar w:fldCharType="begin"/>
      </w:r>
      <w:r>
        <w:rPr>
          <w:noProof/>
        </w:rPr>
        <w:instrText xml:space="preserve"> PAGEREF _Toc229572296 \h </w:instrText>
      </w:r>
      <w:r>
        <w:rPr>
          <w:noProof/>
        </w:rPr>
      </w:r>
      <w:r>
        <w:rPr>
          <w:noProof/>
        </w:rPr>
        <w:fldChar w:fldCharType="separate"/>
      </w:r>
      <w:r>
        <w:rPr>
          <w:noProof/>
        </w:rPr>
        <w:t>21</w:t>
      </w:r>
      <w:r>
        <w:rPr>
          <w:noProof/>
        </w:rPr>
        <w:fldChar w:fldCharType="end"/>
      </w:r>
    </w:p>
    <w:p w14:paraId="71A5D8B9"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Separación temporal de los datos</w:t>
      </w:r>
      <w:r>
        <w:rPr>
          <w:noProof/>
        </w:rPr>
        <w:tab/>
      </w:r>
      <w:r>
        <w:rPr>
          <w:noProof/>
        </w:rPr>
        <w:fldChar w:fldCharType="begin"/>
      </w:r>
      <w:r>
        <w:rPr>
          <w:noProof/>
        </w:rPr>
        <w:instrText xml:space="preserve"> PAGEREF _Toc229572297 \h </w:instrText>
      </w:r>
      <w:r>
        <w:rPr>
          <w:noProof/>
        </w:rPr>
      </w:r>
      <w:r>
        <w:rPr>
          <w:noProof/>
        </w:rPr>
        <w:fldChar w:fldCharType="separate"/>
      </w:r>
      <w:r>
        <w:rPr>
          <w:noProof/>
        </w:rPr>
        <w:t>22</w:t>
      </w:r>
      <w:r>
        <w:rPr>
          <w:noProof/>
        </w:rPr>
        <w:fldChar w:fldCharType="end"/>
      </w:r>
    </w:p>
    <w:p w14:paraId="0278335D"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Validación walk-forward con ventana expandible</w:t>
      </w:r>
      <w:r>
        <w:rPr>
          <w:noProof/>
        </w:rPr>
        <w:tab/>
      </w:r>
      <w:r>
        <w:rPr>
          <w:noProof/>
        </w:rPr>
        <w:fldChar w:fldCharType="begin"/>
      </w:r>
      <w:r>
        <w:rPr>
          <w:noProof/>
        </w:rPr>
        <w:instrText xml:space="preserve"> PAGEREF _Toc229572298 \h </w:instrText>
      </w:r>
      <w:r>
        <w:rPr>
          <w:noProof/>
        </w:rPr>
      </w:r>
      <w:r>
        <w:rPr>
          <w:noProof/>
        </w:rPr>
        <w:fldChar w:fldCharType="separate"/>
      </w:r>
      <w:r>
        <w:rPr>
          <w:noProof/>
        </w:rPr>
        <w:t>22</w:t>
      </w:r>
      <w:r>
        <w:rPr>
          <w:noProof/>
        </w:rPr>
        <w:fldChar w:fldCharType="end"/>
      </w:r>
    </w:p>
    <w:p w14:paraId="58571787"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Métricas de evaluación y benchmarks</w:t>
      </w:r>
      <w:r>
        <w:rPr>
          <w:noProof/>
        </w:rPr>
        <w:tab/>
      </w:r>
      <w:r>
        <w:rPr>
          <w:noProof/>
        </w:rPr>
        <w:fldChar w:fldCharType="begin"/>
      </w:r>
      <w:r>
        <w:rPr>
          <w:noProof/>
        </w:rPr>
        <w:instrText xml:space="preserve"> PAGEREF _Toc229572299 \h </w:instrText>
      </w:r>
      <w:r>
        <w:rPr>
          <w:noProof/>
        </w:rPr>
      </w:r>
      <w:r>
        <w:rPr>
          <w:noProof/>
        </w:rPr>
        <w:fldChar w:fldCharType="separate"/>
      </w:r>
      <w:r>
        <w:rPr>
          <w:noProof/>
        </w:rPr>
        <w:t>23</w:t>
      </w:r>
      <w:r>
        <w:rPr>
          <w:noProof/>
        </w:rPr>
        <w:fldChar w:fldCharType="end"/>
      </w:r>
    </w:p>
    <w:p w14:paraId="202E7E59"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Modelos utilizados</w:t>
      </w:r>
      <w:r>
        <w:rPr>
          <w:noProof/>
        </w:rPr>
        <w:tab/>
      </w:r>
      <w:r>
        <w:rPr>
          <w:noProof/>
        </w:rPr>
        <w:fldChar w:fldCharType="begin"/>
      </w:r>
      <w:r>
        <w:rPr>
          <w:noProof/>
        </w:rPr>
        <w:instrText xml:space="preserve"> PAGEREF _Toc229572300 \h </w:instrText>
      </w:r>
      <w:r>
        <w:rPr>
          <w:noProof/>
        </w:rPr>
      </w:r>
      <w:r>
        <w:rPr>
          <w:noProof/>
        </w:rPr>
        <w:fldChar w:fldCharType="separate"/>
      </w:r>
      <w:r>
        <w:rPr>
          <w:noProof/>
        </w:rPr>
        <w:t>23</w:t>
      </w:r>
      <w:r>
        <w:rPr>
          <w:noProof/>
        </w:rPr>
        <w:fldChar w:fldCharType="end"/>
      </w:r>
    </w:p>
    <w:p w14:paraId="32B1E0D1"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Regresión lineal</w:t>
      </w:r>
      <w:r>
        <w:rPr>
          <w:noProof/>
        </w:rPr>
        <w:tab/>
      </w:r>
      <w:r>
        <w:rPr>
          <w:noProof/>
        </w:rPr>
        <w:fldChar w:fldCharType="begin"/>
      </w:r>
      <w:r>
        <w:rPr>
          <w:noProof/>
        </w:rPr>
        <w:instrText xml:space="preserve"> PAGEREF _Toc229572301 \h </w:instrText>
      </w:r>
      <w:r>
        <w:rPr>
          <w:noProof/>
        </w:rPr>
      </w:r>
      <w:r>
        <w:rPr>
          <w:noProof/>
        </w:rPr>
        <w:fldChar w:fldCharType="separate"/>
      </w:r>
      <w:r>
        <w:rPr>
          <w:noProof/>
        </w:rPr>
        <w:t>23</w:t>
      </w:r>
      <w:r>
        <w:rPr>
          <w:noProof/>
        </w:rPr>
        <w:fldChar w:fldCharType="end"/>
      </w:r>
    </w:p>
    <w:p w14:paraId="6D0A8C83"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Ridge</w:t>
      </w:r>
      <w:r>
        <w:rPr>
          <w:noProof/>
        </w:rPr>
        <w:tab/>
      </w:r>
      <w:r>
        <w:rPr>
          <w:noProof/>
        </w:rPr>
        <w:fldChar w:fldCharType="begin"/>
      </w:r>
      <w:r>
        <w:rPr>
          <w:noProof/>
        </w:rPr>
        <w:instrText xml:space="preserve"> PAGEREF _Toc229572302 \h </w:instrText>
      </w:r>
      <w:r>
        <w:rPr>
          <w:noProof/>
        </w:rPr>
      </w:r>
      <w:r>
        <w:rPr>
          <w:noProof/>
        </w:rPr>
        <w:fldChar w:fldCharType="separate"/>
      </w:r>
      <w:r>
        <w:rPr>
          <w:noProof/>
        </w:rPr>
        <w:t>24</w:t>
      </w:r>
      <w:r>
        <w:rPr>
          <w:noProof/>
        </w:rPr>
        <w:fldChar w:fldCharType="end"/>
      </w:r>
    </w:p>
    <w:p w14:paraId="48BD6E95"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Random Forest</w:t>
      </w:r>
      <w:r>
        <w:rPr>
          <w:noProof/>
        </w:rPr>
        <w:tab/>
      </w:r>
      <w:r>
        <w:rPr>
          <w:noProof/>
        </w:rPr>
        <w:fldChar w:fldCharType="begin"/>
      </w:r>
      <w:r>
        <w:rPr>
          <w:noProof/>
        </w:rPr>
        <w:instrText xml:space="preserve"> PAGEREF _Toc229572303 \h </w:instrText>
      </w:r>
      <w:r>
        <w:rPr>
          <w:noProof/>
        </w:rPr>
      </w:r>
      <w:r>
        <w:rPr>
          <w:noProof/>
        </w:rPr>
        <w:fldChar w:fldCharType="separate"/>
      </w:r>
      <w:r>
        <w:rPr>
          <w:noProof/>
        </w:rPr>
        <w:t>24</w:t>
      </w:r>
      <w:r>
        <w:rPr>
          <w:noProof/>
        </w:rPr>
        <w:fldChar w:fldCharType="end"/>
      </w:r>
    </w:p>
    <w:p w14:paraId="264820AC"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lastRenderedPageBreak/>
        <w:t>Gradient Boosting</w:t>
      </w:r>
      <w:r>
        <w:rPr>
          <w:noProof/>
        </w:rPr>
        <w:tab/>
      </w:r>
      <w:r>
        <w:rPr>
          <w:noProof/>
        </w:rPr>
        <w:fldChar w:fldCharType="begin"/>
      </w:r>
      <w:r>
        <w:rPr>
          <w:noProof/>
        </w:rPr>
        <w:instrText xml:space="preserve"> PAGEREF _Toc229572304 \h </w:instrText>
      </w:r>
      <w:r>
        <w:rPr>
          <w:noProof/>
        </w:rPr>
      </w:r>
      <w:r>
        <w:rPr>
          <w:noProof/>
        </w:rPr>
        <w:fldChar w:fldCharType="separate"/>
      </w:r>
      <w:r>
        <w:rPr>
          <w:noProof/>
        </w:rPr>
        <w:t>25</w:t>
      </w:r>
      <w:r>
        <w:rPr>
          <w:noProof/>
        </w:rPr>
        <w:fldChar w:fldCharType="end"/>
      </w:r>
    </w:p>
    <w:p w14:paraId="381A3875"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Resultados del modelo semanal</w:t>
      </w:r>
      <w:r>
        <w:rPr>
          <w:noProof/>
        </w:rPr>
        <w:tab/>
      </w:r>
      <w:r>
        <w:rPr>
          <w:noProof/>
        </w:rPr>
        <w:fldChar w:fldCharType="begin"/>
      </w:r>
      <w:r>
        <w:rPr>
          <w:noProof/>
        </w:rPr>
        <w:instrText xml:space="preserve"> PAGEREF _Toc229572305 \h </w:instrText>
      </w:r>
      <w:r>
        <w:rPr>
          <w:noProof/>
        </w:rPr>
      </w:r>
      <w:r>
        <w:rPr>
          <w:noProof/>
        </w:rPr>
        <w:fldChar w:fldCharType="separate"/>
      </w:r>
      <w:r>
        <w:rPr>
          <w:noProof/>
        </w:rPr>
        <w:t>25</w:t>
      </w:r>
      <w:r>
        <w:rPr>
          <w:noProof/>
        </w:rPr>
        <w:fldChar w:fldCharType="end"/>
      </w:r>
    </w:p>
    <w:p w14:paraId="60F4AF67"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rPr>
        <w:t>Resultados del modelo diario</w:t>
      </w:r>
      <w:r>
        <w:rPr>
          <w:noProof/>
        </w:rPr>
        <w:tab/>
      </w:r>
      <w:r>
        <w:rPr>
          <w:noProof/>
        </w:rPr>
        <w:fldChar w:fldCharType="begin"/>
      </w:r>
      <w:r>
        <w:rPr>
          <w:noProof/>
        </w:rPr>
        <w:instrText xml:space="preserve"> PAGEREF _Toc229572306 \h </w:instrText>
      </w:r>
      <w:r>
        <w:rPr>
          <w:noProof/>
        </w:rPr>
      </w:r>
      <w:r>
        <w:rPr>
          <w:noProof/>
        </w:rPr>
        <w:fldChar w:fldCharType="separate"/>
      </w:r>
      <w:r>
        <w:rPr>
          <w:noProof/>
        </w:rPr>
        <w:t>25</w:t>
      </w:r>
      <w:r>
        <w:rPr>
          <w:noProof/>
        </w:rPr>
        <w:fldChar w:fldCharType="end"/>
      </w:r>
    </w:p>
    <w:p w14:paraId="25F9E686"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lang w:val="es-ES"/>
        </w:rPr>
        <w:t>4.3 Criterio de selección de modelos: Comparación entre ML y Series Temporales</w:t>
      </w:r>
      <w:r>
        <w:rPr>
          <w:noProof/>
        </w:rPr>
        <w:tab/>
      </w:r>
      <w:r>
        <w:rPr>
          <w:noProof/>
        </w:rPr>
        <w:fldChar w:fldCharType="begin"/>
      </w:r>
      <w:r>
        <w:rPr>
          <w:noProof/>
        </w:rPr>
        <w:instrText xml:space="preserve"> PAGEREF _Toc229572307 \h </w:instrText>
      </w:r>
      <w:r>
        <w:rPr>
          <w:noProof/>
        </w:rPr>
      </w:r>
      <w:r>
        <w:rPr>
          <w:noProof/>
        </w:rPr>
        <w:fldChar w:fldCharType="separate"/>
      </w:r>
      <w:r>
        <w:rPr>
          <w:noProof/>
        </w:rPr>
        <w:t>28</w:t>
      </w:r>
      <w:r>
        <w:rPr>
          <w:noProof/>
        </w:rPr>
        <w:fldChar w:fldCharType="end"/>
      </w:r>
    </w:p>
    <w:p w14:paraId="7F0D6FED"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sidRPr="006D0BE1">
        <w:rPr>
          <w:rFonts w:cstheme="minorHAnsi"/>
          <w:noProof/>
          <w:lang w:val="es-ES"/>
        </w:rPr>
        <w:t>4.4 OPTIMIZACIÓN DE CARTERAS - MARKOWITZ</w:t>
      </w:r>
      <w:r>
        <w:rPr>
          <w:noProof/>
        </w:rPr>
        <w:tab/>
      </w:r>
      <w:r>
        <w:rPr>
          <w:noProof/>
        </w:rPr>
        <w:fldChar w:fldCharType="begin"/>
      </w:r>
      <w:r>
        <w:rPr>
          <w:noProof/>
        </w:rPr>
        <w:instrText xml:space="preserve"> PAGEREF _Toc229572308 \h </w:instrText>
      </w:r>
      <w:r>
        <w:rPr>
          <w:noProof/>
        </w:rPr>
      </w:r>
      <w:r>
        <w:rPr>
          <w:noProof/>
        </w:rPr>
        <w:fldChar w:fldCharType="separate"/>
      </w:r>
      <w:r>
        <w:rPr>
          <w:noProof/>
        </w:rPr>
        <w:t>34</w:t>
      </w:r>
      <w:r>
        <w:rPr>
          <w:noProof/>
        </w:rPr>
        <w:fldChar w:fldCharType="end"/>
      </w:r>
    </w:p>
    <w:p w14:paraId="418BE1B7" w14:textId="77777777" w:rsidR="008360E1" w:rsidRDefault="008360E1">
      <w:pPr>
        <w:pStyle w:val="TDC2"/>
        <w:tabs>
          <w:tab w:val="right" w:leader="dot" w:pos="9350"/>
        </w:tabs>
        <w:rPr>
          <w:rFonts w:eastAsiaTheme="minorEastAsia" w:cstheme="minorBidi"/>
          <w:noProof/>
          <w:kern w:val="2"/>
          <w:sz w:val="24"/>
          <w:lang w:val="es-ES" w:eastAsia="es-ES"/>
          <w14:ligatures w14:val="standardContextual"/>
        </w:rPr>
      </w:pPr>
      <w:r>
        <w:rPr>
          <w:noProof/>
        </w:rPr>
        <w:t>4.5 Semana 1</w:t>
      </w:r>
      <w:r>
        <w:rPr>
          <w:noProof/>
        </w:rPr>
        <w:tab/>
      </w:r>
      <w:r>
        <w:rPr>
          <w:noProof/>
        </w:rPr>
        <w:fldChar w:fldCharType="begin"/>
      </w:r>
      <w:r>
        <w:rPr>
          <w:noProof/>
        </w:rPr>
        <w:instrText xml:space="preserve"> PAGEREF _Toc229572309 \h </w:instrText>
      </w:r>
      <w:r>
        <w:rPr>
          <w:noProof/>
        </w:rPr>
      </w:r>
      <w:r>
        <w:rPr>
          <w:noProof/>
        </w:rPr>
        <w:fldChar w:fldCharType="separate"/>
      </w:r>
      <w:r>
        <w:rPr>
          <w:noProof/>
        </w:rPr>
        <w:t>48</w:t>
      </w:r>
      <w:r>
        <w:rPr>
          <w:noProof/>
        </w:rPr>
        <w:fldChar w:fldCharType="end"/>
      </w:r>
    </w:p>
    <w:p w14:paraId="2E5F04D2"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Pr>
          <w:noProof/>
        </w:rPr>
        <w:t>4.5.1 Modelo 1: Markowitz clásico</w:t>
      </w:r>
      <w:r>
        <w:rPr>
          <w:noProof/>
        </w:rPr>
        <w:tab/>
      </w:r>
      <w:r>
        <w:rPr>
          <w:noProof/>
        </w:rPr>
        <w:fldChar w:fldCharType="begin"/>
      </w:r>
      <w:r>
        <w:rPr>
          <w:noProof/>
        </w:rPr>
        <w:instrText xml:space="preserve"> PAGEREF _Toc229572310 \h </w:instrText>
      </w:r>
      <w:r>
        <w:rPr>
          <w:noProof/>
        </w:rPr>
      </w:r>
      <w:r>
        <w:rPr>
          <w:noProof/>
        </w:rPr>
        <w:fldChar w:fldCharType="separate"/>
      </w:r>
      <w:r>
        <w:rPr>
          <w:noProof/>
        </w:rPr>
        <w:t>49</w:t>
      </w:r>
      <w:r>
        <w:rPr>
          <w:noProof/>
        </w:rPr>
        <w:fldChar w:fldCharType="end"/>
      </w:r>
    </w:p>
    <w:p w14:paraId="0E48AFE1"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Pr>
          <w:noProof/>
        </w:rPr>
        <w:t>4.5.2 Modelo 2: Markowitz con último valor</w:t>
      </w:r>
      <w:r>
        <w:rPr>
          <w:noProof/>
        </w:rPr>
        <w:tab/>
      </w:r>
      <w:r>
        <w:rPr>
          <w:noProof/>
        </w:rPr>
        <w:fldChar w:fldCharType="begin"/>
      </w:r>
      <w:r>
        <w:rPr>
          <w:noProof/>
        </w:rPr>
        <w:instrText xml:space="preserve"> PAGEREF _Toc229572311 \h </w:instrText>
      </w:r>
      <w:r>
        <w:rPr>
          <w:noProof/>
        </w:rPr>
      </w:r>
      <w:r>
        <w:rPr>
          <w:noProof/>
        </w:rPr>
        <w:fldChar w:fldCharType="separate"/>
      </w:r>
      <w:r>
        <w:rPr>
          <w:noProof/>
        </w:rPr>
        <w:t>49</w:t>
      </w:r>
      <w:r>
        <w:rPr>
          <w:noProof/>
        </w:rPr>
        <w:fldChar w:fldCharType="end"/>
      </w:r>
    </w:p>
    <w:p w14:paraId="158FF813" w14:textId="77777777" w:rsidR="008360E1" w:rsidRDefault="008360E1">
      <w:pPr>
        <w:pStyle w:val="TDC3"/>
        <w:tabs>
          <w:tab w:val="right" w:leader="dot" w:pos="9350"/>
        </w:tabs>
        <w:rPr>
          <w:rFonts w:eastAsiaTheme="minorEastAsia" w:cstheme="minorBidi"/>
          <w:noProof/>
          <w:kern w:val="2"/>
          <w:sz w:val="24"/>
          <w:lang w:val="es-ES" w:eastAsia="es-ES"/>
          <w14:ligatures w14:val="standardContextual"/>
        </w:rPr>
      </w:pPr>
      <w:r>
        <w:rPr>
          <w:noProof/>
        </w:rPr>
        <w:t>4.5.3 Modelo 3: Markowitz con ARIMA</w:t>
      </w:r>
      <w:r>
        <w:rPr>
          <w:noProof/>
        </w:rPr>
        <w:tab/>
      </w:r>
      <w:r>
        <w:rPr>
          <w:noProof/>
        </w:rPr>
        <w:fldChar w:fldCharType="begin"/>
      </w:r>
      <w:r>
        <w:rPr>
          <w:noProof/>
        </w:rPr>
        <w:instrText xml:space="preserve"> PAGEREF _Toc229572312 \h </w:instrText>
      </w:r>
      <w:r>
        <w:rPr>
          <w:noProof/>
        </w:rPr>
      </w:r>
      <w:r>
        <w:rPr>
          <w:noProof/>
        </w:rPr>
        <w:fldChar w:fldCharType="separate"/>
      </w:r>
      <w:r>
        <w:rPr>
          <w:noProof/>
        </w:rPr>
        <w:t>49</w:t>
      </w:r>
      <w:r>
        <w:rPr>
          <w:noProof/>
        </w:rPr>
        <w:fldChar w:fldCharType="end"/>
      </w:r>
    </w:p>
    <w:p w14:paraId="4F2CA042"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5 - RESULTADOS</w:t>
      </w:r>
      <w:r>
        <w:rPr>
          <w:noProof/>
        </w:rPr>
        <w:tab/>
      </w:r>
      <w:r>
        <w:rPr>
          <w:noProof/>
        </w:rPr>
        <w:fldChar w:fldCharType="begin"/>
      </w:r>
      <w:r>
        <w:rPr>
          <w:noProof/>
        </w:rPr>
        <w:instrText xml:space="preserve"> PAGEREF _Toc229572313 \h </w:instrText>
      </w:r>
      <w:r>
        <w:rPr>
          <w:noProof/>
        </w:rPr>
      </w:r>
      <w:r>
        <w:rPr>
          <w:noProof/>
        </w:rPr>
        <w:fldChar w:fldCharType="separate"/>
      </w:r>
      <w:r>
        <w:rPr>
          <w:noProof/>
        </w:rPr>
        <w:t>51</w:t>
      </w:r>
      <w:r>
        <w:rPr>
          <w:noProof/>
        </w:rPr>
        <w:fldChar w:fldCharType="end"/>
      </w:r>
    </w:p>
    <w:p w14:paraId="7E0CD605"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lang w:val="es-ES"/>
        </w:rPr>
        <w:t>Capítulo 6 - Conclusiones y trabajo futuro</w:t>
      </w:r>
      <w:r>
        <w:rPr>
          <w:noProof/>
        </w:rPr>
        <w:tab/>
      </w:r>
      <w:r>
        <w:rPr>
          <w:noProof/>
        </w:rPr>
        <w:fldChar w:fldCharType="begin"/>
      </w:r>
      <w:r>
        <w:rPr>
          <w:noProof/>
        </w:rPr>
        <w:instrText xml:space="preserve"> PAGEREF _Toc229572314 \h </w:instrText>
      </w:r>
      <w:r>
        <w:rPr>
          <w:noProof/>
        </w:rPr>
      </w:r>
      <w:r>
        <w:rPr>
          <w:noProof/>
        </w:rPr>
        <w:fldChar w:fldCharType="separate"/>
      </w:r>
      <w:r>
        <w:rPr>
          <w:noProof/>
        </w:rPr>
        <w:t>53</w:t>
      </w:r>
      <w:r>
        <w:rPr>
          <w:noProof/>
        </w:rPr>
        <w:fldChar w:fldCharType="end"/>
      </w:r>
    </w:p>
    <w:p w14:paraId="4D7B7A0C"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Bibliografía</w:t>
      </w:r>
      <w:r>
        <w:rPr>
          <w:noProof/>
        </w:rPr>
        <w:tab/>
      </w:r>
      <w:r>
        <w:rPr>
          <w:noProof/>
        </w:rPr>
        <w:fldChar w:fldCharType="begin"/>
      </w:r>
      <w:r>
        <w:rPr>
          <w:noProof/>
        </w:rPr>
        <w:instrText xml:space="preserve"> PAGEREF _Toc229572315 \h </w:instrText>
      </w:r>
      <w:r>
        <w:rPr>
          <w:noProof/>
        </w:rPr>
      </w:r>
      <w:r>
        <w:rPr>
          <w:noProof/>
        </w:rPr>
        <w:fldChar w:fldCharType="separate"/>
      </w:r>
      <w:r>
        <w:rPr>
          <w:noProof/>
        </w:rPr>
        <w:t>59</w:t>
      </w:r>
      <w:r>
        <w:rPr>
          <w:noProof/>
        </w:rPr>
        <w:fldChar w:fldCharType="end"/>
      </w:r>
    </w:p>
    <w:p w14:paraId="1505FE7F" w14:textId="77777777" w:rsidR="008360E1" w:rsidRDefault="008360E1">
      <w:pPr>
        <w:pStyle w:val="TDC1"/>
        <w:rPr>
          <w:rFonts w:eastAsiaTheme="minorEastAsia" w:cstheme="minorBidi"/>
          <w:noProof/>
          <w:kern w:val="2"/>
          <w:sz w:val="24"/>
          <w:lang w:val="es-ES" w:eastAsia="es-ES"/>
          <w14:ligatures w14:val="standardContextual"/>
        </w:rPr>
      </w:pPr>
      <w:r w:rsidRPr="006D0BE1">
        <w:rPr>
          <w:rFonts w:cstheme="minorHAnsi"/>
          <w:noProof/>
        </w:rPr>
        <w:t>Apéndices</w:t>
      </w:r>
      <w:r>
        <w:rPr>
          <w:noProof/>
        </w:rPr>
        <w:tab/>
      </w:r>
      <w:r>
        <w:rPr>
          <w:noProof/>
        </w:rPr>
        <w:fldChar w:fldCharType="begin"/>
      </w:r>
      <w:r>
        <w:rPr>
          <w:noProof/>
        </w:rPr>
        <w:instrText xml:space="preserve"> PAGEREF _Toc229572316 \h </w:instrText>
      </w:r>
      <w:r>
        <w:rPr>
          <w:noProof/>
        </w:rPr>
      </w:r>
      <w:r>
        <w:rPr>
          <w:noProof/>
        </w:rPr>
        <w:fldChar w:fldCharType="separate"/>
      </w:r>
      <w:r>
        <w:rPr>
          <w:noProof/>
        </w:rPr>
        <w:t>61</w:t>
      </w:r>
      <w:r>
        <w:rPr>
          <w:noProof/>
        </w:rPr>
        <w:fldChar w:fldCharType="end"/>
      </w:r>
    </w:p>
    <w:p w14:paraId="22010357" w14:textId="77777777" w:rsidR="00AA1A72" w:rsidRDefault="00913EDA" w:rsidP="008C4756">
      <w:pPr>
        <w:pStyle w:val="TDC4"/>
        <w:rPr>
          <w:rFonts w:cstheme="minorHAnsi"/>
        </w:rPr>
      </w:pPr>
      <w:r w:rsidRPr="006671FA">
        <w:rPr>
          <w:rFonts w:cstheme="minorHAnsi"/>
        </w:rPr>
        <w:fldChar w:fldCharType="end"/>
      </w:r>
    </w:p>
    <w:p w14:paraId="1BE9D2BC" w14:textId="77777777" w:rsidR="003A0B19" w:rsidRPr="003A0B19" w:rsidRDefault="003A0B19" w:rsidP="003A0B19">
      <w:pPr>
        <w:rPr>
          <w:lang w:val="es-ES" w:eastAsia="es-ES"/>
        </w:rPr>
      </w:pPr>
    </w:p>
    <w:p w14:paraId="74463DA0" w14:textId="77777777" w:rsidR="003A0B19" w:rsidRPr="003A0B19" w:rsidRDefault="003A0B19" w:rsidP="003A0B19">
      <w:pPr>
        <w:rPr>
          <w:lang w:val="es-ES" w:eastAsia="es-ES"/>
        </w:rPr>
      </w:pPr>
    </w:p>
    <w:p w14:paraId="45B72055" w14:textId="77777777" w:rsidR="003A0B19" w:rsidRDefault="003A0B19" w:rsidP="003A0B19">
      <w:pPr>
        <w:rPr>
          <w:rFonts w:cstheme="minorHAnsi"/>
        </w:rPr>
      </w:pPr>
    </w:p>
    <w:p w14:paraId="1D602470" w14:textId="77777777" w:rsidR="003A0B19" w:rsidRDefault="003A0B19" w:rsidP="00800533">
      <w:pPr>
        <w:rPr>
          <w:rFonts w:cstheme="minorHAnsi"/>
        </w:rPr>
      </w:pPr>
    </w:p>
    <w:p w14:paraId="0C62A213" w14:textId="77777777" w:rsidR="003A0B19" w:rsidRPr="003A0B19" w:rsidRDefault="003A0B19" w:rsidP="003A0B19">
      <w:pPr>
        <w:rPr>
          <w:lang w:val="es-ES" w:eastAsia="es-ES"/>
        </w:rPr>
        <w:sectPr w:rsidR="003A0B19" w:rsidRPr="003A0B19" w:rsidSect="00310A7E">
          <w:pgSz w:w="12240" w:h="15840"/>
          <w:pgMar w:top="1440" w:right="1440" w:bottom="1440" w:left="1440" w:header="720" w:footer="720" w:gutter="0"/>
          <w:pgNumType w:fmt="upperRoman"/>
          <w:cols w:space="720"/>
          <w:docGrid w:linePitch="360"/>
        </w:sectPr>
      </w:pPr>
    </w:p>
    <w:p w14:paraId="3EF06E05" w14:textId="77777777" w:rsidR="00AA1A72" w:rsidRPr="006671FA" w:rsidRDefault="00AA1A72" w:rsidP="00AA1A72">
      <w:pPr>
        <w:pStyle w:val="PageHeading"/>
        <w:rPr>
          <w:rFonts w:asciiTheme="minorHAnsi" w:hAnsiTheme="minorHAnsi" w:cstheme="minorHAnsi"/>
          <w:lang w:val="es-ES_tradnl"/>
        </w:rPr>
      </w:pPr>
      <w:bookmarkStart w:id="7" w:name="IndiceFiguras"/>
      <w:bookmarkStart w:id="8" w:name="_Toc229572261"/>
      <w:r w:rsidRPr="006671FA">
        <w:rPr>
          <w:rFonts w:asciiTheme="minorHAnsi" w:hAnsiTheme="minorHAnsi" w:cstheme="minorHAnsi"/>
          <w:lang w:val="es-ES_tradnl"/>
        </w:rPr>
        <w:lastRenderedPageBreak/>
        <w:t>Índice de figuras</w:t>
      </w:r>
      <w:bookmarkEnd w:id="7"/>
      <w:bookmarkEnd w:id="8"/>
    </w:p>
    <w:p w14:paraId="28B99BB8" w14:textId="77777777" w:rsidR="00894DE2" w:rsidRPr="006671FA" w:rsidRDefault="00EA12EF">
      <w:pPr>
        <w:pStyle w:val="Tabladeilustraciones"/>
        <w:tabs>
          <w:tab w:val="right" w:leader="dot" w:pos="9350"/>
        </w:tabs>
        <w:rPr>
          <w:rFonts w:eastAsiaTheme="minorEastAsia" w:cstheme="minorHAnsi"/>
          <w:noProof/>
          <w:szCs w:val="22"/>
          <w:lang w:val="es-ES" w:eastAsia="es-ES"/>
        </w:rPr>
      </w:pPr>
      <w:r w:rsidRPr="006671FA">
        <w:rPr>
          <w:rFonts w:cstheme="minorHAnsi"/>
        </w:rPr>
        <w:fldChar w:fldCharType="begin"/>
      </w:r>
      <w:r w:rsidRPr="006671FA">
        <w:rPr>
          <w:rFonts w:cstheme="minorHAnsi"/>
        </w:rPr>
        <w:instrText xml:space="preserve"> TOC \h \z \c "Figura" </w:instrText>
      </w:r>
      <w:r w:rsidRPr="006671FA">
        <w:rPr>
          <w:rFonts w:cstheme="minorHAnsi"/>
        </w:rPr>
        <w:fldChar w:fldCharType="separate"/>
      </w:r>
      <w:hyperlink w:anchor="_Toc11912417" w:history="1">
        <w:r w:rsidR="00894DE2" w:rsidRPr="006671FA">
          <w:rPr>
            <w:rStyle w:val="Hipervnculo"/>
            <w:rFonts w:cstheme="minorHAnsi"/>
            <w:noProof/>
          </w:rPr>
          <w:t>Figura 3</w:t>
        </w:r>
        <w:r w:rsidR="00894DE2" w:rsidRPr="006671FA">
          <w:rPr>
            <w:rStyle w:val="Hipervnculo"/>
            <w:rFonts w:cstheme="minorHAnsi"/>
            <w:noProof/>
          </w:rPr>
          <w:noBreakHyphen/>
          <w:t>1. Ejemplo de figura</w:t>
        </w:r>
        <w:r w:rsidR="00894DE2" w:rsidRPr="006671FA">
          <w:rPr>
            <w:rFonts w:cstheme="minorHAnsi"/>
            <w:noProof/>
            <w:webHidden/>
          </w:rPr>
          <w:tab/>
        </w:r>
        <w:r w:rsidR="00894DE2" w:rsidRPr="006671FA">
          <w:rPr>
            <w:rFonts w:cstheme="minorHAnsi"/>
            <w:noProof/>
            <w:webHidden/>
          </w:rPr>
          <w:fldChar w:fldCharType="begin"/>
        </w:r>
        <w:r w:rsidR="00894DE2" w:rsidRPr="006671FA">
          <w:rPr>
            <w:rFonts w:cstheme="minorHAnsi"/>
            <w:noProof/>
            <w:webHidden/>
          </w:rPr>
          <w:instrText xml:space="preserve"> PAGEREF _Toc11912417 \h </w:instrText>
        </w:r>
        <w:r w:rsidR="00894DE2" w:rsidRPr="006671FA">
          <w:rPr>
            <w:rFonts w:cstheme="minorHAnsi"/>
            <w:noProof/>
            <w:webHidden/>
          </w:rPr>
        </w:r>
        <w:r w:rsidR="00894DE2" w:rsidRPr="006671FA">
          <w:rPr>
            <w:rFonts w:cstheme="minorHAnsi"/>
            <w:noProof/>
            <w:webHidden/>
          </w:rPr>
          <w:fldChar w:fldCharType="separate"/>
        </w:r>
        <w:r w:rsidR="00894DE2" w:rsidRPr="006671FA">
          <w:rPr>
            <w:rFonts w:cstheme="minorHAnsi"/>
            <w:noProof/>
            <w:webHidden/>
          </w:rPr>
          <w:t>6</w:t>
        </w:r>
        <w:r w:rsidR="00894DE2" w:rsidRPr="006671FA">
          <w:rPr>
            <w:rFonts w:cstheme="minorHAnsi"/>
            <w:noProof/>
            <w:webHidden/>
          </w:rPr>
          <w:fldChar w:fldCharType="end"/>
        </w:r>
      </w:hyperlink>
    </w:p>
    <w:p w14:paraId="7397BCE1" w14:textId="77777777" w:rsidR="00AA1A72" w:rsidRPr="006671FA" w:rsidRDefault="00EA12EF" w:rsidP="00AA1A72">
      <w:pPr>
        <w:pStyle w:val="Textoindependiente"/>
        <w:rPr>
          <w:rFonts w:cstheme="minorHAnsi"/>
        </w:rPr>
      </w:pPr>
      <w:r w:rsidRPr="006671FA">
        <w:rPr>
          <w:rFonts w:cstheme="minorHAnsi"/>
        </w:rPr>
        <w:fldChar w:fldCharType="end"/>
      </w:r>
    </w:p>
    <w:p w14:paraId="1F35F82E" w14:textId="77777777" w:rsidR="00913EDA" w:rsidRPr="006671FA" w:rsidRDefault="00913EDA" w:rsidP="00AA1A72">
      <w:pPr>
        <w:pStyle w:val="PageHeading"/>
        <w:rPr>
          <w:rFonts w:asciiTheme="minorHAnsi" w:hAnsiTheme="minorHAnsi" w:cstheme="minorHAnsi"/>
          <w:lang w:val="es-ES_tradnl"/>
        </w:rPr>
        <w:sectPr w:rsidR="00913EDA" w:rsidRPr="006671FA" w:rsidSect="00310A7E">
          <w:pgSz w:w="12240" w:h="15840"/>
          <w:pgMar w:top="1440" w:right="1440" w:bottom="1440" w:left="1440" w:header="720" w:footer="720" w:gutter="0"/>
          <w:pgNumType w:fmt="upperRoman"/>
          <w:cols w:space="720"/>
          <w:docGrid w:linePitch="360"/>
        </w:sectPr>
      </w:pPr>
      <w:bookmarkStart w:id="9" w:name="IndiceTablas"/>
    </w:p>
    <w:p w14:paraId="747EBAAC" w14:textId="77777777" w:rsidR="00AA1A72" w:rsidRPr="006671FA" w:rsidRDefault="00AA1A72" w:rsidP="00AA1A72">
      <w:pPr>
        <w:pStyle w:val="PageHeading"/>
        <w:rPr>
          <w:rFonts w:asciiTheme="minorHAnsi" w:hAnsiTheme="minorHAnsi" w:cstheme="minorHAnsi"/>
          <w:u w:val="single"/>
          <w:lang w:val="es-ES_tradnl"/>
        </w:rPr>
      </w:pPr>
      <w:bookmarkStart w:id="10" w:name="_Toc229572262"/>
      <w:r w:rsidRPr="006671FA">
        <w:rPr>
          <w:rFonts w:asciiTheme="minorHAnsi" w:hAnsiTheme="minorHAnsi" w:cstheme="minorHAnsi"/>
          <w:lang w:val="es-ES_tradnl"/>
        </w:rPr>
        <w:lastRenderedPageBreak/>
        <w:t>Índice de tablas</w:t>
      </w:r>
      <w:bookmarkEnd w:id="9"/>
      <w:bookmarkEnd w:id="10"/>
    </w:p>
    <w:p w14:paraId="3CCC6101" w14:textId="77777777" w:rsidR="00894DE2" w:rsidRPr="006671FA" w:rsidRDefault="00EA12EF">
      <w:pPr>
        <w:pStyle w:val="Tabladeilustraciones"/>
        <w:tabs>
          <w:tab w:val="right" w:leader="dot" w:pos="9350"/>
        </w:tabs>
        <w:rPr>
          <w:rFonts w:eastAsiaTheme="minorEastAsia" w:cstheme="minorHAnsi"/>
          <w:noProof/>
          <w:szCs w:val="22"/>
          <w:lang w:val="es-ES" w:eastAsia="es-ES"/>
        </w:rPr>
      </w:pPr>
      <w:r w:rsidRPr="006671FA">
        <w:rPr>
          <w:rFonts w:cstheme="minorHAnsi"/>
        </w:rPr>
        <w:fldChar w:fldCharType="begin"/>
      </w:r>
      <w:r w:rsidRPr="006671FA">
        <w:rPr>
          <w:rFonts w:cstheme="minorHAnsi"/>
        </w:rPr>
        <w:instrText xml:space="preserve"> TOC \h \z \c "Tabla" </w:instrText>
      </w:r>
      <w:r w:rsidRPr="006671FA">
        <w:rPr>
          <w:rFonts w:cstheme="minorHAnsi"/>
        </w:rPr>
        <w:fldChar w:fldCharType="separate"/>
      </w:r>
      <w:hyperlink w:anchor="_Toc11912424" w:history="1">
        <w:r w:rsidR="00894DE2" w:rsidRPr="006671FA">
          <w:rPr>
            <w:rStyle w:val="Hipervnculo"/>
            <w:rFonts w:cstheme="minorHAnsi"/>
            <w:noProof/>
          </w:rPr>
          <w:t>Tabla 3</w:t>
        </w:r>
        <w:r w:rsidR="00894DE2" w:rsidRPr="006671FA">
          <w:rPr>
            <w:rStyle w:val="Hipervnculo"/>
            <w:rFonts w:cstheme="minorHAnsi"/>
            <w:noProof/>
          </w:rPr>
          <w:noBreakHyphen/>
          <w:t>1. Ejemplo de tabla</w:t>
        </w:r>
        <w:r w:rsidR="00894DE2" w:rsidRPr="006671FA">
          <w:rPr>
            <w:rFonts w:cstheme="minorHAnsi"/>
            <w:noProof/>
            <w:webHidden/>
          </w:rPr>
          <w:tab/>
        </w:r>
        <w:r w:rsidR="00894DE2" w:rsidRPr="006671FA">
          <w:rPr>
            <w:rFonts w:cstheme="minorHAnsi"/>
            <w:noProof/>
            <w:webHidden/>
          </w:rPr>
          <w:fldChar w:fldCharType="begin"/>
        </w:r>
        <w:r w:rsidR="00894DE2" w:rsidRPr="006671FA">
          <w:rPr>
            <w:rFonts w:cstheme="minorHAnsi"/>
            <w:noProof/>
            <w:webHidden/>
          </w:rPr>
          <w:instrText xml:space="preserve"> PAGEREF _Toc11912424 \h </w:instrText>
        </w:r>
        <w:r w:rsidR="00894DE2" w:rsidRPr="006671FA">
          <w:rPr>
            <w:rFonts w:cstheme="minorHAnsi"/>
            <w:noProof/>
            <w:webHidden/>
          </w:rPr>
        </w:r>
        <w:r w:rsidR="00894DE2" w:rsidRPr="006671FA">
          <w:rPr>
            <w:rFonts w:cstheme="minorHAnsi"/>
            <w:noProof/>
            <w:webHidden/>
          </w:rPr>
          <w:fldChar w:fldCharType="separate"/>
        </w:r>
        <w:r w:rsidR="00894DE2" w:rsidRPr="006671FA">
          <w:rPr>
            <w:rFonts w:cstheme="minorHAnsi"/>
            <w:noProof/>
            <w:webHidden/>
          </w:rPr>
          <w:t>6</w:t>
        </w:r>
        <w:r w:rsidR="00894DE2" w:rsidRPr="006671FA">
          <w:rPr>
            <w:rFonts w:cstheme="minorHAnsi"/>
            <w:noProof/>
            <w:webHidden/>
          </w:rPr>
          <w:fldChar w:fldCharType="end"/>
        </w:r>
      </w:hyperlink>
    </w:p>
    <w:p w14:paraId="07B23B68" w14:textId="77777777" w:rsidR="00AA1A72" w:rsidRPr="006671FA" w:rsidRDefault="00EA12EF" w:rsidP="00AA1A72">
      <w:pPr>
        <w:pStyle w:val="Textoindependiente"/>
        <w:rPr>
          <w:rFonts w:cstheme="minorHAnsi"/>
        </w:rPr>
      </w:pPr>
      <w:r w:rsidRPr="006671FA">
        <w:rPr>
          <w:rFonts w:cstheme="minorHAnsi"/>
        </w:rPr>
        <w:fldChar w:fldCharType="end"/>
      </w:r>
    </w:p>
    <w:p w14:paraId="5B9DC8AA" w14:textId="77777777" w:rsidR="00AA1A72" w:rsidRPr="006671FA" w:rsidRDefault="00AA1A72" w:rsidP="00AA1A72">
      <w:pPr>
        <w:pStyle w:val="Textoindependiente"/>
        <w:rPr>
          <w:rFonts w:cstheme="minorHAnsi"/>
        </w:rPr>
        <w:sectPr w:rsidR="00AA1A72" w:rsidRPr="006671FA" w:rsidSect="00913EDA">
          <w:type w:val="oddPage"/>
          <w:pgSz w:w="12240" w:h="15840"/>
          <w:pgMar w:top="1440" w:right="1440" w:bottom="1440" w:left="1440" w:header="720" w:footer="720" w:gutter="0"/>
          <w:pgNumType w:fmt="upperRoman"/>
          <w:cols w:space="720"/>
          <w:docGrid w:linePitch="360"/>
        </w:sectPr>
      </w:pPr>
    </w:p>
    <w:p w14:paraId="4F281153" w14:textId="77777777" w:rsidR="008D7AEC" w:rsidRDefault="00000000">
      <w:pPr>
        <w:pStyle w:val="Ttulo1"/>
      </w:pPr>
      <w:r>
        <w:lastRenderedPageBreak/>
        <w:t>INTRODUCCIÓN</w:t>
      </w:r>
    </w:p>
    <w:p w14:paraId="4F2D88C0" w14:textId="77777777" w:rsidR="008D7AEC" w:rsidRDefault="00000000">
      <w:pPr>
        <w:pStyle w:val="Ttulo2"/>
      </w:pPr>
      <w:r>
        <w:t>Motivación</w:t>
      </w:r>
    </w:p>
    <w:p w14:paraId="20E4014C" w14:textId="77777777" w:rsidR="008D7AEC" w:rsidRDefault="00000000">
      <w:pPr>
        <w:pStyle w:val="Textoindependiente"/>
      </w:pPr>
      <w:r>
        <w:t>Predecir el comportamiento de los mercados financieros es uno de los problemas más estudiados y, al mismo tiempo, más difíciles de resolver en el ámbito de las finanzas cuantitativas. Los precios de los activos están influidos por un número enorme de factores: condiciones económicas, decisiones de política monetaria, resultados empresariales, eventos geopolíticos y, en ocasiones, simplemente por la psicología colectiva de los inversores. Muchos de estos factores son difíciles de medir de forma directa, lo que hace que cualquier modelo de predicción se enfrente a una incertidumbre inherente.</w:t>
      </w:r>
    </w:p>
    <w:p w14:paraId="66128864" w14:textId="77777777" w:rsidR="008D7AEC" w:rsidRDefault="00000000">
      <w:pPr>
        <w:pStyle w:val="Textoindependiente"/>
      </w:pPr>
      <w:r>
        <w:t>Los retornos financieros son especialmente difíciles de predecir porque su media diaria es muy cercana a cero, su varianza cambia con el tiempo y presentan muy poca autocorrelación lineal. Esto significa que el hecho de que un activo haya subido o bajado ayer aporta muy poca información sobre lo que hará mañana. Esta característica es coherente con la hipótesis de los mercados eficientes en su forma débil [CITAR: Fama, 1970], que sostiene que los precios reflejan en todo momento la información disponible en los precios pasados. Sin embargo, la aparición de grandes volúmenes de datos y técnicas computacionales avanzadas ha renovado el interés en este campo, y la evidencia empírica no es del todo concluyente.</w:t>
      </w:r>
    </w:p>
    <w:p w14:paraId="70073E9D" w14:textId="77777777" w:rsidR="008D7AEC" w:rsidRDefault="00000000">
      <w:pPr>
        <w:pStyle w:val="Textoindependiente"/>
      </w:pPr>
      <w:r>
        <w:t>En este contexto, este trabajo propone estudiar si es posible extraer señal predictiva de los retornos de un conjunto amplio de ETFs (Exchange Traded Funds) utilizando dos enfoques complementarios: modelos de series temporales y modelos de aprendizaje automático. Pero el trabajo no se detiene en la predicción. El objetivo final es comprobar si esas predicciones pueden traducirse en mejores decisiones de inversión, aplicándolas dentro de un modelo de optimización de carteras basado en la teoría de Markowitz [CITAR: Markowitz, 1952].</w:t>
      </w:r>
    </w:p>
    <w:p w14:paraId="60FA0884" w14:textId="77777777" w:rsidR="008D7AEC" w:rsidRDefault="00000000">
      <w:pPr>
        <w:pStyle w:val="Textoindependiente"/>
      </w:pPr>
      <w:r>
        <w:t>La elección de ETFs como universo de inversión responde a varias razones. Un ETF es un fondo que agrupa muchos activos y cotiza en bolsa como una acción. A diferencia de los títulos individuales, un ETF diversifica de forma automática el riesgo propio de una empresa concreta y refleja el comportamiento de un segmento completo del mercado. Esta estabilidad relativa facilita la modelización y hace que los resultados sean más representativos. Además, los ETFs cubren prácticamente cualquier tipo de activo: renta variable, sectores económicos, mercados internacionales, renta fija y materias primas, lo que permite construir carteras verdaderamente diversificadas.</w:t>
      </w:r>
    </w:p>
    <w:p w14:paraId="732596FA" w14:textId="77777777" w:rsidR="008D7AEC" w:rsidRDefault="00000000">
      <w:pPr>
        <w:pStyle w:val="Textoindependiente"/>
      </w:pPr>
      <w:r>
        <w:lastRenderedPageBreak/>
        <w:t>La comparación entre series temporales y aprendizaje automático tiene también una motivación clara. Los modelos de series temporales como ARIMA tienen décadas de uso en finanzas y ofrecen una estructura interpretable y bien fundamentada teóricamente. Los modelos de machine learning pueden capturar relaciones más complejas entre variables, pero exigen más datos y son más difíciles de interpretar. Estudiar ambos enfoques de forma sistemática permite entender en qué situaciones cada familia aporta más valor.</w:t>
      </w:r>
    </w:p>
    <w:p w14:paraId="041DEBA9" w14:textId="77777777" w:rsidR="008D7AEC" w:rsidRDefault="00000000">
      <w:pPr>
        <w:pStyle w:val="Textoindependiente"/>
      </w:pPr>
      <w:r>
        <w:t>Finalmente, el hecho de que el trabajo no termine en la predicción sino que aplique sus resultados al modelo de Markowitz es lo que le da coherencia completa. Una predicción estadísticamente precisa no tiene por sí sola valor práctico si no se traduce en mejores decisiones. La optimización de carteras es el mecanismo que conecta la predicción con la inversión real, y el backtest semanal permite evaluar ese impacto de forma honesta y controlada.</w:t>
      </w:r>
    </w:p>
    <w:p w14:paraId="0AE6692C" w14:textId="77777777" w:rsidR="008D7AEC" w:rsidRDefault="00000000">
      <w:pPr>
        <w:pStyle w:val="Ttulo2"/>
      </w:pPr>
      <w:r>
        <w:t>Objetivos</w:t>
      </w:r>
    </w:p>
    <w:p w14:paraId="445D67FE" w14:textId="77777777" w:rsidR="008D7AEC" w:rsidRDefault="00000000">
      <w:pPr>
        <w:pStyle w:val="Textoindependiente"/>
      </w:pPr>
      <w:r>
        <w:t>El objetivo principal de este trabajo es analizar si la predicción de retornos de ETFs mediante modelos de series temporales y machine learning puede mejorar la construcción de una cartera de inversión basada en la optimización de Markowitz.</w:t>
      </w:r>
    </w:p>
    <w:p w14:paraId="4E6B5F27" w14:textId="77777777" w:rsidR="008D7AEC" w:rsidRDefault="00000000">
      <w:pPr>
        <w:pStyle w:val="Textoindependiente"/>
      </w:pPr>
      <w:r>
        <w:t>Para alcanzar este objetivo se definen los siguientes objetivos específicos:</w:t>
      </w:r>
    </w:p>
    <w:p w14:paraId="082E39E2" w14:textId="77777777" w:rsidR="008D7AEC" w:rsidRDefault="00000000">
      <w:pPr>
        <w:pStyle w:val="Listaconvietas"/>
      </w:pPr>
      <w:r>
        <w:t>Descargar y preprocesar datos históricos de un conjunto amplio de ETFs agrupados en seis categorías de activos.</w:t>
      </w:r>
    </w:p>
    <w:p w14:paraId="706F36FD" w14:textId="77777777" w:rsidR="008D7AEC" w:rsidRDefault="00000000">
      <w:pPr>
        <w:pStyle w:val="Listaconvietas"/>
      </w:pPr>
      <w:r>
        <w:t>Construir y evaluar modelos ARIMA para la predicción de retornos semanales y diarios de cada ETF.</w:t>
      </w:r>
    </w:p>
    <w:p w14:paraId="759D8856" w14:textId="77777777" w:rsidR="008D7AEC" w:rsidRDefault="00000000">
      <w:pPr>
        <w:pStyle w:val="Listaconvietas"/>
      </w:pPr>
      <w:r>
        <w:t>Construir y evaluar modelos de aprendizaje automático con distintas configuraciones de variables y retardos temporales para los mismos horizontes de predicción.</w:t>
      </w:r>
    </w:p>
    <w:p w14:paraId="378431F8" w14:textId="77777777" w:rsidR="008D7AEC" w:rsidRDefault="00000000">
      <w:pPr>
        <w:pStyle w:val="Listaconvietas"/>
      </w:pPr>
      <w:r>
        <w:t>Comparar ambos enfoques utilizando métricas de error (RMSE y MAE) y benchmarks de referencia.</w:t>
      </w:r>
    </w:p>
    <w:p w14:paraId="657DD221" w14:textId="77777777" w:rsidR="008D7AEC" w:rsidRDefault="00000000">
      <w:pPr>
        <w:pStyle w:val="Listaconvietas"/>
      </w:pPr>
      <w:r>
        <w:t>Seleccionar el modelo con mayor capacidad predictiva para su uso como estimador de rentabilidades esperadas en Markowitz.</w:t>
      </w:r>
    </w:p>
    <w:p w14:paraId="26F3306E" w14:textId="77777777" w:rsidR="008D7AEC" w:rsidRDefault="00000000">
      <w:pPr>
        <w:pStyle w:val="Listaconvietas"/>
      </w:pPr>
      <w:r>
        <w:t>Diseñar e implementar un backtest semanal con tres estrategias de Markowitz que difieran únicamente en la fuente de estimación de rentabilidades esperadas.</w:t>
      </w:r>
    </w:p>
    <w:p w14:paraId="5A95A9C7" w14:textId="77777777" w:rsidR="008D7AEC" w:rsidRDefault="00000000">
      <w:pPr>
        <w:pStyle w:val="Listaconvietas"/>
      </w:pPr>
      <w:r>
        <w:t>Evaluar el impacto económico de las predicciones comparando las estrategias en términos de rentabilidad, riesgo y ratio de Sharpe.</w:t>
      </w:r>
    </w:p>
    <w:p w14:paraId="3A9F0B83" w14:textId="77777777" w:rsidR="008D7AEC" w:rsidRDefault="00000000">
      <w:pPr>
        <w:pStyle w:val="Ttulo2"/>
      </w:pPr>
      <w:r>
        <w:lastRenderedPageBreak/>
        <w:t>Plan de trabajo</w:t>
      </w:r>
    </w:p>
    <w:p w14:paraId="028980BA" w14:textId="77777777" w:rsidR="008D7AEC" w:rsidRDefault="00000000">
      <w:pPr>
        <w:pStyle w:val="Textoindependiente"/>
      </w:pPr>
      <w:r>
        <w:t>El trabajo se organiza siguiendo un flujo que va desde la obtención de los datos hasta la evaluación económica de las predicciones. En primer lugar se descargan y procesan los datos. A continuación se construyen los datasets preparados para los modelos en frecuencia diaria y semanal. Después se aplican los dos enfoques de modelización, se comparan sus resultados y se selecciona el modelo más adecuado. Por último, ese modelo se integra en un backtest de carteras que permite valorar el impacto real de las predicciones.</w:t>
      </w:r>
    </w:p>
    <w:p w14:paraId="701C14C4" w14:textId="77777777" w:rsidR="008D7AEC" w:rsidRDefault="00000000">
      <w:pPr>
        <w:pStyle w:val="Textoindependiente"/>
      </w:pPr>
      <w:r>
        <w:t>La estructura de la memoria refleja este orden. El capítulo de datos describe el universo de ETFs y el preprocesado. El capítulo de metodología explica los modelos utilizados. El capítulo de resultados presenta y discute los hallazgos. El capítulo de conclusiones recoge las lecciones aprendidas y señala posibles líneas de trabajo futuro.</w:t>
      </w:r>
    </w:p>
    <w:p w14:paraId="0055A210" w14:textId="77777777" w:rsidR="008D7AEC" w:rsidRDefault="00000000">
      <w:pPr>
        <w:pStyle w:val="Textoindependiente"/>
      </w:pPr>
      <w:r>
        <w:rPr>
          <w:b/>
          <w:color w:val="C00000"/>
        </w:rPr>
        <w:t>[TODO: insertar figura con el diagrama de flujo del proyecto — Figura 1-1]</w:t>
      </w:r>
    </w:p>
    <w:p w14:paraId="7036F7C8" w14:textId="77777777" w:rsidR="008D7AEC" w:rsidRDefault="00000000">
      <w:r>
        <w:br w:type="page"/>
      </w:r>
    </w:p>
    <w:p w14:paraId="07CCA7CD" w14:textId="77777777" w:rsidR="008D7AEC" w:rsidRDefault="00000000">
      <w:pPr>
        <w:pStyle w:val="Ttulo1"/>
      </w:pPr>
      <w:r>
        <w:lastRenderedPageBreak/>
        <w:t>ESTADO DE LA CUESTIÓN</w:t>
      </w:r>
    </w:p>
    <w:p w14:paraId="514E13CD" w14:textId="77777777" w:rsidR="008D7AEC" w:rsidRDefault="00000000">
      <w:pPr>
        <w:pStyle w:val="Ttulo2"/>
      </w:pPr>
      <w:r>
        <w:t>Predicción de retornos financieros</w:t>
      </w:r>
    </w:p>
    <w:p w14:paraId="3B5A7F62" w14:textId="77777777" w:rsidR="008D7AEC" w:rsidRDefault="00000000">
      <w:pPr>
        <w:pStyle w:val="Textoindependiente"/>
      </w:pPr>
      <w:r>
        <w:t>La predicción de retornos financieros ha sido objeto de investigación durante décadas. La hipótesis de los mercados eficientes, formulada por Fama [CITAR: Fama, 1970], sostiene que los precios de los activos reflejan en todo momento toda la información disponible. En su forma débil, implica que los retornos pasados no contienen información útil para predecir los futuros. Sin embargo, la evidencia empírica no es del todo concluyente: estudios posteriores han documentado anomalías como el efecto momentum [CITAR: Jegadeesh y Titman, 1993] o la reversión a la media [CITAR: DeBondt y Thaler, 1985].</w:t>
      </w:r>
    </w:p>
    <w:p w14:paraId="19D59943" w14:textId="77777777" w:rsidR="008D7AEC" w:rsidRDefault="00000000">
      <w:pPr>
        <w:pStyle w:val="Textoindependiente"/>
      </w:pPr>
      <w:r>
        <w:t>En este trabajo se adopta una postura empírica: no se parte de la hipótesis de que los retornos son predecibles, sino que se estudia si distintos modelos pueden extraer señal y si esa señal tiene valor económico. Como se mostrará en los resultados, la capacidad predictiva es modesta, lo que resulta coherente con la eficiencia de los mercados. No obstante, incluso una pequeña mejora en la estimación de rentabilidades puede ser relevante cuando se aplica sistemáticamente en una estrategia de inversión.</w:t>
      </w:r>
    </w:p>
    <w:p w14:paraId="32655DD5" w14:textId="77777777" w:rsidR="008D7AEC" w:rsidRDefault="00000000">
      <w:pPr>
        <w:pStyle w:val="Ttulo2"/>
      </w:pPr>
      <w:r>
        <w:t>ETFs como universo de inversión</w:t>
      </w:r>
    </w:p>
    <w:p w14:paraId="75CD7A95" w14:textId="77777777" w:rsidR="008D7AEC" w:rsidRDefault="00000000">
      <w:pPr>
        <w:pStyle w:val="Textoindependiente"/>
      </w:pPr>
      <w:r>
        <w:t>Los ETFs (Exchange Traded Funds) son fondos de inversión que replican el comportamiento de un índice, sector, región geográfica u otro activo subyacente y cotizan en bolsa de forma continua [CITAR: Gastineau, 2002]. Desde su aparición en los años noventa, han experimentado un crecimiento exponencial, convirtiéndose en instrumentos esenciales en la gestión de carteras cuantitativa.</w:t>
      </w:r>
    </w:p>
    <w:p w14:paraId="66E4ADE6" w14:textId="77777777" w:rsidR="008D7AEC" w:rsidRDefault="00000000">
      <w:pPr>
        <w:pStyle w:val="Textoindependiente"/>
      </w:pPr>
      <w:r>
        <w:t>Para los propósitos de este trabajo, los ETFs presentan varias ventajas sobre las acciones individuales. Su comportamiento refleja el de un segmento completo del mercado, lo que reduce el ruido idiosincrático y facilita la modelización estadística. Además, cubren una amplia variedad de clases de activos, lo que permite construir carteras diversificadas con un número manejable de instrumentos.</w:t>
      </w:r>
    </w:p>
    <w:p w14:paraId="6DF02F7D" w14:textId="77777777" w:rsidR="008D7AEC" w:rsidRDefault="00000000">
      <w:pPr>
        <w:pStyle w:val="Ttulo2"/>
      </w:pPr>
      <w:r>
        <w:t>Modelos de series temporales</w:t>
      </w:r>
    </w:p>
    <w:p w14:paraId="325AAD92" w14:textId="77777777" w:rsidR="008D7AEC" w:rsidRDefault="00000000">
      <w:pPr>
        <w:pStyle w:val="Textoindependiente"/>
      </w:pPr>
      <w:r>
        <w:t>Los modelos ARIMA (Autoregressive Integrated Moving Average) fueron introducidos por Box y Jenkins [CITAR: Box, Jenkins y Reinsel, 1994] y representan uno de los enfoques clásicos para la modelización de series temporales. Describen una serie como función de sus propios valores pasados (componente AR) y de los errores de predicción pasados (componente MA). La componente de integración (I) permite trabajar con series no estacionarias.</w:t>
      </w:r>
    </w:p>
    <w:p w14:paraId="5BC187E3" w14:textId="77777777" w:rsidR="008D7AEC" w:rsidRDefault="00000000">
      <w:pPr>
        <w:pStyle w:val="Textoindependiente"/>
      </w:pPr>
      <w:r>
        <w:lastRenderedPageBreak/>
        <w:t>Los modelos ARIMA son interpretables, están bien fundamentados teóricamente y exigen pocas observaciones para ser estimados. Su principal limitación es que trabajan con una única serie a la vez y asumen relaciones lineales. En el contexto de los retornos financieros, la componente MA resulta especialmente relevante porque permite al modelo capturar indirectamente el efecto de variables externas no observadas, como noticias o eventos macroeconómicos, a través de los errores de predicción pasados. Esta propiedad, como se argumentará en la metodología, justifica el uso del criterio AIC para la selección del modelo.</w:t>
      </w:r>
    </w:p>
    <w:p w14:paraId="2A87051B" w14:textId="77777777" w:rsidR="008D7AEC" w:rsidRDefault="00000000">
      <w:pPr>
        <w:pStyle w:val="Ttulo2"/>
      </w:pPr>
      <w:r>
        <w:t>Modelos de machine learning en finanzas</w:t>
      </w:r>
    </w:p>
    <w:p w14:paraId="18DB9708" w14:textId="77777777" w:rsidR="008D7AEC" w:rsidRDefault="00000000">
      <w:pPr>
        <w:pStyle w:val="Textoindependiente"/>
      </w:pPr>
      <w:r>
        <w:t>El uso de técnicas de aprendizaje automático en la predicción financiera ha crecido mucho en los últimos años. Modelos como Random Forest [CITAR: Breiman, 2001], Gradient Boosting [CITAR: Friedman, 2001] y Ridge [CITAR: Hoerl y Kennard, 1970] han demostrado capacidad para capturar relaciones no lineales y gestionar datasets de alta dimensionalidad. Sin embargo, aplicarlos a datos financieros presenta retos específicos: las series son ruidosas, tienen baja relación señal-ruido y la validación debe respetar el orden temporal para evitar el look-ahead bias [CITAR: Lopez de Prado, 2018].</w:t>
      </w:r>
    </w:p>
    <w:p w14:paraId="3B3DC68D" w14:textId="77777777" w:rsidR="008D7AEC" w:rsidRDefault="00000000">
      <w:pPr>
        <w:pStyle w:val="Textoindependiente"/>
      </w:pPr>
      <w:r>
        <w:t>Un aspecto clave en el diseño del experimento es el uso de validación walk-forward en lugar de validación cruzada estándar. La validación cruzada aleatoria mezcla observaciones de distintos momentos temporales, lo que en series financieras introduce información futura en el entrenamiento y produce estimaciones artificialmente optimistas del rendimiento real.</w:t>
      </w:r>
    </w:p>
    <w:p w14:paraId="4BF6F559" w14:textId="77777777" w:rsidR="008D7AEC" w:rsidRDefault="00000000">
      <w:pPr>
        <w:pStyle w:val="Ttulo2"/>
      </w:pPr>
      <w:r>
        <w:t>Optimización de carteras y modelo de Markowitz</w:t>
      </w:r>
    </w:p>
    <w:p w14:paraId="5C2F4746" w14:textId="77777777" w:rsidR="008D7AEC" w:rsidRDefault="00000000">
      <w:pPr>
        <w:pStyle w:val="Textoindependiente"/>
      </w:pPr>
      <w:r>
        <w:t>La teoría moderna de carteras, formulada por Markowitz en 1952 [CITAR: Markowitz, 1952], establece que la cartera óptima para un inversor racional es aquella que, dado un nivel de rentabilidad esperada, minimiza el riesgo medido como la varianza. Este principio implica que combinar activos con baja correlación entre sí reduce el riesgo total de la cartera, lo que constituye el beneficio de la diversificación.</w:t>
      </w:r>
    </w:p>
    <w:p w14:paraId="1CCE3082" w14:textId="77777777" w:rsidR="008D7AEC" w:rsidRDefault="00000000">
      <w:pPr>
        <w:pStyle w:val="Textoindependiente"/>
      </w:pPr>
      <w:r>
        <w:t xml:space="preserve">El modelo de Markowitz requiere como inputs la rentabilidad esperada de cada activo y la matriz de covarianzas. La estimación de la rentabilidad esperada es el input más difícil de obtener con precisión. Una de las líneas de investigación más activas consiste en utilizar modelos predictivos para estimar este parámetro de forma más informada que una simple media histórica. Este trabajo se inscribe precisamente </w:t>
      </w:r>
      <w:r>
        <w:lastRenderedPageBreak/>
        <w:t>en esa línea: las predicciones ARIMA semanales sirven de input al optimizador, y el backtest permite evaluar si esa mejora predictiva se traduce en una mejor cartera.</w:t>
      </w:r>
    </w:p>
    <w:p w14:paraId="2D27AA2B" w14:textId="77777777" w:rsidR="008D7AEC" w:rsidRDefault="00000000">
      <w:r>
        <w:br w:type="page"/>
      </w:r>
    </w:p>
    <w:p w14:paraId="65B7FD46" w14:textId="77777777" w:rsidR="008D7AEC" w:rsidRDefault="00000000">
      <w:pPr>
        <w:pStyle w:val="Ttulo1"/>
      </w:pPr>
      <w:r>
        <w:lastRenderedPageBreak/>
        <w:t>DATOS Y PREPROCESADO</w:t>
      </w:r>
    </w:p>
    <w:p w14:paraId="5E7C5579" w14:textId="77777777" w:rsidR="008D7AEC" w:rsidRDefault="00000000">
      <w:pPr>
        <w:pStyle w:val="Ttulo2"/>
      </w:pPr>
      <w:r>
        <w:t>Descripción del universo de ETFs</w:t>
      </w:r>
    </w:p>
    <w:p w14:paraId="62E7E423" w14:textId="77777777" w:rsidR="008D7AEC" w:rsidRDefault="00000000">
      <w:pPr>
        <w:pStyle w:val="Textoindependiente"/>
      </w:pPr>
      <w:r>
        <w:t>El universo de activos analizados está formado por 63 ETFs seleccionados para representar el mercado financiero global de forma amplia. Un ETF (Exchange Traded Fund) es un fondo que agrupa un conjunto de activos y cotiza en bolsa como una acción individual. Permite invertir en muchos activos a la vez con una única operación, a bajo coste y con alta liquidez.</w:t>
      </w:r>
    </w:p>
    <w:p w14:paraId="7528031B" w14:textId="77777777" w:rsidR="008D7AEC" w:rsidRDefault="00000000">
      <w:pPr>
        <w:pStyle w:val="Textoindependiente"/>
      </w:pPr>
      <w:r>
        <w:t>Se trabaja con ETFs en lugar de acciones individuales porque el precio de una acción individual está muy influido por noticias y eventos propios de la empresa, lo que introduce mucho ruido idiosincrático. Un ETF refleja el comportamiento conjunto de un segmento del mercado, lo que hace sus series más estables y representativas, facilitando la modelización estadística. Los 63 ETFs se agrupan en seis categorías:</w:t>
      </w:r>
    </w:p>
    <w:p w14:paraId="1B0C0E55" w14:textId="77777777" w:rsidR="008D7AEC" w:rsidRDefault="00000000">
      <w:pPr>
        <w:pStyle w:val="Ttulo3"/>
      </w:pPr>
      <w:r>
        <w:t>Mercado estadounidense (Core US)</w:t>
      </w:r>
    </w:p>
    <w:p w14:paraId="388E9F88" w14:textId="77777777" w:rsidR="008D7AEC" w:rsidRDefault="00000000">
      <w:pPr>
        <w:pStyle w:val="Textoindependiente"/>
      </w:pPr>
      <w:r>
        <w:t>ETFs que replican los principales índices bursátiles de EE. UU.: SPY, IVV, VOO, QQQ, VTI, ITOT, DIA, IWM, IJR y MDY. Cubren desde grandes empresas del S&amp;P 500 y el Nasdaq-100 hasta pequeñas y medianas compañías. Son los activos más líquidos del universo.</w:t>
      </w:r>
    </w:p>
    <w:p w14:paraId="528AF747" w14:textId="77777777" w:rsidR="008D7AEC" w:rsidRDefault="00000000">
      <w:pPr>
        <w:pStyle w:val="Ttulo3"/>
      </w:pPr>
      <w:r>
        <w:t>Factores y estilos</w:t>
      </w:r>
    </w:p>
    <w:p w14:paraId="383D3496" w14:textId="77777777" w:rsidR="008D7AEC" w:rsidRDefault="00000000">
      <w:pPr>
        <w:pStyle w:val="Textoindependiente"/>
      </w:pPr>
      <w:r>
        <w:t>ETFs que seleccionan empresas según características concretas: crecimiento (VUG, IWF), valor (VTV, IWD, VLUE), dividendos (SCHD, VIG, DVY), momentum (MTUM), calidad (QUAL) y baja volatilidad (USMV). No replican el mercado completo, sino una estrategia de selección específica.</w:t>
      </w:r>
    </w:p>
    <w:p w14:paraId="1F173782" w14:textId="77777777" w:rsidR="008D7AEC" w:rsidRDefault="00000000">
      <w:pPr>
        <w:pStyle w:val="Ttulo3"/>
      </w:pPr>
      <w:r>
        <w:t>Sectores económicos</w:t>
      </w:r>
    </w:p>
    <w:p w14:paraId="58B947F9" w14:textId="77777777" w:rsidR="008D7AEC" w:rsidRDefault="00000000">
      <w:pPr>
        <w:pStyle w:val="Textoindependiente"/>
      </w:pPr>
      <w:r>
        <w:t>ETFs centrados en sectores concretos: tecnología (XLK), servicios financieros (XLF), salud (XLV), consumo discrecional (XLY), consumo básico (XLP), energía (XLE), industria (XLI), servicios públicos (XLU), materiales (XLB) e inmobiliario (XLRE).</w:t>
      </w:r>
    </w:p>
    <w:p w14:paraId="570AFBD0" w14:textId="77777777" w:rsidR="008D7AEC" w:rsidRDefault="00000000">
      <w:pPr>
        <w:pStyle w:val="Ttulo3"/>
      </w:pPr>
      <w:r>
        <w:lastRenderedPageBreak/>
        <w:t>Mercados internacionales</w:t>
      </w:r>
    </w:p>
    <w:p w14:paraId="5B6B4B07" w14:textId="77777777" w:rsidR="008D7AEC" w:rsidRDefault="00000000">
      <w:pPr>
        <w:pStyle w:val="Textoindependiente"/>
      </w:pPr>
      <w:r>
        <w:t>ETFs que invierten fuera de EE. UU.: mercados desarrollados (VEA, IEFA, EFA, EWG, EWU, EWQ, EWJ), emergentes amplios (VWO, IEMG, EEM) y países concretos: India (INDA), Brasil (EWZ), China (FXI, MCHI), Taiwán (EWT) y Corea del Sur (EWY, descartado posteriormente).</w:t>
      </w:r>
    </w:p>
    <w:p w14:paraId="3E2A3E09" w14:textId="77777777" w:rsidR="008D7AEC" w:rsidRDefault="00000000">
      <w:pPr>
        <w:pStyle w:val="Ttulo3"/>
      </w:pPr>
      <w:r>
        <w:t>Renta fija</w:t>
      </w:r>
    </w:p>
    <w:p w14:paraId="759AA7B9" w14:textId="77777777" w:rsidR="008D7AEC" w:rsidRDefault="00000000">
      <w:pPr>
        <w:pStyle w:val="Textoindependiente"/>
      </w:pPr>
      <w:r>
        <w:t>ETFs de deuda: bonos agregados (BND, AGG), bonos del Tesoro a largo plazo (TLT, IEF), bonos ligados a la inflación (TIP), deuda corporativa de alta calidad (LQD) y alto rendimiento (HYG, JNK). También se incluyen ETFs de muy corto plazo (SHY, BIL), aunque estos fueron descartados en el filtrado posterior.</w:t>
      </w:r>
    </w:p>
    <w:p w14:paraId="492156D9" w14:textId="77777777" w:rsidR="008D7AEC" w:rsidRDefault="00000000">
      <w:pPr>
        <w:pStyle w:val="Ttulo3"/>
      </w:pPr>
      <w:r>
        <w:t>Materias primas y activos reales</w:t>
      </w:r>
    </w:p>
    <w:p w14:paraId="1F0D9960" w14:textId="77777777" w:rsidR="008D7AEC" w:rsidRDefault="00000000">
      <w:pPr>
        <w:pStyle w:val="Textoindependiente"/>
      </w:pPr>
      <w:r>
        <w:t>ETFs sobre activos físicos: oro (GLD, IAU), plata (SLV), petróleo crudo (USO) y materias primas amplias (DBC). El oro es uno de los activos de refugio más utilizados en finanzas. GLD e IAU replican el mismo subyacente y fueron tratados por separado en el filtrado.</w:t>
      </w:r>
    </w:p>
    <w:p w14:paraId="67C1C9D8" w14:textId="77777777" w:rsidR="008D7AEC" w:rsidRDefault="00000000">
      <w:pPr>
        <w:pStyle w:val="Ttulo2"/>
      </w:pPr>
      <w:r>
        <w:t>Descarga de datos</w:t>
      </w:r>
    </w:p>
    <w:p w14:paraId="106958BC" w14:textId="77777777" w:rsidR="008D7AEC" w:rsidRDefault="00000000">
      <w:pPr>
        <w:pStyle w:val="Textoindependiente"/>
      </w:pPr>
      <w:r>
        <w:t>Los datos históricos se descargaron mediante la librería yfinance de Python, que permite acceder a los datos de Yahoo Finance de forma gratuita y automatizada. La descarga cubre el período desde el 1 de enero de 2021 hasta aproximadamente el 2 de febrero de 2026, obteniendo 1.276 días de trading para 63 ETFs.</w:t>
      </w:r>
    </w:p>
    <w:p w14:paraId="347DE20A" w14:textId="77777777" w:rsidR="008D7AEC" w:rsidRDefault="00000000">
      <w:pPr>
        <w:pStyle w:val="Textoindependiente"/>
      </w:pPr>
      <w:r>
        <w:t>Para cada ETF y cada día se descargaron dos variables: el precio ajustado de cierre y el volumen negociado. El precio ajustado de cierre incorpora las correcciones por dividendos y splits, lo que garantiza que los precios son comparables a lo largo del tiempo y que los retornos calculados no incluyen saltos artificiales. El volumen refleja cuántas participaciones se compraron y vendieron ese día, y sirve como medida de la liquidez del activo.</w:t>
      </w:r>
    </w:p>
    <w:p w14:paraId="5C5566E2" w14:textId="77777777" w:rsidR="008D7AEC" w:rsidRDefault="00000000">
      <w:pPr>
        <w:pStyle w:val="Textoindependiente"/>
      </w:pPr>
      <w:r>
        <w:t>Se verificó que todos los ETFs presentaban una tasa de valores nulos inferior al 5% y un volumen diario en dólares (precio por volumen) superior a 10 millones de dólares. Los 63 ETFs superaron este umbral de liquidez, por lo que ninguno fue descartado por este motivo.</w:t>
      </w:r>
    </w:p>
    <w:p w14:paraId="5358D05B" w14:textId="77777777" w:rsidR="008D7AEC" w:rsidRDefault="00000000">
      <w:pPr>
        <w:pStyle w:val="Ttulo2"/>
      </w:pPr>
      <w:r>
        <w:t>Variables financieras construidas</w:t>
      </w:r>
    </w:p>
    <w:p w14:paraId="113E0E40" w14:textId="77777777" w:rsidR="008D7AEC" w:rsidRDefault="00000000">
      <w:pPr>
        <w:pStyle w:val="Textoindependiente"/>
      </w:pPr>
      <w:r>
        <w:t>A partir de los datos descargados se construyen varias variables derivadas para cada ETF y fecha.</w:t>
      </w:r>
    </w:p>
    <w:p w14:paraId="14B562E7" w14:textId="77777777" w:rsidR="008D7AEC" w:rsidRDefault="00000000">
      <w:pPr>
        <w:pStyle w:val="Ttulo3"/>
      </w:pPr>
      <w:r>
        <w:lastRenderedPageBreak/>
        <w:t>Retorno logarítmico</w:t>
      </w:r>
    </w:p>
    <w:p w14:paraId="0D9FED7F" w14:textId="77777777" w:rsidR="008D7AEC" w:rsidRDefault="00000000">
      <w:pPr>
        <w:pStyle w:val="Textoindependiente"/>
      </w:pPr>
      <w:r>
        <w:t>La variable principal de este trabajo es el retorno logarítmico diario, calculado como:</w:t>
      </w:r>
    </w:p>
    <w:p w14:paraId="4B66CFBE" w14:textId="77777777" w:rsidR="008D7AEC" w:rsidRDefault="00000000">
      <w:pPr>
        <w:pStyle w:val="Textoindependiente"/>
        <w:jc w:val="center"/>
      </w:pPr>
      <w:r>
        <w:t>r_log(t) = ln[P(t)] - ln[P(t-1)]</w:t>
      </w:r>
    </w:p>
    <w:p w14:paraId="423C851D" w14:textId="77777777" w:rsidR="008D7AEC" w:rsidRDefault="00000000">
      <w:pPr>
        <w:pStyle w:val="Textoindependiente"/>
      </w:pPr>
      <w:r>
        <w:t>donde P(t) es el precio ajustado de cierre en el día t. Se usa el retorno logarítmico en lugar del retorno simple por varias razones. La más importante es su propiedad de aditividad: la suma de los retornos logarítmicos diarios de una semana equivale al retorno logarítmico semanal total, lo que facilita la agregación temporal sin pérdida de información. Además, los retornos logarítmicos presentan propiedades estadísticas más adecuadas para la modelización, incluyendo mayor simetría distribucional.</w:t>
      </w:r>
    </w:p>
    <w:p w14:paraId="26CB8241" w14:textId="77777777" w:rsidR="008D7AEC" w:rsidRDefault="00000000">
      <w:pPr>
        <w:pStyle w:val="Ttulo3"/>
      </w:pPr>
      <w:r>
        <w:t>Cambio logarítmico del volumen</w:t>
      </w:r>
    </w:p>
    <w:p w14:paraId="6850AD7C" w14:textId="77777777" w:rsidR="008D7AEC" w:rsidRDefault="00000000">
      <w:pPr>
        <w:pStyle w:val="Textoindependiente"/>
      </w:pPr>
      <w:r>
        <w:t>En lugar del nivel absoluto de volumen, que puede variar mucho por razones estructurales, se calcula su variación relativa:</w:t>
      </w:r>
    </w:p>
    <w:p w14:paraId="7A1C5EE3" w14:textId="77777777" w:rsidR="008D7AEC" w:rsidRDefault="00000000">
      <w:pPr>
        <w:pStyle w:val="Textoindependiente"/>
        <w:jc w:val="center"/>
      </w:pPr>
      <w:r>
        <w:t>Δvol(t) = ln[Vol(t)] - ln[Vol(t-1)]</w:t>
      </w:r>
    </w:p>
    <w:p w14:paraId="2D71196F" w14:textId="77777777" w:rsidR="008D7AEC" w:rsidRDefault="00000000">
      <w:pPr>
        <w:pStyle w:val="Textoindependiente"/>
      </w:pPr>
      <w:r>
        <w:t>Esta transformación convierte el volumen en una medida de aceleración o desaceleración de la actividad negociadora, más informativa como variable explicativa para los modelos.</w:t>
      </w:r>
    </w:p>
    <w:p w14:paraId="66E9919C" w14:textId="77777777" w:rsidR="008D7AEC" w:rsidRDefault="00000000">
      <w:pPr>
        <w:pStyle w:val="Ttulo3"/>
      </w:pPr>
      <w:r>
        <w:t>Variables temporales</w:t>
      </w:r>
    </w:p>
    <w:p w14:paraId="29840928" w14:textId="77777777" w:rsidR="008D7AEC" w:rsidRDefault="00000000">
      <w:pPr>
        <w:pStyle w:val="Textoindependiente"/>
      </w:pPr>
      <w:r>
        <w:t>Se añaden variables de contexto temporal: el día de la semana (codificado como variables dummy para la frecuencia diaria) y el mes, indicadores de inicio y fin de mes, inicio y fin de trimestre (para la frecuencia semanal). Estas variables permiten que los modelos de aprendizaje automático detecten eventuales efectos estacionales o de calendario en los retornos.</w:t>
      </w:r>
    </w:p>
    <w:p w14:paraId="49600432" w14:textId="77777777" w:rsidR="008D7AEC" w:rsidRDefault="00000000">
      <w:pPr>
        <w:pStyle w:val="Ttulo2"/>
      </w:pPr>
      <w:r>
        <w:t>Construcción del dataset diario</w:t>
      </w:r>
    </w:p>
    <w:p w14:paraId="038DC2A4" w14:textId="77777777" w:rsidR="008D7AEC" w:rsidRDefault="00000000">
      <w:pPr>
        <w:pStyle w:val="Textoindependiente"/>
      </w:pPr>
      <w:r>
        <w:t>El dataset diario contiene una fila por cada día de trading. Cada fila incluye los retornos logarítmicos de los 58 ETFs válidos, los cambios logarítmicos de volumen y variables temporales de día de la semana. La variable objetivo de cada fila es el retorno del día siguiente de cada ETF, obtenida desplazando los retornos una posición hacia adelante.</w:t>
      </w:r>
    </w:p>
    <w:p w14:paraId="7070C433" w14:textId="77777777" w:rsidR="008D7AEC" w:rsidRDefault="00000000">
      <w:pPr>
        <w:pStyle w:val="Textoindependiente"/>
      </w:pPr>
      <w:r>
        <w:t>El dataset sin retardos (df_diario.csv) tiene 1.275 filas y 184 columnas. Se generan también cuatro versiones adicionales con 1 a 4 retardos de los retornos (df_diario_1.csv hasta df_diario_4.csv). La inclusión de retardos permite estudiar si la información de días pasados aporta valor predictivo adicional.</w:t>
      </w:r>
    </w:p>
    <w:p w14:paraId="3123C254" w14:textId="77777777" w:rsidR="008D7AEC" w:rsidRDefault="00000000">
      <w:pPr>
        <w:pStyle w:val="Ttulo2"/>
      </w:pPr>
      <w:r>
        <w:lastRenderedPageBreak/>
        <w:t>Construcción del dataset semanal</w:t>
      </w:r>
    </w:p>
    <w:p w14:paraId="43E2D646" w14:textId="77777777" w:rsidR="008D7AEC" w:rsidRDefault="00000000">
      <w:pPr>
        <w:pStyle w:val="Textoindependiente"/>
      </w:pPr>
      <w:r>
        <w:t>El dataset semanal requiere un paso previo de agregación: los datos diarios se colapsan a nivel de semana utilizando el estándar ISO de numeración de semanas (YYYY-Wnn), que evita problemas al cruzar de año. Para cada semana, el retorno semanal de un ETF es la suma de sus retornos logarítmicos diarios, aprovechando la propiedad aditiva del logaritmo. El volumen semanal se agrega como la media de los cambios logarítmicos de volumen de esa semana.</w:t>
      </w:r>
    </w:p>
    <w:p w14:paraId="70431963" w14:textId="77777777" w:rsidR="008D7AEC" w:rsidRDefault="00000000">
      <w:pPr>
        <w:pStyle w:val="Textoindependiente"/>
      </w:pPr>
      <w:r>
        <w:t>El dataset semanal sin retardos (df_semanal.csv) tiene 264 semanas y 182 columnas, cubriendo desde 2021-W01 hasta 2026-W06. Al igual que en el caso diario, se generan versiones con 1 a 4 retardos semanales.</w:t>
      </w:r>
    </w:p>
    <w:p w14:paraId="5931E2A0" w14:textId="77777777" w:rsidR="008D7AEC" w:rsidRDefault="00000000">
      <w:pPr>
        <w:pStyle w:val="Textoindependiente"/>
      </w:pPr>
      <w:r>
        <w:t>La generación de versiones con distintos números de retardos tiene carácter exploratorio: permite estudiar empíricamente si la información de semanas pasadas aporta valor predictivo, es decir, si existe algún tipo de efecto de autocorrelación explotable en los retornos semanales. Como se verá en los resultados, los retardos no mejoran la predicción, lo que constituye en sí mismo una conclusión relevante y coherente con lo que se observa también en los modelos de series temporales.</w:t>
      </w:r>
    </w:p>
    <w:p w14:paraId="69CFF11C" w14:textId="77777777" w:rsidR="008D7AEC" w:rsidRDefault="00000000">
      <w:pPr>
        <w:pStyle w:val="Ttulo2"/>
      </w:pPr>
      <w:r>
        <w:t>Análisis descriptivo inicial</w:t>
      </w:r>
    </w:p>
    <w:p w14:paraId="6961A8F8" w14:textId="77777777" w:rsidR="008D7AEC" w:rsidRDefault="00000000">
      <w:pPr>
        <w:pStyle w:val="Textoindependiente"/>
      </w:pPr>
      <w:r>
        <w:t>Antes de aplicar ningún modelo se realiza un análisis exploratorio de los retornos logarítmicos diarios de los 63 ETFs. Este análisis tiene dos objetivos: entender el comportamiento estadístico de los activos y detectar posibles anomalías.</w:t>
      </w:r>
    </w:p>
    <w:p w14:paraId="629C1E37" w14:textId="77777777" w:rsidR="008D7AEC" w:rsidRDefault="00000000">
      <w:pPr>
        <w:pStyle w:val="Ttulo3"/>
      </w:pPr>
      <w:r>
        <w:t>Estadística descriptiva</w:t>
      </w:r>
    </w:p>
    <w:p w14:paraId="1A4001F1" w14:textId="77777777" w:rsidR="008D7AEC" w:rsidRDefault="00000000">
      <w:pPr>
        <w:pStyle w:val="Textoindependiente"/>
      </w:pPr>
      <w:r>
        <w:t>Para cada ETF se calculan la media diaria, la desviación típica, el mínimo y máximo, y varios percentiles. Los resultados confirman patrones conocidos en la literatura financiera: la media diaria es muy cercana a cero para todos los ETFs; la desviación típica es significativamente mayor en materias primas y mercados emergentes que en renta fija. Por ejemplo, SLV y USO presentan una volatilidad diaria en torno al 2,1%, mientras que los ETFs de bonos de corto plazo tienen valores muy inferiores al 0,2%. Las diferencias entre grupos son coherentes con los distintos perfiles de riesgo esperados.</w:t>
      </w:r>
    </w:p>
    <w:p w14:paraId="24974BDA" w14:textId="77777777" w:rsidR="008D7AEC" w:rsidRDefault="00000000">
      <w:pPr>
        <w:pStyle w:val="Textoindependiente"/>
      </w:pPr>
      <w:r>
        <w:rPr>
          <w:b/>
          <w:color w:val="C00000"/>
        </w:rPr>
        <w:t>[TODO: insertar tabla con estadística descriptiva por ETF o por grupo — Tabla 3-1. Fuente: elaboración propia]</w:t>
      </w:r>
    </w:p>
    <w:p w14:paraId="5B45A0BE" w14:textId="77777777" w:rsidR="008D7AEC" w:rsidRDefault="00000000">
      <w:pPr>
        <w:pStyle w:val="Ttulo3"/>
      </w:pPr>
      <w:r>
        <w:lastRenderedPageBreak/>
        <w:t>Histogramas y distribución de retornos</w:t>
      </w:r>
    </w:p>
    <w:p w14:paraId="19347BDB" w14:textId="77777777" w:rsidR="008D7AEC" w:rsidRDefault="00000000">
      <w:pPr>
        <w:pStyle w:val="Textoindependiente"/>
      </w:pPr>
      <w:r>
        <w:t>Los histogramas muestran que la distribución de retornos es aproximadamente simétrica y centrada en cero, con forma cercana a una campana. Sin embargo, en la mayoría de casos se observan colas más pesadas que las de una distribución normal: hay más observaciones extremas de lo esperado. Esta característica, conocida como exceso de curtosis, es habitual en series financieras y está relacionada con los episodios de alta volatilidad puntual que se observan en los mercados. ETFs amplios como SPY presentan distribuciones más concentradas, mientras que activos como EWZ, SLV o USO muestran colas más anchas.</w:t>
      </w:r>
    </w:p>
    <w:p w14:paraId="0D804A71" w14:textId="77777777" w:rsidR="008D7AEC" w:rsidRDefault="00000000">
      <w:pPr>
        <w:pStyle w:val="Textoindependiente"/>
      </w:pPr>
      <w:r>
        <w:rPr>
          <w:b/>
          <w:color w:val="C00000"/>
        </w:rPr>
        <w:t>[TODO: insertar figura con histogramas por grupos de ETFs — Figura 3-1. Fuente: elaboración propia]</w:t>
      </w:r>
    </w:p>
    <w:p w14:paraId="0DB48847" w14:textId="77777777" w:rsidR="008D7AEC" w:rsidRDefault="00000000">
      <w:pPr>
        <w:pStyle w:val="Ttulo3"/>
      </w:pPr>
      <w:r>
        <w:t>Boxplots por grupo</w:t>
      </w:r>
    </w:p>
    <w:p w14:paraId="61DCBA3F" w14:textId="77777777" w:rsidR="008D7AEC" w:rsidRDefault="00000000">
      <w:pPr>
        <w:pStyle w:val="Textoindependiente"/>
      </w:pPr>
      <w:r>
        <w:t>Los diagramas de caja confirman el patrón esperado: los ETFs de renta fija presentan rangos intercuartílicos muy estrechos y pocos valores atípicos, mientras que los de materias primas y mercados emergentes muestran cajas más amplias y mayor número de outliers. Los ETFs de renta variable estadounidense se sitúan en posición intermedia. Esta diversidad de perfiles de volatilidad es precisamente lo que hace a este universo de ETFs interesante para el modelo de Markowitz: la combinación de activos con distintos niveles de riesgo y baja correlación entre grupos es la base de la diversificación.</w:t>
      </w:r>
    </w:p>
    <w:p w14:paraId="6BE1F467" w14:textId="77777777" w:rsidR="008D7AEC" w:rsidRDefault="00000000">
      <w:pPr>
        <w:pStyle w:val="Textoindependiente"/>
      </w:pPr>
      <w:r>
        <w:rPr>
          <w:b/>
          <w:color w:val="C00000"/>
        </w:rPr>
        <w:t>[TODO: insertar figura con boxplots comparativos por grupo — Figura 3-2. Fuente: elaboración propia]</w:t>
      </w:r>
    </w:p>
    <w:p w14:paraId="5669F460" w14:textId="77777777" w:rsidR="008D7AEC" w:rsidRDefault="00000000">
      <w:pPr>
        <w:pStyle w:val="Ttulo3"/>
      </w:pPr>
      <w:r>
        <w:t>Matriz de correlaciones</w:t>
      </w:r>
    </w:p>
    <w:p w14:paraId="39D0E283" w14:textId="77777777" w:rsidR="008D7AEC" w:rsidRDefault="00000000">
      <w:pPr>
        <w:pStyle w:val="Textoindependiente"/>
      </w:pPr>
      <w:r>
        <w:t>La matriz de correlaciones entre los retornos diarios muestra agrupaciones claras. Los ETFs de renta variable estadounidense que replican índices similares (SPY, IVV, VOO, VTI) tienen correlaciones próximas a 0,99: son prácticamente el mismo activo. Los ETFs sectoriales presentan correlaciones elevadas con el mercado general pero también entre sí. En contraste, los ETFs de renta fija, especialmente de corto plazo, presentan correlaciones bajas o incluso ligeramente negativas con la renta variable, lo que confirma su papel diversificador.</w:t>
      </w:r>
    </w:p>
    <w:p w14:paraId="1D8E9B0D" w14:textId="77777777" w:rsidR="008D7AEC" w:rsidRDefault="00000000">
      <w:pPr>
        <w:pStyle w:val="Textoindependiente"/>
      </w:pPr>
      <w:r>
        <w:lastRenderedPageBreak/>
        <w:t>El análisis de correlación sirvió también para identificar grupos de ETFs redundantes. Mediante un grafo con umbral de correlación de 0,95 se detectaron clusters de activos con comportamiento casi idéntico. Esta información, junto con los criterios de estacionariedad descritos a continuación, determinó la selección final de ETFs.</w:t>
      </w:r>
    </w:p>
    <w:p w14:paraId="02DF04F0" w14:textId="77777777" w:rsidR="008D7AEC" w:rsidRDefault="00000000">
      <w:pPr>
        <w:pStyle w:val="Textoindependiente"/>
      </w:pPr>
      <w:r>
        <w:rPr>
          <w:b/>
          <w:color w:val="C00000"/>
        </w:rPr>
        <w:t>[TODO: insertar figura con la matriz de correlaciones completa — Figura 3-3. Fuente: elaboración propia]</w:t>
      </w:r>
    </w:p>
    <w:p w14:paraId="40CD1C0B" w14:textId="77777777" w:rsidR="008D7AEC" w:rsidRDefault="00000000">
      <w:pPr>
        <w:pStyle w:val="Ttulo2"/>
      </w:pPr>
      <w:r>
        <w:t>Tratamiento de datos y selección final de ETFs</w:t>
      </w:r>
    </w:p>
    <w:p w14:paraId="17B995F6" w14:textId="77777777" w:rsidR="008D7AEC" w:rsidRDefault="00000000">
      <w:pPr>
        <w:pStyle w:val="Textoindependiente"/>
      </w:pPr>
      <w:r>
        <w:t>Tras el análisis descriptivo se aplica un proceso de filtrado para garantizar que los ETFs cumplen los requisitos estadísticos necesarios para los modelos de series temporales. El criterio principal es la estacionariedad de los retornos logarítmicos, descrita en detalle en el apartado de metodología.</w:t>
      </w:r>
    </w:p>
    <w:p w14:paraId="45BABF2E" w14:textId="77777777" w:rsidR="008D7AEC" w:rsidRDefault="00000000">
      <w:pPr>
        <w:pStyle w:val="Textoindependiente"/>
      </w:pPr>
      <w:r>
        <w:t>Como resultado de este proceso, cinco ETFs fueron excluidos del análisis: BIL (letra del Tesoro de muy corto plazo), EWY (ETF de Corea del Sur), GLD (oro, ETF de iShares), IAU (oro, ETF alternativo) y SHY (bonos del Tesoro de corto plazo). Estos ETFs presentaron inconsistencias en los tests de estacionariedad sobre sus retornos, lo que podría comprometer la validez de los modelos ARIMA. Adicionalmente, GLD e IAU son prácticamente el mismo activo, por lo que mantener ambos no aportaría diversificación.</w:t>
      </w:r>
    </w:p>
    <w:p w14:paraId="2845261F" w14:textId="77777777" w:rsidR="008D7AEC" w:rsidRDefault="00000000">
      <w:pPr>
        <w:pStyle w:val="Textoindependiente"/>
      </w:pPr>
      <w:r>
        <w:t>El conjunto final de trabajo queda formado por 58 ETFs, que son los utilizados en todos los modelos posteriores. El listado completo con descripción y categoría se incluye en el Apéndice A.</w:t>
      </w:r>
    </w:p>
    <w:p w14:paraId="7FD44801" w14:textId="77777777" w:rsidR="008D7AEC" w:rsidRDefault="00000000">
      <w:r>
        <w:br w:type="page"/>
      </w:r>
    </w:p>
    <w:p w14:paraId="0DDB38EA" w14:textId="77777777" w:rsidR="008D7AEC" w:rsidRDefault="00000000">
      <w:pPr>
        <w:pStyle w:val="Ttulo1"/>
      </w:pPr>
      <w:r>
        <w:lastRenderedPageBreak/>
        <w:t>METODOLOGÍA</w:t>
      </w:r>
    </w:p>
    <w:p w14:paraId="2E2327E0" w14:textId="77777777" w:rsidR="008D7AEC" w:rsidRDefault="00000000">
      <w:pPr>
        <w:pStyle w:val="Ttulo2"/>
      </w:pPr>
      <w:r>
        <w:t>Modelización mediante series temporales</w:t>
      </w:r>
    </w:p>
    <w:p w14:paraId="15BD7F10" w14:textId="77777777" w:rsidR="008D7AEC" w:rsidRDefault="00000000">
      <w:pPr>
        <w:pStyle w:val="Ttulo3"/>
      </w:pPr>
      <w:r>
        <w:t>Elección de la variable objetivo</w:t>
      </w:r>
    </w:p>
    <w:p w14:paraId="21C0559E" w14:textId="77777777" w:rsidR="008D7AEC" w:rsidRDefault="00000000">
      <w:pPr>
        <w:pStyle w:val="Textoindependiente"/>
      </w:pPr>
      <w:r>
        <w:t>La variable que se modela con ARIMA son los retornos logarítmicos, no los precios. Esta decisión es deliberada. El precio ajustado de un ETF presenta una tendencia creciente a largo plazo y no es estacionario, lo que lo hace inadecuado para ARIMA sin transformación previa. Trabajar directamente con retornos logarítmicos, que sí son estacionarios, simplifica el análisis y facilita la interpretación económica de los resultados, ya que la optimización de carteras de Markowitz se basa precisamente en retornos esperados.</w:t>
      </w:r>
    </w:p>
    <w:p w14:paraId="6AA148D7" w14:textId="77777777" w:rsidR="008D7AEC" w:rsidRDefault="00000000">
      <w:pPr>
        <w:pStyle w:val="Ttulo3"/>
      </w:pPr>
      <w:r>
        <w:t>Estacionariedad</w:t>
      </w:r>
    </w:p>
    <w:p w14:paraId="48745405" w14:textId="77777777" w:rsidR="008D7AEC" w:rsidRDefault="00000000">
      <w:pPr>
        <w:pStyle w:val="Textoindependiente"/>
      </w:pPr>
      <w:r>
        <w:t>Una serie temporal es estacionaria cuando sus propiedades estadísticas —media, varianza y estructura de autocorrelación— no cambian a lo largo del tiempo. La estacionariedad es un requisito fundamental para aplicar modelos ARIMA. Una serie no estacionaria presentaría una tendencia o varianza creciente que el modelo no podría capturar correctamente.</w:t>
      </w:r>
    </w:p>
    <w:p w14:paraId="31C81D95" w14:textId="77777777" w:rsidR="008D7AEC" w:rsidRDefault="00000000">
      <w:pPr>
        <w:pStyle w:val="Textoindependiente"/>
      </w:pPr>
      <w:r>
        <w:t>Para evaluar la estacionariedad se aplican dos tests complementarios sobre los retornos logarítmicos de cada ETF:</w:t>
      </w:r>
    </w:p>
    <w:p w14:paraId="6523A7D5" w14:textId="77777777" w:rsidR="008D7AEC" w:rsidRDefault="00000000">
      <w:pPr>
        <w:pStyle w:val="Listaconvietas"/>
      </w:pPr>
      <w:r>
        <w:t>ADF (Augmented Dickey-Fuller): la hipótesis nula es que la serie NO es estacionaria (tiene raíz unitaria). Un p-valor bajo (&lt; 0,05) permite rechazar la hipótesis nula y concluir que la serie sí es estacionaria.</w:t>
      </w:r>
    </w:p>
    <w:p w14:paraId="23EA73E4" w14:textId="77777777" w:rsidR="008D7AEC" w:rsidRDefault="00000000">
      <w:pPr>
        <w:pStyle w:val="Listaconvietas"/>
      </w:pPr>
      <w:r>
        <w:t>KPSS (Kwiatkowski-Phillips-Schmidt-Shin): la hipótesis nula es que la serie SÍ es estacionaria. Un p-valor alto (&gt; 0,05) no permite rechazar la hipótesis nula, lo que apoya la estacionariedad.</w:t>
      </w:r>
    </w:p>
    <w:p w14:paraId="746CBFAD" w14:textId="77777777" w:rsidR="008D7AEC" w:rsidRDefault="00000000">
      <w:pPr>
        <w:pStyle w:val="Textoindependiente"/>
      </w:pPr>
      <w:r>
        <w:t>La combinación de ambos tests permite una conclusión más robusta. Los resultados confirman que los precios ajustados y sus logaritmos no son estacionarios (presentan tendencia), mientras que los retornos logarítmicos sí lo son para la gran mayoría de ETFs. Los cinco ETFs que presentaron resultados inconsistentes en estos tests fueron eliminados del análisis.</w:t>
      </w:r>
    </w:p>
    <w:p w14:paraId="0B02457D" w14:textId="77777777" w:rsidR="008D7AEC" w:rsidRDefault="00000000">
      <w:pPr>
        <w:pStyle w:val="Ttulo3"/>
      </w:pPr>
      <w:r>
        <w:lastRenderedPageBreak/>
        <w:t>Análisis de autocorrelación: ACF y PACF</w:t>
      </w:r>
    </w:p>
    <w:p w14:paraId="713086C7" w14:textId="77777777" w:rsidR="008D7AEC" w:rsidRDefault="00000000">
      <w:pPr>
        <w:pStyle w:val="Textoindependiente"/>
      </w:pPr>
      <w:r>
        <w:t>Antes de seleccionar el modelo ARIMA se analizan las funciones de autocorrelación (ACF) y autocorrelación parcial (PACF) de los retornos de cada ETF. La ACF mide la correlación entre la serie y sus propios valores pasados a distintos retardos; la PACF hace lo mismo pero eliminando el efecto indirecto de los retardos intermedios.</w:t>
      </w:r>
    </w:p>
    <w:p w14:paraId="6DAF6D3C" w14:textId="77777777" w:rsidR="008D7AEC" w:rsidRDefault="00000000">
      <w:pPr>
        <w:pStyle w:val="Textoindependiente"/>
      </w:pPr>
      <w:r>
        <w:t>Los resultados muestran que la autocorrelación de los retornos converge rápidamente a cero: no existe dependencia temporal fuerte en la media de los retornos. Esto es coherente con la eficiencia débil del mercado y anticipa uno de los hallazgos más importantes del trabajo: los valores pasados de los retornos contienen muy poca información sobre los valores futuros. Como se verá en el apartado de machine learning, los modelos que incorporan retardos de retornos como variables explicativas tampoco mejoran la predicción, lo que refuerza esta conclusión.</w:t>
      </w:r>
    </w:p>
    <w:p w14:paraId="7DFE9B31" w14:textId="77777777" w:rsidR="008D7AEC" w:rsidRDefault="00000000">
      <w:pPr>
        <w:pStyle w:val="Ttulo3"/>
      </w:pPr>
      <w:r>
        <w:t>Estructura del modelo ARIMA</w:t>
      </w:r>
    </w:p>
    <w:p w14:paraId="2B94A582" w14:textId="77777777" w:rsidR="008D7AEC" w:rsidRDefault="00000000">
      <w:pPr>
        <w:pStyle w:val="Textoindependiente"/>
      </w:pPr>
      <w:r>
        <w:t>Un modelo ARIMA(p, d, q) combina tres componentes. La parte autorregresiva AR(p) modela el valor actual de la serie como función lineal de sus p valores pasados. La parte de integración I(d) diferencia la serie d veces para hacerla estacionaria. La parte de medias móviles MA(q) modela el valor actual como función de los q errores de predicción anteriores.</w:t>
      </w:r>
    </w:p>
    <w:p w14:paraId="009E25B3" w14:textId="77777777" w:rsidR="008D7AEC" w:rsidRDefault="00000000">
      <w:pPr>
        <w:pStyle w:val="Textoindependiente"/>
      </w:pPr>
      <w:r>
        <w:t>Dado que los retornos logarítmicos ya son estacionarios, se fija d = 0 en todos los modelos. Esto simplifica el ARIMA a un modelo ARMA(p, q), y la búsqueda de parámetros se reduce a encontrar los valores de p y q que mejor ajusten la serie.</w:t>
      </w:r>
    </w:p>
    <w:p w14:paraId="4E1903B7" w14:textId="77777777" w:rsidR="008D7AEC" w:rsidRDefault="00000000">
      <w:pPr>
        <w:pStyle w:val="Ttulo3"/>
      </w:pPr>
      <w:r>
        <w:t>Criterios de selección: AIC, BIC y test de Ljung-Box</w:t>
      </w:r>
    </w:p>
    <w:p w14:paraId="30B06C75" w14:textId="77777777" w:rsidR="008D7AEC" w:rsidRDefault="00000000">
      <w:pPr>
        <w:pStyle w:val="Textoindependiente"/>
      </w:pPr>
      <w:r>
        <w:t>Para cada ETF se realiza una búsqueda en rejilla sobre los valores de p y q, probando todas las combinaciones de p en {0, 1, 2, 3, 4} y q en {0, 1, 2, 3, 4}. Los modelos candidatos se evalúan con tres criterios:</w:t>
      </w:r>
    </w:p>
    <w:p w14:paraId="7B3D95CC" w14:textId="77777777" w:rsidR="008D7AEC" w:rsidRDefault="00000000">
      <w:pPr>
        <w:pStyle w:val="Listaconvietas"/>
      </w:pPr>
      <w:r>
        <w:t>AIC (Criterio de Información de Akaike): penaliza la complejidad del modelo con un coste fijo de 2 unidades por parámetro adicional. Minimizar el AIC equivale a buscar el modelo con menor error de predicción esperado fuera de muestra.</w:t>
      </w:r>
    </w:p>
    <w:p w14:paraId="04A8B663" w14:textId="77777777" w:rsidR="008D7AEC" w:rsidRDefault="00000000">
      <w:pPr>
        <w:pStyle w:val="Listaconvietas"/>
      </w:pPr>
      <w:r>
        <w:lastRenderedPageBreak/>
        <w:t>BIC (Criterio de Información Bayesiano): penaliza la complejidad más fuertemente que el AIC, con un coste que crece con el logaritmo del número de observaciones. Tiende a seleccionar modelos más simples.</w:t>
      </w:r>
    </w:p>
    <w:p w14:paraId="5769B06E" w14:textId="77777777" w:rsidR="008D7AEC" w:rsidRDefault="00000000">
      <w:pPr>
        <w:pStyle w:val="Listaconvietas"/>
      </w:pPr>
      <w:r>
        <w:t>Test de Ljung-Box: evalúa si los residuos del modelo presentan autocorrelación significativa. La hipótesis nula es que los residuos son ruido blanco (no están autocorrelacionados). Para que el modelo sea válido se necesita un p-valor superior a 0,05, lo que indica que el modelo ha capturado toda la dependencia temporal relevante y lo que queda son errores sin estructura.</w:t>
      </w:r>
    </w:p>
    <w:p w14:paraId="0CA25C35" w14:textId="77777777" w:rsidR="008D7AEC" w:rsidRDefault="00000000">
      <w:pPr>
        <w:pStyle w:val="Textoindependiente"/>
      </w:pPr>
      <w:r>
        <w:t>En este trabajo se usa el AIC como criterio principal de selección, con el BIC como criterio de desempate y el test de Ljung-Box como verificación de validez. La elección del AIC sobre el BIC es deliberada y responde a una razón importante: el objetivo del trabajo es predecir retornos futuros, no identificar el "modelo verdadero" que generó los datos. El AIC está diseñado específicamente para minimizar el error de predicción fuera de muestra, mientras que el BIC tiende a seleccionar modelos excesivamente simples cuando el número de observaciones es grande, como es el caso con datos semanales de cuatro años.</w:t>
      </w:r>
    </w:p>
    <w:p w14:paraId="4BB8147A" w14:textId="77777777" w:rsidR="008D7AEC" w:rsidRDefault="00000000">
      <w:pPr>
        <w:pStyle w:val="Textoindependiente"/>
      </w:pPr>
      <w:r>
        <w:t>Hay además una razón financiera que refuerza esta elección. La ventaja principal de los modelos ARIMA frente a los modelos de machine learning, como se argumenta en la sección de comparación, proviene de la componente MA. Esta parte del modelo captura la información contenida en los errores de predicción pasados, es decir, aquello que el modelo no pudo explicar con los retornos anteriores. En los mercados financieros, esos errores reflejan el efecto acumulado de variables no observadas: noticias económicas, decisiones de bancos centrales, tensiones geopolíticas, cambios en expectativas. Al no disponer de estas variables como inputs explícitos, el modelo ARIMA las incorpora de forma indirecta a través de la componente MA. El BIC, con su penalización más agresiva, tiende a rechazar órdenes MA elevados que contienen esta señal real, lo que lleva a perder precisamente la fuente de información más valiosa. El AIC, al penalizar menos, es más propenso a retener estos términos y aprovecha mejor esa información.</w:t>
      </w:r>
    </w:p>
    <w:p w14:paraId="6FF66123" w14:textId="77777777" w:rsidR="008D7AEC" w:rsidRDefault="00000000">
      <w:pPr>
        <w:pStyle w:val="Ttulo3"/>
      </w:pPr>
      <w:r>
        <w:t>Predicción walk-forward y periodo de test</w:t>
      </w:r>
    </w:p>
    <w:p w14:paraId="59F96D3B" w14:textId="77777777" w:rsidR="008D7AEC" w:rsidRDefault="00000000">
      <w:pPr>
        <w:pStyle w:val="Textoindependiente"/>
      </w:pPr>
      <w:r>
        <w:t>La predicción ARIMA se realiza utilizando un esquema walk-forward: en cada semana del periodo de test, el modelo se reestima con todos los datos históricos disponibles hasta ese momento y genera una predicción para la semana siguiente. Esta predicción se registra y, a continuación, la observación real se añade al histórico antes de continuar con la siguiente semana.</w:t>
      </w:r>
    </w:p>
    <w:p w14:paraId="50E05177" w14:textId="77777777" w:rsidR="008D7AEC" w:rsidRDefault="00000000">
      <w:pPr>
        <w:pStyle w:val="Textoindependiente"/>
      </w:pPr>
      <w:r>
        <w:lastRenderedPageBreak/>
        <w:t>El período de entrenamiento inicial abarca desde 2021-W01 hasta 2024-W29 (185 semanas). El período de test comprende desde 2024-W30 hasta 2026-W06, con un total de 81 semanas. Este mismo corte temporal se utiliza en los modelos de machine learning y en el backtest de Markowitz, lo que garantiza coherencia metodológica y permite comparar los resultados de forma justa.</w:t>
      </w:r>
    </w:p>
    <w:p w14:paraId="48A224B0" w14:textId="77777777" w:rsidR="008D7AEC" w:rsidRDefault="00000000">
      <w:pPr>
        <w:pStyle w:val="Ttulo2"/>
      </w:pPr>
      <w:r>
        <w:t>Modelización mediante aprendizaje automático</w:t>
      </w:r>
    </w:p>
    <w:p w14:paraId="0F664157" w14:textId="77777777" w:rsidR="008D7AEC" w:rsidRDefault="00000000">
      <w:pPr>
        <w:pStyle w:val="Ttulo3"/>
      </w:pPr>
      <w:r>
        <w:t>Motivación del enfoque</w:t>
      </w:r>
    </w:p>
    <w:p w14:paraId="60E5726E" w14:textId="77777777" w:rsidR="008D7AEC" w:rsidRDefault="00000000">
      <w:pPr>
        <w:pStyle w:val="Textoindependiente"/>
      </w:pPr>
      <w:r>
        <w:t>Los modelos de aprendizaje automático ofrecen una perspectiva complementaria a la de los modelos de series temporales. Su ventaja potencial reside en que pueden recibir como input múltiples variables simultáneamente: no solo los retornos pasados del propio ETF, sino también los retornos de todos los demás ETFs, los cambios de volumen y las variables temporales. Esto los convierte en modelos multivariantes capaces, en teoría, de capturar relaciones cruzadas entre activos.</w:t>
      </w:r>
    </w:p>
    <w:p w14:paraId="5D63DF45" w14:textId="77777777" w:rsidR="008D7AEC" w:rsidRDefault="00000000">
      <w:pPr>
        <w:pStyle w:val="Textoindependiente"/>
      </w:pPr>
      <w:r>
        <w:t>Sin embargo, como se verá en los resultados, esta ventaja teórica no se traduce siempre en mejores predicciones en la práctica. La baja señal inherente a los retornos financieros y el ruido del dataset hacen que la capacidad predictiva adicional sea modesta.</w:t>
      </w:r>
    </w:p>
    <w:p w14:paraId="5B7936D4" w14:textId="77777777" w:rsidR="008D7AEC" w:rsidRDefault="00000000">
      <w:pPr>
        <w:pStyle w:val="Ttulo3"/>
      </w:pPr>
      <w:r>
        <w:t>Diseño experimental y configuraciones de lags</w:t>
      </w:r>
    </w:p>
    <w:p w14:paraId="543937E9" w14:textId="77777777" w:rsidR="008D7AEC" w:rsidRDefault="00000000">
      <w:pPr>
        <w:pStyle w:val="Textoindependiente"/>
      </w:pPr>
      <w:r>
        <w:t>Para cada experimento se define una combinación de tres elementos: el archivo de datos utilizado (con 0, 1, 2, 3 o 4 retardos), el ETF objetivo (el que se quiere predecir) y el modelo aplicado. La combinación de 5 configuraciones de lags, 58 ETFs y 4 modelos genera 1.160 experimentos para cada frecuencia temporal.</w:t>
      </w:r>
    </w:p>
    <w:p w14:paraId="3222B7C4" w14:textId="77777777" w:rsidR="008D7AEC" w:rsidRDefault="00000000">
      <w:pPr>
        <w:pStyle w:val="Textoindependiente"/>
      </w:pPr>
      <w:r>
        <w:t>La exploración de distintos números de retardos (lags) tiene un propósito claro aunque su resultado esperado no era predeterminado: se quería saber si incluir la información de semanas o días pasados mejora la capacidad predictiva. En otras palabras, se estudiaba si existe autocorrelación explotable en los retornos. Como se describirá en los resultados, el mejor modelo en machine learning es siempre el de 0 lags, lo que confirma de forma independiente lo que ya indicaban los análisis ARIMA: los retornos pasados contienen muy poca información predictiva sobre los retornos futuros. Este resultado, coherente entre dos familias de modelos completamente distintas, refuerza la conclusión sobre la baja autocorrelación de estas series.</w:t>
      </w:r>
    </w:p>
    <w:p w14:paraId="78F0B709" w14:textId="77777777" w:rsidR="008D7AEC" w:rsidRDefault="00000000">
      <w:pPr>
        <w:pStyle w:val="Ttulo3"/>
      </w:pPr>
      <w:r>
        <w:lastRenderedPageBreak/>
        <w:t>Separación temporal train/test</w:t>
      </w:r>
    </w:p>
    <w:p w14:paraId="45AAD67F" w14:textId="77777777" w:rsidR="008D7AEC" w:rsidRDefault="00000000">
      <w:pPr>
        <w:pStyle w:val="Textoindependiente"/>
      </w:pPr>
      <w:r>
        <w:t>Para cada experimento, los datos se dividen en un bloque de entrenamiento y un bloque de test siguiendo un criterio puramente temporal: el 70% de las observaciones más antiguas forman el conjunto de entrenamiento y el 30% restante el conjunto de test. Esta separación nunca se hace de forma aleatoria, porque mezclar observaciones de distintos momentos temporales introduciría información futura en el entrenamiento y produciría resultados artificialmente optimistas.</w:t>
      </w:r>
    </w:p>
    <w:p w14:paraId="45F39449" w14:textId="77777777" w:rsidR="008D7AEC" w:rsidRDefault="00000000">
      <w:pPr>
        <w:pStyle w:val="Textoindependiente"/>
      </w:pPr>
      <w:r>
        <w:t>Para la frecuencia semanal, el corte corresponde aproximadamente a finales de julio de 2024 (2024-W29 / 2024-W30), con train desde 2021-W01 hasta 2024-W29 y test desde 2024-W30. Para la frecuencia diaria se usa el mismo criterio proporcional aplicado al número de días.</w:t>
      </w:r>
    </w:p>
    <w:p w14:paraId="2C8C9FAB" w14:textId="77777777" w:rsidR="008D7AEC" w:rsidRDefault="00000000">
      <w:pPr>
        <w:pStyle w:val="Ttulo3"/>
      </w:pPr>
      <w:r>
        <w:t>Validación walk-forward con ventana expandible</w:t>
      </w:r>
    </w:p>
    <w:p w14:paraId="29D63339" w14:textId="77777777" w:rsidR="008D7AEC" w:rsidRDefault="00000000">
      <w:pPr>
        <w:pStyle w:val="Textoindependiente"/>
      </w:pPr>
      <w:r>
        <w:t>El método de evaluación es la validación walk-forward con ventana expandible. El funcionamiento es el siguiente: primero se entrena el modelo con todo el bloque de entrenamiento. Después se le pide que prediga el primer período del test, que no ha visto nunca. Esa predicción se registra. A continuación, esa observación se incorpora al conjunto de entrenamiento, el modelo se reentrena y predice el siguiente período. Este proceso se repite hasta completar todo el periodo de test.</w:t>
      </w:r>
    </w:p>
    <w:p w14:paraId="1977CBDB" w14:textId="77777777" w:rsidR="008D7AEC" w:rsidRDefault="00000000">
      <w:pPr>
        <w:pStyle w:val="Textoindependiente"/>
      </w:pPr>
      <w:r>
        <w:t>Este método simula de forma realista cómo funcionaría el modelo en producción: en cada momento solo utiliza información pasada. El hecho de que el modelo se reentrene completamente en cada paso es computacionalmente costoso pero necesario para que el modelo pueda adaptarse a posibles cambios en el comportamiento de los activos a lo largo del tiempo.</w:t>
      </w:r>
    </w:p>
    <w:p w14:paraId="23D4423D" w14:textId="77777777" w:rsidR="008D7AEC" w:rsidRDefault="00000000">
      <w:pPr>
        <w:pStyle w:val="Ttulo3"/>
      </w:pPr>
      <w:r>
        <w:t>Métricas de evaluación y benchmarks</w:t>
      </w:r>
    </w:p>
    <w:p w14:paraId="20FDE20C" w14:textId="77777777" w:rsidR="008D7AEC" w:rsidRDefault="00000000">
      <w:pPr>
        <w:pStyle w:val="Textoindependiente"/>
      </w:pPr>
      <w:r>
        <w:t>Para evaluar el rendimiento de los modelos se calculan dos métricas de error sobre el periodo de test:</w:t>
      </w:r>
    </w:p>
    <w:p w14:paraId="46D5AF90" w14:textId="77777777" w:rsidR="008D7AEC" w:rsidRDefault="00000000">
      <w:pPr>
        <w:pStyle w:val="Listaconvietas"/>
      </w:pPr>
      <w:r>
        <w:t>RMSE (Root Mean Squared Error): raíz del error cuadrático medio. Penaliza más los errores grandes al elevarlos al cuadrado, lo que lo hace sensible a predicciones muy equivocadas en días o semanas concretas.</w:t>
      </w:r>
    </w:p>
    <w:p w14:paraId="0EBD12EA" w14:textId="77777777" w:rsidR="008D7AEC" w:rsidRDefault="00000000">
      <w:pPr>
        <w:pStyle w:val="Listaconvietas"/>
      </w:pPr>
      <w:r>
        <w:t>MAE (Mean Absolute Error): error absoluto medio. Trata todos los errores de igual manera, lo que da una imagen más equilibrada del error típico del modelo.</w:t>
      </w:r>
    </w:p>
    <w:p w14:paraId="068B4832" w14:textId="77777777" w:rsidR="008D7AEC" w:rsidRDefault="00000000">
      <w:pPr>
        <w:pStyle w:val="Textoindependiente"/>
      </w:pPr>
      <w:r>
        <w:t>Estas métricas se calculan también para dos benchmarks de referencia:</w:t>
      </w:r>
    </w:p>
    <w:p w14:paraId="285D4795" w14:textId="77777777" w:rsidR="008D7AEC" w:rsidRDefault="00000000">
      <w:pPr>
        <w:pStyle w:val="Listaconvietas"/>
      </w:pPr>
      <w:r>
        <w:lastRenderedPageBreak/>
        <w:t>Baseline naive (último valor): predice siempre el mismo retorno que se observó en el período anterior. Representa la predicción más simple posible sin ningún modelo.</w:t>
      </w:r>
    </w:p>
    <w:p w14:paraId="1D8FF96C" w14:textId="77777777" w:rsidR="008D7AEC" w:rsidRDefault="00000000">
      <w:pPr>
        <w:pStyle w:val="Listaconvietas"/>
      </w:pPr>
      <w:r>
        <w:t>Baseline de ceros: predice siempre un retorno de exactamente cero. Este benchmark merece atención especial en el contexto financiero: dado que la media diaria de los retornos es muy cercana a cero, predecir siempre cero puede ser sorprendentemente difícil de superar. Si un modelo no mejora al benchmark de ceros, significa que no está añadiendo información real sobre la dirección ni la magnitud del movimiento futuro.</w:t>
      </w:r>
    </w:p>
    <w:p w14:paraId="376052FE" w14:textId="77777777" w:rsidR="008D7AEC" w:rsidRDefault="00000000">
      <w:pPr>
        <w:pStyle w:val="Textoindependiente"/>
      </w:pPr>
      <w:r>
        <w:t>Superar el benchmark de ceros es el estándar más exigente, porque representa la predicción de alguien que sabe que los retornos fluctúan alrededor de cero y apuesta siempre por esa media. Por ello, es posible que un modelo sea mejor que el baseline naive (el que repite el último valor) pero no mejor que el benchmark de ceros, y eso no significa que el modelo sea malo, sino que el mercado es eficiente en ese activo concreto.</w:t>
      </w:r>
    </w:p>
    <w:p w14:paraId="055C9AF1" w14:textId="77777777" w:rsidR="008D7AEC" w:rsidRDefault="00000000">
      <w:pPr>
        <w:pStyle w:val="Ttulo3"/>
      </w:pPr>
      <w:r>
        <w:t>Modelos utilizados</w:t>
      </w:r>
    </w:p>
    <w:p w14:paraId="4CB0B9A9" w14:textId="77777777" w:rsidR="008D7AEC" w:rsidRDefault="00000000">
      <w:pPr>
        <w:pStyle w:val="Textoindependiente"/>
      </w:pPr>
      <w:r>
        <w:t>Se prueban cuatro modelos de regresión con características distintas:</w:t>
      </w:r>
    </w:p>
    <w:p w14:paraId="32CF6562" w14:textId="77777777" w:rsidR="008D7AEC" w:rsidRDefault="00000000">
      <w:pPr>
        <w:pStyle w:val="Textoindependiente"/>
      </w:pPr>
      <w:r>
        <w:t>Regresión lineal: modelo de referencia básico. Asume que el retorno futuro es una combinación lineal de todas las variables explicativas. Su ventaja es la total transparencia; su limitación es que no puede capturar relaciones no lineales. Con más variables que observaciones (problema que aparece al añadir lags) sufre sobreajuste severo porque no tiene ningún mecanismo de regularización.</w:t>
      </w:r>
    </w:p>
    <w:p w14:paraId="59712409" w14:textId="77777777" w:rsidR="008D7AEC" w:rsidRDefault="00000000">
      <w:pPr>
        <w:pStyle w:val="Textoindependiente"/>
      </w:pPr>
      <w:r>
        <w:t>Ridge: extensión de la regresión lineal que añade una penalización sobre el tamaño de los coeficientes, controlada por el parámetro alpha. Esta penalización evita que el modelo asigne demasiado peso a variables irrelevantes o muy correlacionadas, lo que es especialmente útil cuando el dataset tiene muchas variables relacionadas entre sí (como los retornos de 58 ETFs correlacionados). Las variables se escalan previamente y el valor óptimo de alpha se busca con validación cruzada temporal.</w:t>
      </w:r>
    </w:p>
    <w:p w14:paraId="64805964" w14:textId="77777777" w:rsidR="008D7AEC" w:rsidRDefault="00000000">
      <w:pPr>
        <w:pStyle w:val="Textoindependiente"/>
      </w:pPr>
      <w:r>
        <w:t>Random Forest: construye simultáneamente un gran número de árboles de decisión, cada uno entrenado sobre una muestra distinta de los datos y con acceso a un subconjunto aleatorio de variables en cada nodo. La predicción final es la media de todos los árboles. Esta diversidad reduce el sobreajuste y permite capturar relaciones no lineales entre variables. Los hiperparámetros se buscan con búsqueda aleatoria y validación cruzada temporal.</w:t>
      </w:r>
    </w:p>
    <w:p w14:paraId="2AF22F4A" w14:textId="77777777" w:rsidR="008D7AEC" w:rsidRDefault="00000000">
      <w:pPr>
        <w:pStyle w:val="Textoindependiente"/>
      </w:pPr>
      <w:r>
        <w:lastRenderedPageBreak/>
        <w:t>Gradient Boosting: construye árboles de decisión de forma secuencial, donde cada nuevo árbol se entrena para corregir los errores de los anteriores. Es generalmente más preciso que Random Forest cuando la señal es débil, pero más susceptible al sobreajuste si no se regulariza correctamente y más costoso computacionalmente. También utiliza búsqueda aleatoria de hiperparámetros con validación temporal.</w:t>
      </w:r>
    </w:p>
    <w:p w14:paraId="280CFB2F" w14:textId="77777777" w:rsidR="008D7AEC" w:rsidRDefault="00000000">
      <w:pPr>
        <w:pStyle w:val="Ttulo2"/>
      </w:pPr>
      <w:r>
        <w:t>Comparación entre modelos de series temporales y machine learning</w:t>
      </w:r>
    </w:p>
    <w:p w14:paraId="150CF0A0" w14:textId="77777777" w:rsidR="008D7AEC" w:rsidRDefault="00000000">
      <w:pPr>
        <w:pStyle w:val="Ttulo3"/>
      </w:pPr>
      <w:r>
        <w:t>Comparación diaria</w:t>
      </w:r>
    </w:p>
    <w:p w14:paraId="2C77E698" w14:textId="77777777" w:rsidR="008D7AEC" w:rsidRDefault="00000000">
      <w:pPr>
        <w:pStyle w:val="Textoindependiente"/>
      </w:pPr>
      <w:r>
        <w:t>En la frecuencia diaria, los resultados muestran que todos los modelos de machine learning (Ridge, Random Forest y Gradient Boosting) obtienen RMSE muy similares entre sí, en torno a 0,0049-0,0050. La Regresión Lineal queda fuera del análisis comparativo porque, como ya se anticipó, sufre sobreajuste severo en cuanto se añaden lags y su RMSE se dispara hasta valores cuatro veces superiores al baseline naive. Esto confirma que la regresión lineal sin regularización no es viable en este contexto de alta dimensionalidad.</w:t>
      </w:r>
    </w:p>
    <w:p w14:paraId="0ED61F1A" w14:textId="77777777" w:rsidR="008D7AEC" w:rsidRDefault="00000000">
      <w:pPr>
        <w:pStyle w:val="Textoindependiente"/>
      </w:pPr>
      <w:r>
        <w:t>Los tres modelos buenos mejoran claramente al baseline naive en todos los ETFs. Sin embargo, la mejora sobre el benchmark de ceros es modesta: el modelo ARIMA diario solo supera al benchmark de ceros en 19 de los 56 ETFs analizados. En frecuencia diaria los mercados son especialmente eficientes y el ruido hace que predecir cero sea competitivo casi siempre.</w:t>
      </w:r>
    </w:p>
    <w:p w14:paraId="4773DFAB" w14:textId="77777777" w:rsidR="008D7AEC" w:rsidRDefault="00000000">
      <w:pPr>
        <w:pStyle w:val="Ttulo3"/>
      </w:pPr>
      <w:r>
        <w:t>Comparación semanal</w:t>
      </w:r>
    </w:p>
    <w:p w14:paraId="435877F1" w14:textId="77777777" w:rsidR="008D7AEC" w:rsidRDefault="00000000">
      <w:pPr>
        <w:pStyle w:val="Textoindependiente"/>
      </w:pPr>
      <w:r>
        <w:t>En la frecuencia semanal, el mejor modelo de machine learning global es Ridge con 0 lags, con un RMSE medio de 0,00490 y un MAE medio de 0,00365. La mejora sobre el baseline naive es del 31,67% en RMSE, lo que indica que los modelos aportan información real frente a repetir el último valor observado. Sin embargo, la mejora sobre el benchmark de ceros es de solo el 0,66% en RMSE, lo que confirma que en términos absolutos los modelos apenas superan a predecir retorno nulo.</w:t>
      </w:r>
    </w:p>
    <w:p w14:paraId="33FE23B4" w14:textId="77777777" w:rsidR="008D7AEC" w:rsidRDefault="00000000">
      <w:pPr>
        <w:pStyle w:val="Textoindependiente"/>
      </w:pPr>
      <w:r>
        <w:t>Los modelos ARIMA semanales muestran un patrón similar: mejoran al baseline naive en el 100% de los ETFs, pero solo superan al benchmark de ceros en 30 de los 58 casos (52%). El RMSE medio del ARIMA semanal es de 0,00492, prácticamente igual que el de Ridge con 0 lags.</w:t>
      </w:r>
    </w:p>
    <w:p w14:paraId="37AC9159" w14:textId="77777777" w:rsidR="008D7AEC" w:rsidRDefault="00000000">
      <w:pPr>
        <w:pStyle w:val="Ttulo3"/>
      </w:pPr>
      <w:r>
        <w:lastRenderedPageBreak/>
        <w:t>Impacto de los retardos temporales</w:t>
      </w:r>
    </w:p>
    <w:p w14:paraId="7250DED1" w14:textId="77777777" w:rsidR="008D7AEC" w:rsidRDefault="00000000">
      <w:pPr>
        <w:pStyle w:val="Textoindependiente"/>
      </w:pPr>
      <w:r>
        <w:t>Uno de los resultados más claros del trabajo es que añadir retardos (lags) de los retornos como variables explicativas no mejora la predicción en los modelos de machine learning. Para Ridge, Random Forest y Gradient Boosting, el RMSE permanece prácticamente constante entre 0 y 4 lags. El mejor modelo global sigue siendo el de 0 lags en todos los casos.</w:t>
      </w:r>
    </w:p>
    <w:p w14:paraId="2380EFD0" w14:textId="77777777" w:rsidR="008D7AEC" w:rsidRDefault="00000000">
      <w:pPr>
        <w:pStyle w:val="Textoindependiente"/>
      </w:pPr>
      <w:r>
        <w:t>Este resultado tiene una interpretación financiera directa y conecta con lo observado en los modelos ARIMA: los retornos semanales de estos ETFs no presentan autocorrelación explotable. La información de semanas pasadas no ayuda a predecir la semana siguiente. Ambos enfoques —series temporales con análisis de ACF/PACF y machine learning con exploración empírica de lags— llegan de forma independiente a la misma conclusión: la parte autorregresiva de la dinámica de estos retornos es muy débil o prácticamente nula. Esto es consistente con la hipótesis de mercados eficientes en su forma débil.</w:t>
      </w:r>
    </w:p>
    <w:p w14:paraId="247CCA04" w14:textId="77777777" w:rsidR="008D7AEC" w:rsidRDefault="00000000">
      <w:pPr>
        <w:pStyle w:val="Ttulo3"/>
      </w:pPr>
      <w:r>
        <w:t>Por qué ARIMA semanal supera a ML en precisión direccional</w:t>
      </w:r>
    </w:p>
    <w:p w14:paraId="625ED1EB" w14:textId="77777777" w:rsidR="008D7AEC" w:rsidRDefault="00000000">
      <w:pPr>
        <w:pStyle w:val="Textoindependiente"/>
      </w:pPr>
      <w:r>
        <w:t>Aunque en RMSE los modelos ARIMA y ML son muy similares (0,00492 vs 0,00490), hay una diferencia cualitativa importante. Los modelos de machine learning en este trabajo reciben como inputs principalmente los retornos pasados, los cambios de volumen y variables de calendario. Toda esa información equivale, en términos de estructura estadística, a la componente autorregresiva (AR) de un modelo ARIMA. Como se ha visto, esa componente aporta muy poco.</w:t>
      </w:r>
    </w:p>
    <w:p w14:paraId="6AA815BC" w14:textId="77777777" w:rsidR="008D7AEC" w:rsidRDefault="00000000">
      <w:pPr>
        <w:pStyle w:val="Textoindependiente"/>
      </w:pPr>
      <w:r>
        <w:t>La diferencia clave está en la componente MA de los modelos ARIMA. Esta componente no utiliza los valores pasados de la serie, sino los errores de predicción anteriores: la diferencia entre lo que el modelo predijo y lo que realmente ocurrió. En los mercados financieros, esos errores reflejan el efecto acumulado de variables no observadas y no incluidas en el dataset: noticias macroeconómicas, decisiones de política monetaria, tensiones geopolíticas, cambios en las expectativas de los inversores. Al no disponer de estas variables como inputs explícitos, el modelo ARIMA las incorpora indirectamente a través de la componente MA. Los modelos de machine learning no tienen este mecanismo porque nunca reciben esa información como input.</w:t>
      </w:r>
    </w:p>
    <w:p w14:paraId="4D56C6AE" w14:textId="77777777" w:rsidR="008D7AEC" w:rsidRDefault="00000000">
      <w:pPr>
        <w:pStyle w:val="Textoindependiente"/>
      </w:pPr>
      <w:r>
        <w:t xml:space="preserve">Esta diferencia explica por qué, aunque el RMSE global sea similar, el análisis de precisión direccional mediante el kappa de Cohen muestra ventajas para el ARIMA semanal en un número relevante de ETFs. El kappa mide si el modelo acierta en la dirección del movimiento (¿sube o baja?) con más frecuencia de lo que se esperaría por azar, corrigiendo el efecto de la base rates. Para ETFs como DIA, el </w:t>
      </w:r>
      <w:r>
        <w:lastRenderedPageBreak/>
        <w:t>kappa del ARIMA alcanza 0,23, mientras que el del baseline naive es negativo. Esta capacidad de capturar la dirección del movimiento es más valiosa en el contexto de Markowitz que una ligera mejora en RMSE, porque el optimizador asigna más peso a los activos con rentabilidades esperadas más altas.</w:t>
      </w:r>
    </w:p>
    <w:p w14:paraId="1510E4F2" w14:textId="77777777" w:rsidR="008D7AEC" w:rsidRDefault="00000000">
      <w:pPr>
        <w:pStyle w:val="Textoindependiente"/>
      </w:pPr>
      <w:r>
        <w:t>La elección del AIC como criterio de selección de los modelos ARIMA contribuye a preservar esta ventaja. Al penalizar la complejidad menos que el BIC, el AIC es más propenso a retener términos MA que codifican esa información externa no observable. El BIC, con su penalización más agresiva, tendería a rechazar estos términos y a quedarse con modelos demasiado simples que pierden precisamente la fuente de información más valiosa.</w:t>
      </w:r>
    </w:p>
    <w:p w14:paraId="442BC253" w14:textId="77777777" w:rsidR="008D7AEC" w:rsidRDefault="00000000">
      <w:pPr>
        <w:pStyle w:val="Ttulo3"/>
      </w:pPr>
      <w:r>
        <w:t>Selección del modelo para Markowitz</w:t>
      </w:r>
    </w:p>
    <w:p w14:paraId="5DCABCA6" w14:textId="77777777" w:rsidR="008D7AEC" w:rsidRDefault="00000000">
      <w:pPr>
        <w:pStyle w:val="Textoindependiente"/>
      </w:pPr>
      <w:r>
        <w:t>Tras comparar los resultados de ambas familias de modelos, se seleccionan las predicciones del modelo ARIMA semanal para su uso como input en el optimizador de carteras. Esta decisión se basa en varios criterios:</w:t>
      </w:r>
    </w:p>
    <w:p w14:paraId="45B4059F" w14:textId="77777777" w:rsidR="008D7AEC" w:rsidRDefault="00000000">
      <w:pPr>
        <w:pStyle w:val="Listaconvietas"/>
      </w:pPr>
      <w:r>
        <w:t>La frecuencia semanal se alinea mejor con el horizonte de inversión del backtest y reduce el ruido propio de la frecuencia diaria.</w:t>
      </w:r>
    </w:p>
    <w:p w14:paraId="26486C05" w14:textId="77777777" w:rsidR="008D7AEC" w:rsidRDefault="00000000">
      <w:pPr>
        <w:pStyle w:val="Listaconvietas"/>
      </w:pPr>
      <w:r>
        <w:t>El modelo ARIMA semanal muestra la mejor precisión direccional medida por el kappa de Cohen en el mayor número de ETFs, lo que lo convierte en el estimador más informativo de rentabilidades esperadas para el optimizador.</w:t>
      </w:r>
    </w:p>
    <w:p w14:paraId="4364CBB1" w14:textId="77777777" w:rsidR="008D7AEC" w:rsidRDefault="00000000">
      <w:pPr>
        <w:pStyle w:val="Listaconvietas"/>
      </w:pPr>
      <w:r>
        <w:t>La componente MA del ARIMA semanal captura información que los modelos de machine learning no pueden incorporar con los inputs disponibles.</w:t>
      </w:r>
    </w:p>
    <w:p w14:paraId="0CE710E8" w14:textId="77777777" w:rsidR="008D7AEC" w:rsidRDefault="00000000">
      <w:pPr>
        <w:pStyle w:val="Listaconvietas"/>
      </w:pPr>
      <w:r>
        <w:t>Los resultados son robustos y se obtienen con el mismo corte temporal que el backtest, garantizando coherencia metodológica.</w:t>
      </w:r>
    </w:p>
    <w:p w14:paraId="17805253" w14:textId="77777777" w:rsidR="008D7AEC" w:rsidRDefault="00000000">
      <w:pPr>
        <w:pStyle w:val="Ttulo2"/>
      </w:pPr>
      <w:r>
        <w:t>Optimización de carteras mediante Markowitz</w:t>
      </w:r>
    </w:p>
    <w:p w14:paraId="30E2FCEA" w14:textId="77777777" w:rsidR="008D7AEC" w:rsidRDefault="00000000">
      <w:pPr>
        <w:pStyle w:val="Ttulo3"/>
      </w:pPr>
      <w:r>
        <w:t>Objetivo del análisis</w:t>
      </w:r>
    </w:p>
    <w:p w14:paraId="0F0D70C8" w14:textId="77777777" w:rsidR="008D7AEC" w:rsidRDefault="00000000">
      <w:pPr>
        <w:pStyle w:val="Textoindependiente"/>
      </w:pPr>
      <w:r>
        <w:t>Hasta este punto del trabajo, los modelos se han evaluado por su capacidad para reducir el error de predicción. Pero un modelo puede predecir bien y aun así no ayudar a tomar mejores decisiones de inversión. Para cerrar este ciclo, el trabajo aplica las predicciones ARIMA semanales dentro de un optimizador de carteras basado en el modelo de Markowitz, y compara los resultados con dos estrategias alternativas más simples.</w:t>
      </w:r>
    </w:p>
    <w:p w14:paraId="11AC5EFB" w14:textId="77777777" w:rsidR="008D7AEC" w:rsidRDefault="00000000">
      <w:pPr>
        <w:pStyle w:val="Textoindependiente"/>
      </w:pPr>
      <w:r>
        <w:lastRenderedPageBreak/>
        <w:t>La pregunta concreta que se busca responder es: dado un mismo método de optimización y las mismas restricciones de inversión, ¿una cartera que usa predicciones ARIMA como estimador de rentabilidades esperadas obtiene mejores resultados económicos que una cartera que usa la media histórica o el último valor conocido?</w:t>
      </w:r>
    </w:p>
    <w:p w14:paraId="1CC4911D" w14:textId="77777777" w:rsidR="008D7AEC" w:rsidRDefault="00000000">
      <w:pPr>
        <w:pStyle w:val="Ttulo3"/>
      </w:pPr>
      <w:r>
        <w:t>Justificación del uso de Markowitz</w:t>
      </w:r>
    </w:p>
    <w:p w14:paraId="3BFFB56A" w14:textId="77777777" w:rsidR="008D7AEC" w:rsidRDefault="00000000">
      <w:pPr>
        <w:pStyle w:val="Textoindependiente"/>
      </w:pPr>
      <w:r>
        <w:t>El modelo de Markowitz construye carteras maximizando la utilidad cuadrática del inversor, que combina rentabilidad esperada y varianza:</w:t>
      </w:r>
    </w:p>
    <w:p w14:paraId="5BDF7FF8" w14:textId="77777777" w:rsidR="008D7AEC" w:rsidRDefault="00000000">
      <w:pPr>
        <w:pStyle w:val="Textoindependiente"/>
        <w:jc w:val="center"/>
      </w:pPr>
      <w:r>
        <w:t>max_w  w^T * mu  -  (lambda/2) * w^T * Sigma * w</w:t>
      </w:r>
    </w:p>
    <w:p w14:paraId="283D2C7B" w14:textId="77777777" w:rsidR="008D7AEC" w:rsidRDefault="00000000">
      <w:pPr>
        <w:pStyle w:val="Textoindependiente"/>
      </w:pPr>
      <w:r>
        <w:t>donde w es el vector de pesos, mu es el vector de rentabilidades esperadas, Sigma es la matriz de covarianzas y lambda es el parámetro de aversión al riesgo (fijado en 10 en este trabajo). Se usa el estimador de Ledoit-Wolf para la matriz de covarianzas, que es más estable que la covarianza muestral cuando el número de activos es elevado en relación con el número de observaciones [CITAR: Ledoit y Wolf, 2004].</w:t>
      </w:r>
    </w:p>
    <w:p w14:paraId="4DE026ED" w14:textId="77777777" w:rsidR="008D7AEC" w:rsidRDefault="00000000">
      <w:pPr>
        <w:pStyle w:val="Textoindependiente"/>
      </w:pPr>
      <w:r>
        <w:t>El modelo de Markowitz es un buen marco de comparación porque hace explícita la dependencia del resultado en la estimación de mu: si se cambia ese estimador manteniendo todo lo demás igual, cualquier diferencia en los resultados del backtest se puede atribuir directamente a la calidad de la predicción.</w:t>
      </w:r>
    </w:p>
    <w:p w14:paraId="2B422D70" w14:textId="77777777" w:rsidR="008D7AEC" w:rsidRDefault="00000000">
      <w:pPr>
        <w:pStyle w:val="Ttulo3"/>
      </w:pPr>
      <w:r>
        <w:t>Estrategias comparadas</w:t>
      </w:r>
    </w:p>
    <w:p w14:paraId="24D5E546" w14:textId="77777777" w:rsidR="008D7AEC" w:rsidRDefault="00000000">
      <w:pPr>
        <w:pStyle w:val="Textoindependiente"/>
      </w:pPr>
      <w:r>
        <w:t>Las tres estrategias comparten el mismo universo de 58 ETFs, el mismo periodo de backtest, la misma función objetivo y las mismas restricciones. La única diferencia entre ellas es la forma de estimar mu, el vector de rentabilidades esperadas:</w:t>
      </w:r>
    </w:p>
    <w:p w14:paraId="3CC98220" w14:textId="77777777" w:rsidR="008D7AEC" w:rsidRDefault="00000000">
      <w:pPr>
        <w:pStyle w:val="Listaconvietas"/>
      </w:pPr>
      <w:r>
        <w:t>Estrategia 1 — Markowitz con media histórica (BT_001): utiliza como mu la media de todos los retornos semanales conocidos hasta la semana de decisión. Es el enfoque más tradicional y sirve de referencia principal.</w:t>
      </w:r>
    </w:p>
    <w:p w14:paraId="1991DB58" w14:textId="77777777" w:rsidR="008D7AEC" w:rsidRDefault="00000000">
      <w:pPr>
        <w:pStyle w:val="Listaconvietas"/>
      </w:pPr>
      <w:r>
        <w:t>Estrategia 2 — Markowitz con último valor observado (BT_002): utiliza como mu el retorno semanal de la semana inmediatamente anterior. Es un modelo muy simple que apuesta por persistencia: lo que pasó la semana pasada pasará la próxima.</w:t>
      </w:r>
    </w:p>
    <w:p w14:paraId="0B989105" w14:textId="77777777" w:rsidR="008D7AEC" w:rsidRDefault="00000000">
      <w:pPr>
        <w:pStyle w:val="Listaconvietas"/>
      </w:pPr>
      <w:r>
        <w:t>Estrategia 3 — Markowitz con predicciones ARIMA (BT_003): utiliza como mu la predicción walk-forward del modelo ARIMA semanal para la semana siguiente. Es la estrategia central del trabajo.</w:t>
      </w:r>
    </w:p>
    <w:p w14:paraId="77001C51" w14:textId="77777777" w:rsidR="008D7AEC" w:rsidRDefault="00000000">
      <w:pPr>
        <w:pStyle w:val="Ttulo3"/>
      </w:pPr>
      <w:r>
        <w:lastRenderedPageBreak/>
        <w:t>Periodo de entrenamiento y periodo de prueba</w:t>
      </w:r>
    </w:p>
    <w:p w14:paraId="5A4B55C5" w14:textId="77777777" w:rsidR="008D7AEC" w:rsidRDefault="00000000">
      <w:pPr>
        <w:pStyle w:val="Textoindependiente"/>
      </w:pPr>
      <w:r>
        <w:t>El periodo de entrenamiento inicial comprende desde 2021-W01 hasta 2024-W29, exactamente el mismo bloque utilizado para estimar los modelos ARIMA y ML. El backtest se desarrolla desde 2024-W30 hasta 2026-W05, con un total de 79 semanas de inversión.</w:t>
      </w:r>
    </w:p>
    <w:p w14:paraId="17265AA2" w14:textId="77777777" w:rsidR="008D7AEC" w:rsidRDefault="00000000">
      <w:pPr>
        <w:pStyle w:val="Textoindependiente"/>
      </w:pPr>
      <w:r>
        <w:t>Esta coincidencia con el corte del modelo predictivo no es casual: garantiza que las predicciones ARIMA introducidas en el optimizador corresponden exactamente al periodo de test del modelo, es decir, son predicciones genuinamente fuera de muestra. No se filtra ninguna información futura.</w:t>
      </w:r>
    </w:p>
    <w:p w14:paraId="356FBA31" w14:textId="77777777" w:rsidR="008D7AEC" w:rsidRDefault="00000000">
      <w:pPr>
        <w:pStyle w:val="Ttulo3"/>
      </w:pPr>
      <w:r>
        <w:t>Evitar el uso de información futura</w:t>
      </w:r>
    </w:p>
    <w:p w14:paraId="1A46AC44" w14:textId="77777777" w:rsidR="008D7AEC" w:rsidRDefault="00000000">
      <w:pPr>
        <w:pStyle w:val="Textoindependiente"/>
      </w:pPr>
      <w:r>
        <w:t>En cada semana t del periodo de backtest, la cartera se construye utilizando únicamente información disponible hasta la semana t-1:</w:t>
      </w:r>
    </w:p>
    <w:p w14:paraId="244B649A" w14:textId="77777777" w:rsidR="008D7AEC" w:rsidRDefault="00000000">
      <w:pPr>
        <w:pStyle w:val="Listaconvietas"/>
      </w:pPr>
      <w:r>
        <w:t>La media histórica se calcula con retornos observados hasta la semana t-1.</w:t>
      </w:r>
    </w:p>
    <w:p w14:paraId="7B5F2EC0" w14:textId="77777777" w:rsidR="008D7AEC" w:rsidRDefault="00000000">
      <w:pPr>
        <w:pStyle w:val="Listaconvietas"/>
      </w:pPr>
      <w:r>
        <w:t>El último valor observado es el retorno de la semana t-1.</w:t>
      </w:r>
    </w:p>
    <w:p w14:paraId="0D916E8B" w14:textId="77777777" w:rsidR="008D7AEC" w:rsidRDefault="00000000">
      <w:pPr>
        <w:pStyle w:val="Listaconvietas"/>
      </w:pPr>
      <w:r>
        <w:t>La predicción ARIMA es la estimación del retorno de la semana t generada en t-1.</w:t>
      </w:r>
    </w:p>
    <w:p w14:paraId="1F4A8877" w14:textId="77777777" w:rsidR="008D7AEC" w:rsidRDefault="00000000">
      <w:pPr>
        <w:pStyle w:val="Listaconvietas"/>
      </w:pPr>
      <w:r>
        <w:t>La matriz de covarianzas se estima con todos los retornos históricos hasta t-1.</w:t>
      </w:r>
    </w:p>
    <w:p w14:paraId="0961F907" w14:textId="77777777" w:rsidR="008D7AEC" w:rsidRDefault="00000000">
      <w:pPr>
        <w:pStyle w:val="Textoindependiente"/>
      </w:pPr>
      <w:r>
        <w:t>Los retornos reales de la semana t se usan únicamente para calcular la rentabilidad obtenida por la cartera, no para construirla. Esta disciplina garantiza que el backtest sea realista y reproducible.</w:t>
      </w:r>
    </w:p>
    <w:p w14:paraId="0E9B3313" w14:textId="77777777" w:rsidR="008D7AEC" w:rsidRDefault="00000000">
      <w:pPr>
        <w:pStyle w:val="Ttulo3"/>
      </w:pPr>
      <w:r>
        <w:t>Restricciones de la cartera</w:t>
      </w:r>
    </w:p>
    <w:p w14:paraId="730315D9" w14:textId="77777777" w:rsidR="008D7AEC" w:rsidRDefault="00000000">
      <w:pPr>
        <w:pStyle w:val="Textoindependiente"/>
      </w:pPr>
      <w:r>
        <w:t>Se imponen tres restricciones básicas en la optimización:</w:t>
      </w:r>
    </w:p>
    <w:p w14:paraId="586A1DA4" w14:textId="77777777" w:rsidR="008D7AEC" w:rsidRDefault="00000000">
      <w:pPr>
        <w:pStyle w:val="Listaconvietas"/>
      </w:pPr>
      <w:r>
        <w:t>Los pesos deben sumar exactamente 1 (se invierte el 100% del capital disponible).</w:t>
      </w:r>
    </w:p>
    <w:p w14:paraId="7A00077F" w14:textId="77777777" w:rsidR="008D7AEC" w:rsidRDefault="00000000">
      <w:pPr>
        <w:pStyle w:val="Listaconvietas"/>
      </w:pPr>
      <w:r>
        <w:t>No se permiten posiciones cortas: cada peso debe ser mayor o igual a cero.</w:t>
      </w:r>
    </w:p>
    <w:p w14:paraId="6E2C9B0E" w14:textId="77777777" w:rsidR="008D7AEC" w:rsidRDefault="00000000">
      <w:pPr>
        <w:pStyle w:val="Listaconvietas"/>
      </w:pPr>
      <w:r>
        <w:t>Cada peso está acotado superiormente a 1 (peso máximo del 100% en un solo activo).</w:t>
      </w:r>
    </w:p>
    <w:p w14:paraId="4045551B" w14:textId="77777777" w:rsidR="008D7AEC" w:rsidRDefault="00000000">
      <w:pPr>
        <w:pStyle w:val="Textoindependiente"/>
      </w:pPr>
      <w:r>
        <w:t>Estas restricciones producen carteras largas y completamente invertidas, lo que las hace realistas para un inversor estándar que no opera con apalancamiento ni ventas en corto. El capital inicial de referencia se fija en 100 para facilitar la interpretación de los resultados en términos porcentuales.</w:t>
      </w:r>
    </w:p>
    <w:p w14:paraId="3EDED1BD" w14:textId="77777777" w:rsidR="008D7AEC" w:rsidRDefault="00000000">
      <w:pPr>
        <w:pStyle w:val="Ttulo3"/>
      </w:pPr>
      <w:r>
        <w:t>Métricas de comparación del backtest</w:t>
      </w:r>
    </w:p>
    <w:p w14:paraId="05210CD7" w14:textId="77777777" w:rsidR="008D7AEC" w:rsidRDefault="00000000">
      <w:pPr>
        <w:pStyle w:val="Textoindependiente"/>
      </w:pPr>
      <w:r>
        <w:t>Al final del backtest, cada estrategia se evalúa con las siguientes métricas:</w:t>
      </w:r>
    </w:p>
    <w:p w14:paraId="5FF64B07" w14:textId="77777777" w:rsidR="008D7AEC" w:rsidRDefault="00000000">
      <w:pPr>
        <w:pStyle w:val="Listaconvietas"/>
      </w:pPr>
      <w:r>
        <w:lastRenderedPageBreak/>
        <w:t>Capital final: valor de la cartera al final del periodo de backtest, partiendo de un capital inicial de 100.</w:t>
      </w:r>
    </w:p>
    <w:p w14:paraId="06A92ADB" w14:textId="77777777" w:rsidR="008D7AEC" w:rsidRDefault="00000000">
      <w:pPr>
        <w:pStyle w:val="Listaconvietas"/>
      </w:pPr>
      <w:r>
        <w:t>Rentabilidad acumulada: (Capital final - 100) / 100, expresada en porcentaje.</w:t>
      </w:r>
    </w:p>
    <w:p w14:paraId="22DDC8D6" w14:textId="77777777" w:rsidR="008D7AEC" w:rsidRDefault="00000000">
      <w:pPr>
        <w:pStyle w:val="Listaconvietas"/>
      </w:pPr>
      <w:r>
        <w:t>Volatilidad: desviación típica de los retornos semanales, anualizada multiplicando por la raíz de 52. Mide la estabilidad de la cartera.</w:t>
      </w:r>
    </w:p>
    <w:p w14:paraId="316E72D7" w14:textId="77777777" w:rsidR="008D7AEC" w:rsidRDefault="00000000">
      <w:pPr>
        <w:pStyle w:val="Listaconvietas"/>
      </w:pPr>
      <w:r>
        <w:t>Ratio de Sharpe: rentabilidad anualizada dividida por la volatilidad anualizada. Mide cuánta rentabilidad se obtiene por unidad de riesgo asumido. Cuanto mayor, mejor.</w:t>
      </w:r>
    </w:p>
    <w:p w14:paraId="75386550" w14:textId="77777777" w:rsidR="008D7AEC" w:rsidRDefault="00000000">
      <w:pPr>
        <w:pStyle w:val="Listaconvietas"/>
      </w:pPr>
      <w:r>
        <w:t>Máximo drawdown: la mayor caída desde un máximo previo hasta el siguiente mínimo. Representa la peor pérdida acumulada que habría sufrido el inversor durante el backtest.</w:t>
      </w:r>
    </w:p>
    <w:p w14:paraId="0F93ABA5" w14:textId="77777777" w:rsidR="008D7AEC" w:rsidRDefault="00000000">
      <w:pPr>
        <w:pStyle w:val="Listaconvietas"/>
      </w:pPr>
      <w:r>
        <w:t>Semanas positivas: número de semanas en las que la cartera obtuvo un retorno positivo.</w:t>
      </w:r>
    </w:p>
    <w:p w14:paraId="2F2C9CE7" w14:textId="77777777" w:rsidR="008D7AEC" w:rsidRDefault="00000000">
      <w:pPr>
        <w:pStyle w:val="Ttulo3"/>
      </w:pPr>
      <w:r>
        <w:t>Organización de los resultados</w:t>
      </w:r>
    </w:p>
    <w:p w14:paraId="5D8C1A17" w14:textId="77777777" w:rsidR="008D7AEC" w:rsidRDefault="00000000">
      <w:pPr>
        <w:pStyle w:val="Textoindependiente"/>
      </w:pPr>
      <w:r>
        <w:t>Los resultados del backtest se organizan en un archivo Excel (resultados_markowitz.xlsx) con tres hojas:</w:t>
      </w:r>
    </w:p>
    <w:p w14:paraId="62D1CBD4" w14:textId="77777777" w:rsidR="008D7AEC" w:rsidRDefault="00000000">
      <w:pPr>
        <w:pStyle w:val="Textoindependiente"/>
      </w:pPr>
      <w:r>
        <w:t>Hoja resumen_backtest: contiene una fila por estrategia con todas las métricas de comparación (capital final, rentabilidad acumulada, volatilidad, Sharpe, drawdown y semanas positivas). Sirve como vista de conjunto para comparar las tres estrategias.</w:t>
      </w:r>
    </w:p>
    <w:p w14:paraId="25857E4D" w14:textId="77777777" w:rsidR="008D7AEC" w:rsidRDefault="00000000">
      <w:pPr>
        <w:pStyle w:val="Textoindependiente"/>
      </w:pPr>
      <w:r>
        <w:t>Hoja detalle_semanal: contiene una fila por semana y por estrategia (237 filas en total: 79 semanas x 3 estrategias). Incluye la fecha de decisión, la fecha de inversión, el capital al inicio y al final de la semana, el retorno obtenido, el drawdown acumulado, y para cada ETF: el peso asignado (ETF_peso), la rentabilidad esperada utilizada como input (ETF_rentexp) y la rentabilidad real observada (ETF_real). Esta hoja permite reproducir semana a semana las decisiones de cada estrategia y analizar en qué momentos cada una tuvo mejor o peor comportamiento.</w:t>
      </w:r>
    </w:p>
    <w:p w14:paraId="0D4B143C" w14:textId="77777777" w:rsidR="008D7AEC" w:rsidRDefault="00000000">
      <w:pPr>
        <w:pStyle w:val="Textoindependiente"/>
      </w:pPr>
      <w:r>
        <w:t>Hoja configuracion: documenta los parámetros del experimento (capital inicial, periodo de train y test, lambda de aversión al riesgo, restricciones). Permite reproducir el experimento exactamente en el futuro o modificar parámetros de forma controlada.</w:t>
      </w:r>
    </w:p>
    <w:p w14:paraId="1454077C" w14:textId="77777777" w:rsidR="008D7AEC" w:rsidRDefault="00000000">
      <w:r>
        <w:br w:type="page"/>
      </w:r>
    </w:p>
    <w:p w14:paraId="76AFD0AC" w14:textId="77777777" w:rsidR="008D7AEC" w:rsidRDefault="00000000">
      <w:pPr>
        <w:pStyle w:val="Ttulo1"/>
      </w:pPr>
      <w:r>
        <w:lastRenderedPageBreak/>
        <w:t>RESULTADOS</w:t>
      </w:r>
    </w:p>
    <w:p w14:paraId="51E55244" w14:textId="77777777" w:rsidR="008D7AEC" w:rsidRDefault="00000000">
      <w:pPr>
        <w:pStyle w:val="Ttulo2"/>
      </w:pPr>
      <w:r>
        <w:t>Resultados del análisis descriptivo</w:t>
      </w:r>
    </w:p>
    <w:p w14:paraId="6591D73D" w14:textId="77777777" w:rsidR="008D7AEC" w:rsidRDefault="00000000">
      <w:pPr>
        <w:pStyle w:val="Textoindependiente"/>
      </w:pPr>
      <w:r>
        <w:t>El análisis descriptivo de los retornos logarítmicos diarios confirma el comportamiento esperado para activos financieros. La media diaria es muy cercana a cero para todos los ETFs, con la gran mayoría de valores en el rango ±0,0005. La desviación típica varía significativamente entre grupos: los ETFs de renta fija de corto plazo tienen volatilidades inferiores al 0,2% diario, mientras que los de materias primas (SLV: 2,1%, USO: 2,1%) o mercados emergentes (EWZ: 1,8%) presentan valores entre 8 y 12 veces mayores.</w:t>
      </w:r>
    </w:p>
    <w:p w14:paraId="26FB2584" w14:textId="77777777" w:rsidR="008D7AEC" w:rsidRDefault="00000000">
      <w:pPr>
        <w:pStyle w:val="Textoindependiente"/>
      </w:pPr>
      <w:r>
        <w:t>Los histogramas y boxplots confirman la presencia de colas pesadas en todos los activos, con mayor magnitud en los activos más volátiles. La distribución es aproximadamente simétrica, sin sesgos extremos, lo que es coherente con el uso de retornos logarítmicos.</w:t>
      </w:r>
    </w:p>
    <w:p w14:paraId="0BDAF114" w14:textId="77777777" w:rsidR="008D7AEC" w:rsidRDefault="00000000">
      <w:pPr>
        <w:pStyle w:val="Textoindependiente"/>
      </w:pPr>
      <w:r>
        <w:t>La matriz de correlaciones muestra que los ETFs de renta variable estadounidense están muy correlacionados entre sí (correlaciones próximas a 0,99 en los más similares) y tienen correlaciones bajas o negativas con los ETFs de renta fija de corto plazo. Esta estructura de correlación es la base de la diversificación que el modelo de Markowitz intentará aprovechar.</w:t>
      </w:r>
    </w:p>
    <w:p w14:paraId="695F419D" w14:textId="77777777" w:rsidR="008D7AEC" w:rsidRDefault="00000000">
      <w:pPr>
        <w:pStyle w:val="Textoindependiente"/>
      </w:pPr>
      <w:r>
        <w:rPr>
          <w:b/>
          <w:color w:val="C00000"/>
        </w:rPr>
        <w:t>[TODO: insertar tabla de estadística descriptiva por grupo — Tabla 5-1. Fuente: elaboración propia]</w:t>
      </w:r>
    </w:p>
    <w:p w14:paraId="06650A77" w14:textId="77777777" w:rsidR="008D7AEC" w:rsidRDefault="00000000">
      <w:pPr>
        <w:pStyle w:val="Textoindependiente"/>
      </w:pPr>
      <w:r>
        <w:rPr>
          <w:b/>
          <w:color w:val="C00000"/>
        </w:rPr>
        <w:t>[TODO: insertar figura de boxplots comparativos por grupo — Figura 5-1. Fuente: elaboración propia]</w:t>
      </w:r>
    </w:p>
    <w:p w14:paraId="6D4F3651" w14:textId="77777777" w:rsidR="008D7AEC" w:rsidRDefault="00000000">
      <w:pPr>
        <w:pStyle w:val="Textoindependiente"/>
      </w:pPr>
      <w:r>
        <w:rPr>
          <w:b/>
          <w:color w:val="C00000"/>
        </w:rPr>
        <w:t>[TODO: insertar figura de matriz de correlaciones — Figura 5-2. Fuente: elaboración propia]</w:t>
      </w:r>
    </w:p>
    <w:p w14:paraId="12E3BF62" w14:textId="77777777" w:rsidR="008D7AEC" w:rsidRDefault="00000000">
      <w:pPr>
        <w:pStyle w:val="Ttulo2"/>
      </w:pPr>
      <w:r>
        <w:t>Resultados de series temporales</w:t>
      </w:r>
    </w:p>
    <w:p w14:paraId="4631D31D" w14:textId="77777777" w:rsidR="008D7AEC" w:rsidRDefault="00000000">
      <w:pPr>
        <w:pStyle w:val="Ttulo3"/>
      </w:pPr>
      <w:r>
        <w:t>Selección del modelo ARIMA por ETF</w:t>
      </w:r>
    </w:p>
    <w:p w14:paraId="007CE870" w14:textId="77777777" w:rsidR="008D7AEC" w:rsidRDefault="00000000">
      <w:pPr>
        <w:pStyle w:val="Textoindependiente"/>
      </w:pPr>
      <w:r>
        <w:t>La búsqueda en rejilla sobre los parámetros ARIMA(p, 0, q) muestra que la mayoría de ETFs se ajustan con modelos de orden bajo. Los modelos más frecuentes son ARIMA(1, 0, 0) y ARIMA(0, 0, 1). Esto confirma que la dinámica de autocorrelación de los retornos semanales es débil y que modelos complejos no aportarían mejora.</w:t>
      </w:r>
    </w:p>
    <w:p w14:paraId="52EDCF8D" w14:textId="77777777" w:rsidR="008D7AEC" w:rsidRDefault="00000000">
      <w:pPr>
        <w:pStyle w:val="Textoindependiente"/>
      </w:pPr>
      <w:r>
        <w:lastRenderedPageBreak/>
        <w:t>Ejemplos representativos: AGG se ajusta con ARIMA(2, 0, 0) con AIC = -2.513 y p-valor de Ljung-Box = 0,79; BND con ARIMA(2, 0, 0) con AIC = -2.516 y p-valor = 0,80; DIA con ARIMA(0, 0, 1) con AIC = -2.040 y p-valor = 0,64. En todos los casos el p-valor de Ljung-Box es claramente superior a 0,05, lo que confirma que los residuos del modelo son ruido blanco y que el modelo ha capturado toda la dependencia temporal relevante.</w:t>
      </w:r>
    </w:p>
    <w:p w14:paraId="08403D47" w14:textId="77777777" w:rsidR="008D7AEC" w:rsidRDefault="00000000">
      <w:pPr>
        <w:pStyle w:val="Textoindependiente"/>
      </w:pPr>
      <w:r>
        <w:rPr>
          <w:b/>
          <w:color w:val="C00000"/>
        </w:rPr>
        <w:t>[TODO: insertar tabla con los modelos ARIMA seleccionados por ETF (p, q, AIC, BIC, p-valor Ljung-Box) — Tabla 5-2. Fuente: elaboración propia]</w:t>
      </w:r>
    </w:p>
    <w:p w14:paraId="237B7EB3" w14:textId="77777777" w:rsidR="008D7AEC" w:rsidRDefault="00000000">
      <w:pPr>
        <w:pStyle w:val="Ttulo3"/>
      </w:pPr>
      <w:r>
        <w:t>Métricas de predicción ARIMA semanal</w:t>
      </w:r>
    </w:p>
    <w:p w14:paraId="53B84B74" w14:textId="77777777" w:rsidR="008D7AEC" w:rsidRDefault="00000000">
      <w:pPr>
        <w:pStyle w:val="Textoindependiente"/>
      </w:pPr>
      <w:r>
        <w:t>La Tabla 5-3 recoge las métricas de predicción del modelo ARIMA para cada ETF en el periodo de test semanal (2024-W30 a 2026-W06, 81 semanas). Los resultados muestran que:</w:t>
      </w:r>
    </w:p>
    <w:p w14:paraId="60338458" w14:textId="77777777" w:rsidR="008D7AEC" w:rsidRDefault="00000000">
      <w:pPr>
        <w:pStyle w:val="Listaconvietas"/>
      </w:pPr>
      <w:r>
        <w:t>El ARIMA semanal supera al baseline naive (último valor) en el 100% de los ETFs (58 de 58).</w:t>
      </w:r>
    </w:p>
    <w:p w14:paraId="336910B1" w14:textId="77777777" w:rsidR="008D7AEC" w:rsidRDefault="00000000">
      <w:pPr>
        <w:pStyle w:val="Listaconvietas"/>
      </w:pPr>
      <w:r>
        <w:t>El ARIMA semanal supera al benchmark de ceros en 30 de los 58 ETFs (52%).</w:t>
      </w:r>
    </w:p>
    <w:p w14:paraId="60B21F47" w14:textId="77777777" w:rsidR="008D7AEC" w:rsidRDefault="00000000">
      <w:pPr>
        <w:pStyle w:val="Listaconvietas"/>
      </w:pPr>
      <w:r>
        <w:t>El RMSE medio global es de 0,00492, prácticamente idéntico al RMSE del benchmark de ceros (0,00491).</w:t>
      </w:r>
    </w:p>
    <w:p w14:paraId="2C66E3DA" w14:textId="77777777" w:rsidR="008D7AEC" w:rsidRDefault="00000000">
      <w:pPr>
        <w:pStyle w:val="Listaconvietas"/>
      </w:pPr>
      <w:r>
        <w:t>El RMSE medio del baseline naive es de 0,00714, un 45% peor que el ARIMA.</w:t>
      </w:r>
    </w:p>
    <w:p w14:paraId="023FDBBF" w14:textId="77777777" w:rsidR="008D7AEC" w:rsidRDefault="00000000">
      <w:pPr>
        <w:pStyle w:val="Textoindependiente"/>
      </w:pPr>
      <w:r>
        <w:t>Los ETFs más predecibles son los de renta fija, con RMSE muy inferiores a los demás: TIP (RMSE = 0,00126), HYG (0,00133), JNK (0,00140), BND (0,00153), AGG (0,00155). Los más difíciles de predecir son las materias primas: SLV (0,01289) y USO (0,01022).</w:t>
      </w:r>
    </w:p>
    <w:p w14:paraId="66DDCEAE" w14:textId="77777777" w:rsidR="008D7AEC" w:rsidRDefault="00000000">
      <w:pPr>
        <w:pStyle w:val="Textoindependiente"/>
      </w:pPr>
      <w:r>
        <w:t>La Tabla 5-3 presenta un extracto de los resultados por ETF. La tabla completa con todos los ETFs se incluye en el Apéndice B.</w:t>
      </w:r>
    </w:p>
    <w:tbl>
      <w:tblPr>
        <w:tblStyle w:val="Tablaconcuadrcula"/>
        <w:tblW w:w="0" w:type="auto"/>
        <w:tblLook w:val="04A0" w:firstRow="1" w:lastRow="0" w:firstColumn="1" w:lastColumn="0" w:noHBand="0" w:noVBand="1"/>
      </w:tblPr>
      <w:tblGrid>
        <w:gridCol w:w="1276"/>
        <w:gridCol w:w="1958"/>
        <w:gridCol w:w="1529"/>
        <w:gridCol w:w="1529"/>
        <w:gridCol w:w="1529"/>
        <w:gridCol w:w="1529"/>
      </w:tblGrid>
      <w:tr w:rsidR="008D7AEC" w14:paraId="4ADEF197" w14:textId="77777777">
        <w:tc>
          <w:tcPr>
            <w:tcW w:w="1560" w:type="dxa"/>
          </w:tcPr>
          <w:p w14:paraId="664ECE11" w14:textId="77777777" w:rsidR="008D7AEC" w:rsidRDefault="00000000">
            <w:r>
              <w:rPr>
                <w:b/>
              </w:rPr>
              <w:t>ETF</w:t>
            </w:r>
          </w:p>
        </w:tc>
        <w:tc>
          <w:tcPr>
            <w:tcW w:w="1560" w:type="dxa"/>
          </w:tcPr>
          <w:p w14:paraId="78443F62" w14:textId="77777777" w:rsidR="008D7AEC" w:rsidRDefault="00000000">
            <w:r>
              <w:rPr>
                <w:b/>
              </w:rPr>
              <w:t>Modelo</w:t>
            </w:r>
          </w:p>
        </w:tc>
        <w:tc>
          <w:tcPr>
            <w:tcW w:w="1560" w:type="dxa"/>
          </w:tcPr>
          <w:p w14:paraId="6D40914E" w14:textId="77777777" w:rsidR="008D7AEC" w:rsidRDefault="00000000">
            <w:r>
              <w:rPr>
                <w:b/>
              </w:rPr>
              <w:t>RMSE</w:t>
            </w:r>
          </w:p>
        </w:tc>
        <w:tc>
          <w:tcPr>
            <w:tcW w:w="1560" w:type="dxa"/>
          </w:tcPr>
          <w:p w14:paraId="61133D2B" w14:textId="77777777" w:rsidR="008D7AEC" w:rsidRDefault="00000000">
            <w:r>
              <w:rPr>
                <w:b/>
              </w:rPr>
              <w:t>RMSE baseline</w:t>
            </w:r>
          </w:p>
        </w:tc>
        <w:tc>
          <w:tcPr>
            <w:tcW w:w="1560" w:type="dxa"/>
          </w:tcPr>
          <w:p w14:paraId="3A1E80C0" w14:textId="77777777" w:rsidR="008D7AEC" w:rsidRDefault="00000000">
            <w:r>
              <w:rPr>
                <w:b/>
              </w:rPr>
              <w:t>RMSE zeros</w:t>
            </w:r>
          </w:p>
        </w:tc>
        <w:tc>
          <w:tcPr>
            <w:tcW w:w="1560" w:type="dxa"/>
          </w:tcPr>
          <w:p w14:paraId="3F3E0F54" w14:textId="77777777" w:rsidR="008D7AEC" w:rsidRDefault="00000000">
            <w:r>
              <w:rPr>
                <w:b/>
              </w:rPr>
              <w:t>MAE</w:t>
            </w:r>
          </w:p>
        </w:tc>
      </w:tr>
      <w:tr w:rsidR="008D7AEC" w14:paraId="4322A068" w14:textId="77777777">
        <w:tc>
          <w:tcPr>
            <w:tcW w:w="1560" w:type="dxa"/>
          </w:tcPr>
          <w:p w14:paraId="65E71328" w14:textId="77777777" w:rsidR="008D7AEC" w:rsidRDefault="00000000">
            <w:r>
              <w:t>TIP</w:t>
            </w:r>
          </w:p>
        </w:tc>
        <w:tc>
          <w:tcPr>
            <w:tcW w:w="1560" w:type="dxa"/>
          </w:tcPr>
          <w:p w14:paraId="6CD6D58C" w14:textId="77777777" w:rsidR="008D7AEC" w:rsidRDefault="00000000">
            <w:r>
              <w:t>ARIMA(1,0,0)</w:t>
            </w:r>
          </w:p>
        </w:tc>
        <w:tc>
          <w:tcPr>
            <w:tcW w:w="1560" w:type="dxa"/>
          </w:tcPr>
          <w:p w14:paraId="08CB4AE8" w14:textId="77777777" w:rsidR="008D7AEC" w:rsidRDefault="00000000">
            <w:r>
              <w:t>0.00126</w:t>
            </w:r>
          </w:p>
        </w:tc>
        <w:tc>
          <w:tcPr>
            <w:tcW w:w="1560" w:type="dxa"/>
          </w:tcPr>
          <w:p w14:paraId="7A05613F" w14:textId="77777777" w:rsidR="008D7AEC" w:rsidRDefault="00000000">
            <w:r>
              <w:t>0.00185</w:t>
            </w:r>
          </w:p>
        </w:tc>
        <w:tc>
          <w:tcPr>
            <w:tcW w:w="1560" w:type="dxa"/>
          </w:tcPr>
          <w:p w14:paraId="3B70AC37" w14:textId="77777777" w:rsidR="008D7AEC" w:rsidRDefault="00000000">
            <w:r>
              <w:t>0.00125</w:t>
            </w:r>
          </w:p>
        </w:tc>
        <w:tc>
          <w:tcPr>
            <w:tcW w:w="1560" w:type="dxa"/>
          </w:tcPr>
          <w:p w14:paraId="6C8B9D68" w14:textId="77777777" w:rsidR="008D7AEC" w:rsidRDefault="00000000">
            <w:r>
              <w:t>0.00100</w:t>
            </w:r>
          </w:p>
        </w:tc>
      </w:tr>
      <w:tr w:rsidR="008D7AEC" w14:paraId="6D2A51EC" w14:textId="77777777">
        <w:tc>
          <w:tcPr>
            <w:tcW w:w="1560" w:type="dxa"/>
          </w:tcPr>
          <w:p w14:paraId="227098EA" w14:textId="77777777" w:rsidR="008D7AEC" w:rsidRDefault="00000000">
            <w:r>
              <w:t>HYG</w:t>
            </w:r>
          </w:p>
        </w:tc>
        <w:tc>
          <w:tcPr>
            <w:tcW w:w="1560" w:type="dxa"/>
          </w:tcPr>
          <w:p w14:paraId="54A70865" w14:textId="77777777" w:rsidR="008D7AEC" w:rsidRDefault="00000000">
            <w:r>
              <w:t>ARIMA(0,0,1)</w:t>
            </w:r>
          </w:p>
        </w:tc>
        <w:tc>
          <w:tcPr>
            <w:tcW w:w="1560" w:type="dxa"/>
          </w:tcPr>
          <w:p w14:paraId="26F9FE28" w14:textId="77777777" w:rsidR="008D7AEC" w:rsidRDefault="00000000">
            <w:r>
              <w:t>0.00133</w:t>
            </w:r>
          </w:p>
        </w:tc>
        <w:tc>
          <w:tcPr>
            <w:tcW w:w="1560" w:type="dxa"/>
          </w:tcPr>
          <w:p w14:paraId="5F981AD9" w14:textId="77777777" w:rsidR="008D7AEC" w:rsidRDefault="00000000">
            <w:r>
              <w:t>0.00173</w:t>
            </w:r>
          </w:p>
        </w:tc>
        <w:tc>
          <w:tcPr>
            <w:tcW w:w="1560" w:type="dxa"/>
          </w:tcPr>
          <w:p w14:paraId="694ADA42" w14:textId="77777777" w:rsidR="008D7AEC" w:rsidRDefault="00000000">
            <w:r>
              <w:t>0.00131</w:t>
            </w:r>
          </w:p>
        </w:tc>
        <w:tc>
          <w:tcPr>
            <w:tcW w:w="1560" w:type="dxa"/>
          </w:tcPr>
          <w:p w14:paraId="77A41799" w14:textId="77777777" w:rsidR="008D7AEC" w:rsidRDefault="00000000">
            <w:r>
              <w:t>0.00102</w:t>
            </w:r>
          </w:p>
        </w:tc>
      </w:tr>
      <w:tr w:rsidR="008D7AEC" w14:paraId="67980276" w14:textId="77777777">
        <w:tc>
          <w:tcPr>
            <w:tcW w:w="1560" w:type="dxa"/>
          </w:tcPr>
          <w:p w14:paraId="0B95C8FE" w14:textId="77777777" w:rsidR="008D7AEC" w:rsidRDefault="00000000">
            <w:r>
              <w:t>JNK</w:t>
            </w:r>
          </w:p>
        </w:tc>
        <w:tc>
          <w:tcPr>
            <w:tcW w:w="1560" w:type="dxa"/>
          </w:tcPr>
          <w:p w14:paraId="0C4C6E4D" w14:textId="77777777" w:rsidR="008D7AEC" w:rsidRDefault="00000000">
            <w:r>
              <w:t>ARIMA(0,0,1)</w:t>
            </w:r>
          </w:p>
        </w:tc>
        <w:tc>
          <w:tcPr>
            <w:tcW w:w="1560" w:type="dxa"/>
          </w:tcPr>
          <w:p w14:paraId="6B303206" w14:textId="77777777" w:rsidR="008D7AEC" w:rsidRDefault="00000000">
            <w:r>
              <w:t>0.00140</w:t>
            </w:r>
          </w:p>
        </w:tc>
        <w:tc>
          <w:tcPr>
            <w:tcW w:w="1560" w:type="dxa"/>
          </w:tcPr>
          <w:p w14:paraId="32FBF6E8" w14:textId="77777777" w:rsidR="008D7AEC" w:rsidRDefault="00000000">
            <w:r>
              <w:t>0.00184</w:t>
            </w:r>
          </w:p>
        </w:tc>
        <w:tc>
          <w:tcPr>
            <w:tcW w:w="1560" w:type="dxa"/>
          </w:tcPr>
          <w:p w14:paraId="073BFD53" w14:textId="77777777" w:rsidR="008D7AEC" w:rsidRDefault="00000000">
            <w:r>
              <w:t>0.00139</w:t>
            </w:r>
          </w:p>
        </w:tc>
        <w:tc>
          <w:tcPr>
            <w:tcW w:w="1560" w:type="dxa"/>
          </w:tcPr>
          <w:p w14:paraId="237200DE" w14:textId="77777777" w:rsidR="008D7AEC" w:rsidRDefault="00000000">
            <w:r>
              <w:t>0.00108</w:t>
            </w:r>
          </w:p>
        </w:tc>
      </w:tr>
      <w:tr w:rsidR="008D7AEC" w14:paraId="656C9F6B" w14:textId="77777777">
        <w:tc>
          <w:tcPr>
            <w:tcW w:w="1560" w:type="dxa"/>
          </w:tcPr>
          <w:p w14:paraId="4DA36373" w14:textId="77777777" w:rsidR="008D7AEC" w:rsidRDefault="00000000">
            <w:r>
              <w:lastRenderedPageBreak/>
              <w:t>BND</w:t>
            </w:r>
          </w:p>
        </w:tc>
        <w:tc>
          <w:tcPr>
            <w:tcW w:w="1560" w:type="dxa"/>
          </w:tcPr>
          <w:p w14:paraId="102B12EA" w14:textId="77777777" w:rsidR="008D7AEC" w:rsidRDefault="00000000">
            <w:r>
              <w:t>ARIMA(2,0,0)</w:t>
            </w:r>
          </w:p>
        </w:tc>
        <w:tc>
          <w:tcPr>
            <w:tcW w:w="1560" w:type="dxa"/>
          </w:tcPr>
          <w:p w14:paraId="5F815035" w14:textId="77777777" w:rsidR="008D7AEC" w:rsidRDefault="00000000">
            <w:r>
              <w:t>0.00153</w:t>
            </w:r>
          </w:p>
        </w:tc>
        <w:tc>
          <w:tcPr>
            <w:tcW w:w="1560" w:type="dxa"/>
          </w:tcPr>
          <w:p w14:paraId="7EEED9BE" w14:textId="77777777" w:rsidR="008D7AEC" w:rsidRDefault="00000000">
            <w:r>
              <w:t>0.00220</w:t>
            </w:r>
          </w:p>
        </w:tc>
        <w:tc>
          <w:tcPr>
            <w:tcW w:w="1560" w:type="dxa"/>
          </w:tcPr>
          <w:p w14:paraId="2C243BB8" w14:textId="77777777" w:rsidR="008D7AEC" w:rsidRDefault="00000000">
            <w:r>
              <w:t>0.00150</w:t>
            </w:r>
          </w:p>
        </w:tc>
        <w:tc>
          <w:tcPr>
            <w:tcW w:w="1560" w:type="dxa"/>
          </w:tcPr>
          <w:p w14:paraId="0513D8B1" w14:textId="77777777" w:rsidR="008D7AEC" w:rsidRDefault="00000000">
            <w:r>
              <w:t>0.00117</w:t>
            </w:r>
          </w:p>
        </w:tc>
      </w:tr>
      <w:tr w:rsidR="008D7AEC" w14:paraId="7FC38159" w14:textId="77777777">
        <w:tc>
          <w:tcPr>
            <w:tcW w:w="1560" w:type="dxa"/>
          </w:tcPr>
          <w:p w14:paraId="132CB0A7" w14:textId="77777777" w:rsidR="008D7AEC" w:rsidRDefault="00000000">
            <w:r>
              <w:t>AGG</w:t>
            </w:r>
          </w:p>
        </w:tc>
        <w:tc>
          <w:tcPr>
            <w:tcW w:w="1560" w:type="dxa"/>
          </w:tcPr>
          <w:p w14:paraId="3481B5E9" w14:textId="77777777" w:rsidR="008D7AEC" w:rsidRDefault="00000000">
            <w:r>
              <w:t>ARIMA(2,0,0)</w:t>
            </w:r>
          </w:p>
        </w:tc>
        <w:tc>
          <w:tcPr>
            <w:tcW w:w="1560" w:type="dxa"/>
          </w:tcPr>
          <w:p w14:paraId="6F2C6ACE" w14:textId="77777777" w:rsidR="008D7AEC" w:rsidRDefault="00000000">
            <w:r>
              <w:t>0.00155</w:t>
            </w:r>
          </w:p>
        </w:tc>
        <w:tc>
          <w:tcPr>
            <w:tcW w:w="1560" w:type="dxa"/>
          </w:tcPr>
          <w:p w14:paraId="160A65C3" w14:textId="77777777" w:rsidR="008D7AEC" w:rsidRDefault="00000000">
            <w:r>
              <w:t>0.00225</w:t>
            </w:r>
          </w:p>
        </w:tc>
        <w:tc>
          <w:tcPr>
            <w:tcW w:w="1560" w:type="dxa"/>
          </w:tcPr>
          <w:p w14:paraId="27EEA64F" w14:textId="77777777" w:rsidR="008D7AEC" w:rsidRDefault="00000000">
            <w:r>
              <w:t>0.00153</w:t>
            </w:r>
          </w:p>
        </w:tc>
        <w:tc>
          <w:tcPr>
            <w:tcW w:w="1560" w:type="dxa"/>
          </w:tcPr>
          <w:p w14:paraId="096EEE95" w14:textId="77777777" w:rsidR="008D7AEC" w:rsidRDefault="00000000">
            <w:r>
              <w:t>0.00115</w:t>
            </w:r>
          </w:p>
        </w:tc>
      </w:tr>
      <w:tr w:rsidR="008D7AEC" w14:paraId="6092802A" w14:textId="77777777">
        <w:tc>
          <w:tcPr>
            <w:tcW w:w="1560" w:type="dxa"/>
          </w:tcPr>
          <w:p w14:paraId="0A462E85" w14:textId="77777777" w:rsidR="008D7AEC" w:rsidRDefault="00000000">
            <w:r>
              <w:t>SPY</w:t>
            </w:r>
          </w:p>
        </w:tc>
        <w:tc>
          <w:tcPr>
            <w:tcW w:w="1560" w:type="dxa"/>
          </w:tcPr>
          <w:p w14:paraId="4173491B" w14:textId="77777777" w:rsidR="008D7AEC" w:rsidRDefault="00000000">
            <w:r>
              <w:t>ARIMA(1,0,0)</w:t>
            </w:r>
          </w:p>
        </w:tc>
        <w:tc>
          <w:tcPr>
            <w:tcW w:w="1560" w:type="dxa"/>
          </w:tcPr>
          <w:p w14:paraId="7EC871C3" w14:textId="77777777" w:rsidR="008D7AEC" w:rsidRDefault="00000000">
            <w:r>
              <w:t>0.00460</w:t>
            </w:r>
          </w:p>
        </w:tc>
        <w:tc>
          <w:tcPr>
            <w:tcW w:w="1560" w:type="dxa"/>
          </w:tcPr>
          <w:p w14:paraId="6AC147B0" w14:textId="77777777" w:rsidR="008D7AEC" w:rsidRDefault="00000000">
            <w:r>
              <w:t>0.00724</w:t>
            </w:r>
          </w:p>
        </w:tc>
        <w:tc>
          <w:tcPr>
            <w:tcW w:w="1560" w:type="dxa"/>
          </w:tcPr>
          <w:p w14:paraId="13E822E7" w14:textId="77777777" w:rsidR="008D7AEC" w:rsidRDefault="00000000">
            <w:r>
              <w:t>0.00466</w:t>
            </w:r>
          </w:p>
        </w:tc>
        <w:tc>
          <w:tcPr>
            <w:tcW w:w="1560" w:type="dxa"/>
          </w:tcPr>
          <w:p w14:paraId="4B8FA3FA" w14:textId="77777777" w:rsidR="008D7AEC" w:rsidRDefault="00000000">
            <w:r>
              <w:t>0.00373</w:t>
            </w:r>
          </w:p>
        </w:tc>
      </w:tr>
      <w:tr w:rsidR="008D7AEC" w14:paraId="17D6A034" w14:textId="77777777">
        <w:tc>
          <w:tcPr>
            <w:tcW w:w="1560" w:type="dxa"/>
          </w:tcPr>
          <w:p w14:paraId="6F4BBCFF" w14:textId="77777777" w:rsidR="008D7AEC" w:rsidRDefault="00000000">
            <w:r>
              <w:t>QQQ</w:t>
            </w:r>
          </w:p>
        </w:tc>
        <w:tc>
          <w:tcPr>
            <w:tcW w:w="1560" w:type="dxa"/>
          </w:tcPr>
          <w:p w14:paraId="479E7880" w14:textId="77777777" w:rsidR="008D7AEC" w:rsidRDefault="00000000">
            <w:r>
              <w:t>ARIMA(1,0,0)</w:t>
            </w:r>
          </w:p>
        </w:tc>
        <w:tc>
          <w:tcPr>
            <w:tcW w:w="1560" w:type="dxa"/>
          </w:tcPr>
          <w:p w14:paraId="258195B3" w14:textId="77777777" w:rsidR="008D7AEC" w:rsidRDefault="00000000">
            <w:r>
              <w:t>0.00589</w:t>
            </w:r>
          </w:p>
        </w:tc>
        <w:tc>
          <w:tcPr>
            <w:tcW w:w="1560" w:type="dxa"/>
          </w:tcPr>
          <w:p w14:paraId="7758CDA3" w14:textId="77777777" w:rsidR="008D7AEC" w:rsidRDefault="00000000">
            <w:r>
              <w:t>0.00915</w:t>
            </w:r>
          </w:p>
        </w:tc>
        <w:tc>
          <w:tcPr>
            <w:tcW w:w="1560" w:type="dxa"/>
          </w:tcPr>
          <w:p w14:paraId="24D5EFB6" w14:textId="77777777" w:rsidR="008D7AEC" w:rsidRDefault="00000000">
            <w:r>
              <w:t>0.00594</w:t>
            </w:r>
          </w:p>
        </w:tc>
        <w:tc>
          <w:tcPr>
            <w:tcW w:w="1560" w:type="dxa"/>
          </w:tcPr>
          <w:p w14:paraId="3E59D895" w14:textId="77777777" w:rsidR="008D7AEC" w:rsidRDefault="00000000">
            <w:r>
              <w:t>0.00445</w:t>
            </w:r>
          </w:p>
        </w:tc>
      </w:tr>
      <w:tr w:rsidR="008D7AEC" w14:paraId="089C0354" w14:textId="77777777">
        <w:tc>
          <w:tcPr>
            <w:tcW w:w="1560" w:type="dxa"/>
          </w:tcPr>
          <w:p w14:paraId="1FCC96BA" w14:textId="77777777" w:rsidR="008D7AEC" w:rsidRDefault="00000000">
            <w:r>
              <w:t>SLV</w:t>
            </w:r>
          </w:p>
        </w:tc>
        <w:tc>
          <w:tcPr>
            <w:tcW w:w="1560" w:type="dxa"/>
          </w:tcPr>
          <w:p w14:paraId="06BF1B04" w14:textId="77777777" w:rsidR="008D7AEC" w:rsidRDefault="00000000">
            <w:r>
              <w:t>ARIMA(2,0,0)</w:t>
            </w:r>
          </w:p>
        </w:tc>
        <w:tc>
          <w:tcPr>
            <w:tcW w:w="1560" w:type="dxa"/>
          </w:tcPr>
          <w:p w14:paraId="6C7C19D4" w14:textId="77777777" w:rsidR="008D7AEC" w:rsidRDefault="00000000">
            <w:r>
              <w:t>0.01289</w:t>
            </w:r>
          </w:p>
        </w:tc>
        <w:tc>
          <w:tcPr>
            <w:tcW w:w="1560" w:type="dxa"/>
          </w:tcPr>
          <w:p w14:paraId="6FF7CEC0" w14:textId="77777777" w:rsidR="008D7AEC" w:rsidRDefault="00000000">
            <w:r>
              <w:t>0.01665</w:t>
            </w:r>
          </w:p>
        </w:tc>
        <w:tc>
          <w:tcPr>
            <w:tcW w:w="1560" w:type="dxa"/>
          </w:tcPr>
          <w:p w14:paraId="10C39BF5" w14:textId="77777777" w:rsidR="008D7AEC" w:rsidRDefault="00000000">
            <w:r>
              <w:t>0.01256</w:t>
            </w:r>
          </w:p>
        </w:tc>
        <w:tc>
          <w:tcPr>
            <w:tcW w:w="1560" w:type="dxa"/>
          </w:tcPr>
          <w:p w14:paraId="3B42B163" w14:textId="77777777" w:rsidR="008D7AEC" w:rsidRDefault="00000000">
            <w:r>
              <w:t>0.00980</w:t>
            </w:r>
          </w:p>
        </w:tc>
      </w:tr>
      <w:tr w:rsidR="008D7AEC" w14:paraId="1916207D" w14:textId="77777777">
        <w:tc>
          <w:tcPr>
            <w:tcW w:w="1560" w:type="dxa"/>
          </w:tcPr>
          <w:p w14:paraId="64385141" w14:textId="77777777" w:rsidR="008D7AEC" w:rsidRDefault="00000000">
            <w:r>
              <w:t>USO</w:t>
            </w:r>
          </w:p>
        </w:tc>
        <w:tc>
          <w:tcPr>
            <w:tcW w:w="1560" w:type="dxa"/>
          </w:tcPr>
          <w:p w14:paraId="5F921D1A" w14:textId="77777777" w:rsidR="008D7AEC" w:rsidRDefault="00000000">
            <w:r>
              <w:t>ARIMA(2,0,2)</w:t>
            </w:r>
          </w:p>
        </w:tc>
        <w:tc>
          <w:tcPr>
            <w:tcW w:w="1560" w:type="dxa"/>
          </w:tcPr>
          <w:p w14:paraId="03735D45" w14:textId="77777777" w:rsidR="008D7AEC" w:rsidRDefault="00000000">
            <w:r>
              <w:t>0.01022</w:t>
            </w:r>
          </w:p>
        </w:tc>
        <w:tc>
          <w:tcPr>
            <w:tcW w:w="1560" w:type="dxa"/>
          </w:tcPr>
          <w:p w14:paraId="7BCDC5FA" w14:textId="77777777" w:rsidR="008D7AEC" w:rsidRDefault="00000000">
            <w:r>
              <w:t>0.01464</w:t>
            </w:r>
          </w:p>
        </w:tc>
        <w:tc>
          <w:tcPr>
            <w:tcW w:w="1560" w:type="dxa"/>
          </w:tcPr>
          <w:p w14:paraId="20310494" w14:textId="77777777" w:rsidR="008D7AEC" w:rsidRDefault="00000000">
            <w:r>
              <w:t>0.01046</w:t>
            </w:r>
          </w:p>
        </w:tc>
        <w:tc>
          <w:tcPr>
            <w:tcW w:w="1560" w:type="dxa"/>
          </w:tcPr>
          <w:p w14:paraId="138965E1" w14:textId="77777777" w:rsidR="008D7AEC" w:rsidRDefault="00000000">
            <w:r>
              <w:t>0.00825</w:t>
            </w:r>
          </w:p>
        </w:tc>
      </w:tr>
      <w:tr w:rsidR="008D7AEC" w14:paraId="16B67E99" w14:textId="77777777">
        <w:tc>
          <w:tcPr>
            <w:tcW w:w="1560" w:type="dxa"/>
          </w:tcPr>
          <w:p w14:paraId="00E91449" w14:textId="77777777" w:rsidR="008D7AEC" w:rsidRDefault="00000000">
            <w:r>
              <w:t>FXI</w:t>
            </w:r>
          </w:p>
        </w:tc>
        <w:tc>
          <w:tcPr>
            <w:tcW w:w="1560" w:type="dxa"/>
          </w:tcPr>
          <w:p w14:paraId="08BBE2D4" w14:textId="77777777" w:rsidR="008D7AEC" w:rsidRDefault="00000000">
            <w:r>
              <w:t>ARIMA(1,0,1)</w:t>
            </w:r>
          </w:p>
        </w:tc>
        <w:tc>
          <w:tcPr>
            <w:tcW w:w="1560" w:type="dxa"/>
          </w:tcPr>
          <w:p w14:paraId="2AF99C3C" w14:textId="77777777" w:rsidR="008D7AEC" w:rsidRDefault="00000000">
            <w:r>
              <w:t>0.00781</w:t>
            </w:r>
          </w:p>
        </w:tc>
        <w:tc>
          <w:tcPr>
            <w:tcW w:w="1560" w:type="dxa"/>
          </w:tcPr>
          <w:p w14:paraId="44EB7822" w14:textId="77777777" w:rsidR="008D7AEC" w:rsidRDefault="00000000">
            <w:r>
              <w:t>0.00999</w:t>
            </w:r>
          </w:p>
        </w:tc>
        <w:tc>
          <w:tcPr>
            <w:tcW w:w="1560" w:type="dxa"/>
          </w:tcPr>
          <w:p w14:paraId="186C99BE" w14:textId="77777777" w:rsidR="008D7AEC" w:rsidRDefault="00000000">
            <w:r>
              <w:t>0.00768</w:t>
            </w:r>
          </w:p>
        </w:tc>
        <w:tc>
          <w:tcPr>
            <w:tcW w:w="1560" w:type="dxa"/>
          </w:tcPr>
          <w:p w14:paraId="1952C0AD" w14:textId="77777777" w:rsidR="008D7AEC" w:rsidRDefault="00000000">
            <w:r>
              <w:t>0.00601</w:t>
            </w:r>
          </w:p>
        </w:tc>
      </w:tr>
    </w:tbl>
    <w:p w14:paraId="72236D93" w14:textId="77777777" w:rsidR="008D7AEC" w:rsidRDefault="00000000">
      <w:pPr>
        <w:pStyle w:val="Textoindependiente"/>
        <w:jc w:val="center"/>
      </w:pPr>
      <w:r>
        <w:t>Tabla 5-3. Extracto de resultados del modelo ARIMA semanal. Fuente: elaboración propia.</w:t>
      </w:r>
    </w:p>
    <w:p w14:paraId="542F90DE" w14:textId="77777777" w:rsidR="008D7AEC" w:rsidRDefault="00000000">
      <w:pPr>
        <w:pStyle w:val="Textoindependiente"/>
      </w:pPr>
      <w:r>
        <w:t>Este resultado indica que el ARIMA semanal añade valor claro sobre el baseline naive, pero la mejora sobre el benchmark de ceros es modesta. Sin embargo, esto no invalida el modelo para su uso en Markowitz: lo que importa en el optimizador no es si el modelo reduce el error absoluto de predicción, sino si orienta correctamente la asignación de pesos entre activos.</w:t>
      </w:r>
    </w:p>
    <w:p w14:paraId="3FD58737" w14:textId="77777777" w:rsidR="008D7AEC" w:rsidRDefault="00000000">
      <w:pPr>
        <w:pStyle w:val="Ttulo3"/>
      </w:pPr>
      <w:r>
        <w:t>Precisión direccional: kappa de Cohen</w:t>
      </w:r>
    </w:p>
    <w:p w14:paraId="7DB11867" w14:textId="77777777" w:rsidR="008D7AEC" w:rsidRDefault="00000000">
      <w:pPr>
        <w:pStyle w:val="Textoindependiente"/>
      </w:pPr>
      <w:r>
        <w:t>El análisis de precisión direccional mediante el kappa de Cohen confirma que el modelo ARIMA semanal acierta en la dirección del movimiento con más frecuencia de lo que se esperaría por azar en un número relevante de ETFs. Por ejemplo, DIA presenta un kappa de 0,23 con una tasa de acierto direccional del 60,5%, frente al 40,7% del baseline. Estos resultados son los que justifican el uso del modelo ARIMA en Markowitz.</w:t>
      </w:r>
    </w:p>
    <w:p w14:paraId="0E0215F1" w14:textId="77777777" w:rsidR="008D7AEC" w:rsidRDefault="00000000">
      <w:pPr>
        <w:pStyle w:val="Textoindependiente"/>
      </w:pPr>
      <w:r>
        <w:rPr>
          <w:b/>
          <w:color w:val="C00000"/>
        </w:rPr>
        <w:t>[TODO: insertar figura con el ranking de kappa por ETF — Figura 5-3. Fuente: elaboración propia]</w:t>
      </w:r>
    </w:p>
    <w:p w14:paraId="01106F09" w14:textId="77777777" w:rsidR="008D7AEC" w:rsidRDefault="00000000">
      <w:pPr>
        <w:pStyle w:val="Ttulo3"/>
      </w:pPr>
      <w:r>
        <w:lastRenderedPageBreak/>
        <w:t>Resultados ARIMA diario</w:t>
      </w:r>
    </w:p>
    <w:p w14:paraId="6E804D63" w14:textId="77777777" w:rsidR="008D7AEC" w:rsidRDefault="00000000">
      <w:pPr>
        <w:pStyle w:val="Textoindependiente"/>
      </w:pPr>
      <w:r>
        <w:t>Los resultados del modelo ARIMA en frecuencia diaria muestran un patrón similar pero con mayor dificultad predictiva. El RMSE medio es de 0,00926 frente a 0,00924 del benchmark de ceros. El modelo supera al baseline naive en los 56 ETFs analizados, pero solo supera al benchmark de ceros en 19 de ellos (34%). En frecuencia diaria el ruido es mayor y la eficiencia del mercado es más fuerte, lo que hace que predecir cero sea casi siempre la referencia más difícil de batir.</w:t>
      </w:r>
    </w:p>
    <w:p w14:paraId="4B25B3BF" w14:textId="77777777" w:rsidR="008D7AEC" w:rsidRDefault="00000000">
      <w:pPr>
        <w:pStyle w:val="Textoindependiente"/>
      </w:pPr>
      <w:r>
        <w:t>Dado que la capacidad predictiva real es menor en la frecuencia diaria, y que el horizonte semanal es más adecuado para el backtest de Markowitz, se prioriza el modelo semanal para la aplicación de carteras.</w:t>
      </w:r>
    </w:p>
    <w:p w14:paraId="006D713F" w14:textId="77777777" w:rsidR="008D7AEC" w:rsidRDefault="00000000">
      <w:pPr>
        <w:pStyle w:val="Ttulo2"/>
      </w:pPr>
      <w:r>
        <w:t>Resultados de machine learning</w:t>
      </w:r>
    </w:p>
    <w:p w14:paraId="019E1C9D" w14:textId="77777777" w:rsidR="008D7AEC" w:rsidRDefault="00000000">
      <w:pPr>
        <w:pStyle w:val="Ttulo3"/>
      </w:pPr>
      <w:r>
        <w:t>Comparación global de modelos semanales</w:t>
      </w:r>
    </w:p>
    <w:p w14:paraId="29BC5248" w14:textId="77777777" w:rsidR="008D7AEC" w:rsidRDefault="00000000">
      <w:pPr>
        <w:pStyle w:val="Textoindependiente"/>
      </w:pPr>
      <w:r>
        <w:t>Los resultados de los modelos de machine learning sobre los 58 ETFs en frecuencia semanal se resumen en la Tabla 5-4. El modelo ganador es Ridge con 0 lags, con un RMSE medio de 0,00490 y un MAE medio de 0,00365. La mejora sobre el baseline naive es del 31,67% en RMSE, coherente con los resultados del ARIMA semanal.</w:t>
      </w:r>
    </w:p>
    <w:tbl>
      <w:tblPr>
        <w:tblStyle w:val="Tablaconcuadrcula"/>
        <w:tblW w:w="0" w:type="auto"/>
        <w:tblLook w:val="04A0" w:firstRow="1" w:lastRow="0" w:firstColumn="1" w:lastColumn="0" w:noHBand="0" w:noVBand="1"/>
      </w:tblPr>
      <w:tblGrid>
        <w:gridCol w:w="1978"/>
        <w:gridCol w:w="1091"/>
        <w:gridCol w:w="1350"/>
        <w:gridCol w:w="1298"/>
        <w:gridCol w:w="1211"/>
        <w:gridCol w:w="1211"/>
        <w:gridCol w:w="1211"/>
      </w:tblGrid>
      <w:tr w:rsidR="008D7AEC" w14:paraId="76670638" w14:textId="77777777">
        <w:tc>
          <w:tcPr>
            <w:tcW w:w="1337" w:type="dxa"/>
          </w:tcPr>
          <w:p w14:paraId="38AD6FAE" w14:textId="77777777" w:rsidR="008D7AEC" w:rsidRDefault="00000000">
            <w:r>
              <w:rPr>
                <w:b/>
              </w:rPr>
              <w:t>Modelo</w:t>
            </w:r>
          </w:p>
        </w:tc>
        <w:tc>
          <w:tcPr>
            <w:tcW w:w="1337" w:type="dxa"/>
          </w:tcPr>
          <w:p w14:paraId="70A23765" w14:textId="77777777" w:rsidR="008D7AEC" w:rsidRDefault="00000000">
            <w:r>
              <w:rPr>
                <w:b/>
              </w:rPr>
              <w:t>Lags</w:t>
            </w:r>
          </w:p>
        </w:tc>
        <w:tc>
          <w:tcPr>
            <w:tcW w:w="1337" w:type="dxa"/>
          </w:tcPr>
          <w:p w14:paraId="1A34034C" w14:textId="77777777" w:rsidR="008D7AEC" w:rsidRDefault="00000000">
            <w:r>
              <w:rPr>
                <w:b/>
              </w:rPr>
              <w:t>RMSE medio</w:t>
            </w:r>
          </w:p>
        </w:tc>
        <w:tc>
          <w:tcPr>
            <w:tcW w:w="1337" w:type="dxa"/>
          </w:tcPr>
          <w:p w14:paraId="586F39C6" w14:textId="77777777" w:rsidR="008D7AEC" w:rsidRDefault="00000000">
            <w:r>
              <w:rPr>
                <w:b/>
              </w:rPr>
              <w:t>Mej. vs baseline (%)</w:t>
            </w:r>
          </w:p>
        </w:tc>
        <w:tc>
          <w:tcPr>
            <w:tcW w:w="1337" w:type="dxa"/>
          </w:tcPr>
          <w:p w14:paraId="3E083F7D" w14:textId="77777777" w:rsidR="008D7AEC" w:rsidRDefault="00000000">
            <w:r>
              <w:rPr>
                <w:b/>
              </w:rPr>
              <w:t>Mej. vs zeros (%)</w:t>
            </w:r>
          </w:p>
        </w:tc>
        <w:tc>
          <w:tcPr>
            <w:tcW w:w="1337" w:type="dxa"/>
          </w:tcPr>
          <w:p w14:paraId="5D788117" w14:textId="77777777" w:rsidR="008D7AEC" w:rsidRDefault="00000000">
            <w:r>
              <w:rPr>
                <w:b/>
              </w:rPr>
              <w:t>% bate baseline</w:t>
            </w:r>
          </w:p>
        </w:tc>
        <w:tc>
          <w:tcPr>
            <w:tcW w:w="1337" w:type="dxa"/>
          </w:tcPr>
          <w:p w14:paraId="72FD31A9" w14:textId="77777777" w:rsidR="008D7AEC" w:rsidRDefault="00000000">
            <w:r>
              <w:rPr>
                <w:b/>
              </w:rPr>
              <w:t>% bate zeros</w:t>
            </w:r>
          </w:p>
        </w:tc>
      </w:tr>
      <w:tr w:rsidR="008D7AEC" w14:paraId="0B00D10B" w14:textId="77777777">
        <w:tc>
          <w:tcPr>
            <w:tcW w:w="1337" w:type="dxa"/>
          </w:tcPr>
          <w:p w14:paraId="69668CD9" w14:textId="77777777" w:rsidR="008D7AEC" w:rsidRDefault="00000000">
            <w:r>
              <w:t>Ridge</w:t>
            </w:r>
          </w:p>
        </w:tc>
        <w:tc>
          <w:tcPr>
            <w:tcW w:w="1337" w:type="dxa"/>
          </w:tcPr>
          <w:p w14:paraId="1E366070" w14:textId="77777777" w:rsidR="008D7AEC" w:rsidRDefault="00000000">
            <w:r>
              <w:t>0</w:t>
            </w:r>
          </w:p>
        </w:tc>
        <w:tc>
          <w:tcPr>
            <w:tcW w:w="1337" w:type="dxa"/>
          </w:tcPr>
          <w:p w14:paraId="271E68FA" w14:textId="77777777" w:rsidR="008D7AEC" w:rsidRDefault="00000000">
            <w:r>
              <w:t>0.00490</w:t>
            </w:r>
          </w:p>
        </w:tc>
        <w:tc>
          <w:tcPr>
            <w:tcW w:w="1337" w:type="dxa"/>
          </w:tcPr>
          <w:p w14:paraId="54AE12D0" w14:textId="77777777" w:rsidR="008D7AEC" w:rsidRDefault="00000000">
            <w:r>
              <w:t>31.67%</w:t>
            </w:r>
          </w:p>
        </w:tc>
        <w:tc>
          <w:tcPr>
            <w:tcW w:w="1337" w:type="dxa"/>
          </w:tcPr>
          <w:p w14:paraId="3514A728" w14:textId="77777777" w:rsidR="008D7AEC" w:rsidRDefault="00000000">
            <w:r>
              <w:t>0.66%</w:t>
            </w:r>
          </w:p>
        </w:tc>
        <w:tc>
          <w:tcPr>
            <w:tcW w:w="1337" w:type="dxa"/>
          </w:tcPr>
          <w:p w14:paraId="745D6B17" w14:textId="77777777" w:rsidR="008D7AEC" w:rsidRDefault="00000000">
            <w:r>
              <w:t>96.6%</w:t>
            </w:r>
          </w:p>
        </w:tc>
        <w:tc>
          <w:tcPr>
            <w:tcW w:w="1337" w:type="dxa"/>
          </w:tcPr>
          <w:p w14:paraId="3EE24F16" w14:textId="77777777" w:rsidR="008D7AEC" w:rsidRDefault="00000000">
            <w:r>
              <w:t>56.9%</w:t>
            </w:r>
          </w:p>
        </w:tc>
      </w:tr>
      <w:tr w:rsidR="008D7AEC" w14:paraId="57D67F68" w14:textId="77777777">
        <w:tc>
          <w:tcPr>
            <w:tcW w:w="1337" w:type="dxa"/>
          </w:tcPr>
          <w:p w14:paraId="39604280" w14:textId="77777777" w:rsidR="008D7AEC" w:rsidRDefault="00000000">
            <w:r>
              <w:t>Ridge</w:t>
            </w:r>
          </w:p>
        </w:tc>
        <w:tc>
          <w:tcPr>
            <w:tcW w:w="1337" w:type="dxa"/>
          </w:tcPr>
          <w:p w14:paraId="3CE4087C" w14:textId="77777777" w:rsidR="008D7AEC" w:rsidRDefault="00000000">
            <w:r>
              <w:t>2</w:t>
            </w:r>
          </w:p>
        </w:tc>
        <w:tc>
          <w:tcPr>
            <w:tcW w:w="1337" w:type="dxa"/>
          </w:tcPr>
          <w:p w14:paraId="13264AAD" w14:textId="77777777" w:rsidR="008D7AEC" w:rsidRDefault="00000000">
            <w:r>
              <w:t>0.00432</w:t>
            </w:r>
          </w:p>
        </w:tc>
        <w:tc>
          <w:tcPr>
            <w:tcW w:w="1337" w:type="dxa"/>
          </w:tcPr>
          <w:p w14:paraId="3F0B8938" w14:textId="77777777" w:rsidR="008D7AEC" w:rsidRDefault="00000000">
            <w:r>
              <w:t>37.67%</w:t>
            </w:r>
          </w:p>
        </w:tc>
        <w:tc>
          <w:tcPr>
            <w:tcW w:w="1337" w:type="dxa"/>
          </w:tcPr>
          <w:p w14:paraId="389BEFED" w14:textId="77777777" w:rsidR="008D7AEC" w:rsidRDefault="00000000">
            <w:r>
              <w:t>2.12%</w:t>
            </w:r>
          </w:p>
        </w:tc>
        <w:tc>
          <w:tcPr>
            <w:tcW w:w="1337" w:type="dxa"/>
          </w:tcPr>
          <w:p w14:paraId="515034FB" w14:textId="77777777" w:rsidR="008D7AEC" w:rsidRDefault="00000000">
            <w:r>
              <w:t>98.3%</w:t>
            </w:r>
          </w:p>
        </w:tc>
        <w:tc>
          <w:tcPr>
            <w:tcW w:w="1337" w:type="dxa"/>
          </w:tcPr>
          <w:p w14:paraId="0D0D71E1" w14:textId="77777777" w:rsidR="008D7AEC" w:rsidRDefault="00000000">
            <w:r>
              <w:t>51.7%</w:t>
            </w:r>
          </w:p>
        </w:tc>
      </w:tr>
      <w:tr w:rsidR="008D7AEC" w14:paraId="206553E2" w14:textId="77777777">
        <w:tc>
          <w:tcPr>
            <w:tcW w:w="1337" w:type="dxa"/>
          </w:tcPr>
          <w:p w14:paraId="5AE29B3C" w14:textId="77777777" w:rsidR="008D7AEC" w:rsidRDefault="00000000">
            <w:r>
              <w:t>GBR</w:t>
            </w:r>
          </w:p>
        </w:tc>
        <w:tc>
          <w:tcPr>
            <w:tcW w:w="1337" w:type="dxa"/>
          </w:tcPr>
          <w:p w14:paraId="426A4090" w14:textId="77777777" w:rsidR="008D7AEC" w:rsidRDefault="00000000">
            <w:r>
              <w:t>0</w:t>
            </w:r>
          </w:p>
        </w:tc>
        <w:tc>
          <w:tcPr>
            <w:tcW w:w="1337" w:type="dxa"/>
          </w:tcPr>
          <w:p w14:paraId="013BA025" w14:textId="77777777" w:rsidR="008D7AEC" w:rsidRDefault="00000000">
            <w:r>
              <w:t>0.00494</w:t>
            </w:r>
          </w:p>
        </w:tc>
        <w:tc>
          <w:tcPr>
            <w:tcW w:w="1337" w:type="dxa"/>
          </w:tcPr>
          <w:p w14:paraId="677B5806" w14:textId="77777777" w:rsidR="008D7AEC" w:rsidRDefault="00000000">
            <w:r>
              <w:t>28.76%</w:t>
            </w:r>
          </w:p>
        </w:tc>
        <w:tc>
          <w:tcPr>
            <w:tcW w:w="1337" w:type="dxa"/>
          </w:tcPr>
          <w:p w14:paraId="01ECBAF2" w14:textId="77777777" w:rsidR="008D7AEC" w:rsidRDefault="00000000">
            <w:r>
              <w:t>-9.05%</w:t>
            </w:r>
          </w:p>
        </w:tc>
        <w:tc>
          <w:tcPr>
            <w:tcW w:w="1337" w:type="dxa"/>
          </w:tcPr>
          <w:p w14:paraId="71CC8FE8" w14:textId="77777777" w:rsidR="008D7AEC" w:rsidRDefault="00000000">
            <w:r>
              <w:t>96.6%</w:t>
            </w:r>
          </w:p>
        </w:tc>
        <w:tc>
          <w:tcPr>
            <w:tcW w:w="1337" w:type="dxa"/>
          </w:tcPr>
          <w:p w14:paraId="4FB9A7C0" w14:textId="77777777" w:rsidR="008D7AEC" w:rsidRDefault="00000000">
            <w:r>
              <w:t>34.5%</w:t>
            </w:r>
          </w:p>
        </w:tc>
      </w:tr>
      <w:tr w:rsidR="008D7AEC" w14:paraId="492C6452" w14:textId="77777777">
        <w:tc>
          <w:tcPr>
            <w:tcW w:w="1337" w:type="dxa"/>
          </w:tcPr>
          <w:p w14:paraId="6A4FC47D" w14:textId="77777777" w:rsidR="008D7AEC" w:rsidRDefault="00000000">
            <w:r>
              <w:t>GBR</w:t>
            </w:r>
          </w:p>
        </w:tc>
        <w:tc>
          <w:tcPr>
            <w:tcW w:w="1337" w:type="dxa"/>
          </w:tcPr>
          <w:p w14:paraId="1131E2E1" w14:textId="77777777" w:rsidR="008D7AEC" w:rsidRDefault="00000000">
            <w:r>
              <w:t>3</w:t>
            </w:r>
          </w:p>
        </w:tc>
        <w:tc>
          <w:tcPr>
            <w:tcW w:w="1337" w:type="dxa"/>
          </w:tcPr>
          <w:p w14:paraId="41D981B1" w14:textId="77777777" w:rsidR="008D7AEC" w:rsidRDefault="00000000">
            <w:r>
              <w:t>0.00422</w:t>
            </w:r>
          </w:p>
        </w:tc>
        <w:tc>
          <w:tcPr>
            <w:tcW w:w="1337" w:type="dxa"/>
          </w:tcPr>
          <w:p w14:paraId="505146BB" w14:textId="77777777" w:rsidR="008D7AEC" w:rsidRDefault="00000000">
            <w:r>
              <w:t>39.07%</w:t>
            </w:r>
          </w:p>
        </w:tc>
        <w:tc>
          <w:tcPr>
            <w:tcW w:w="1337" w:type="dxa"/>
          </w:tcPr>
          <w:p w14:paraId="59134F32" w14:textId="77777777" w:rsidR="008D7AEC" w:rsidRDefault="00000000">
            <w:r>
              <w:t>-4.43%</w:t>
            </w:r>
          </w:p>
        </w:tc>
        <w:tc>
          <w:tcPr>
            <w:tcW w:w="1337" w:type="dxa"/>
          </w:tcPr>
          <w:p w14:paraId="54D21425" w14:textId="77777777" w:rsidR="008D7AEC" w:rsidRDefault="00000000">
            <w:r>
              <w:t>96.6%</w:t>
            </w:r>
          </w:p>
        </w:tc>
        <w:tc>
          <w:tcPr>
            <w:tcW w:w="1337" w:type="dxa"/>
          </w:tcPr>
          <w:p w14:paraId="1A5BA743" w14:textId="77777777" w:rsidR="008D7AEC" w:rsidRDefault="00000000">
            <w:r>
              <w:t>55.2%</w:t>
            </w:r>
          </w:p>
        </w:tc>
      </w:tr>
      <w:tr w:rsidR="008D7AEC" w14:paraId="754C2BFE" w14:textId="77777777">
        <w:tc>
          <w:tcPr>
            <w:tcW w:w="1337" w:type="dxa"/>
          </w:tcPr>
          <w:p w14:paraId="4711735B" w14:textId="77777777" w:rsidR="008D7AEC" w:rsidRDefault="00000000">
            <w:r>
              <w:lastRenderedPageBreak/>
              <w:t>RandomForest</w:t>
            </w:r>
          </w:p>
        </w:tc>
        <w:tc>
          <w:tcPr>
            <w:tcW w:w="1337" w:type="dxa"/>
          </w:tcPr>
          <w:p w14:paraId="03835489" w14:textId="77777777" w:rsidR="008D7AEC" w:rsidRDefault="00000000">
            <w:r>
              <w:t>0</w:t>
            </w:r>
          </w:p>
        </w:tc>
        <w:tc>
          <w:tcPr>
            <w:tcW w:w="1337" w:type="dxa"/>
          </w:tcPr>
          <w:p w14:paraId="604EC384" w14:textId="77777777" w:rsidR="008D7AEC" w:rsidRDefault="00000000">
            <w:r>
              <w:t>0.00451</w:t>
            </w:r>
          </w:p>
        </w:tc>
        <w:tc>
          <w:tcPr>
            <w:tcW w:w="1337" w:type="dxa"/>
          </w:tcPr>
          <w:p w14:paraId="48AF7E30" w14:textId="77777777" w:rsidR="008D7AEC" w:rsidRDefault="00000000">
            <w:r>
              <w:t>34.91%</w:t>
            </w:r>
          </w:p>
        </w:tc>
        <w:tc>
          <w:tcPr>
            <w:tcW w:w="1337" w:type="dxa"/>
          </w:tcPr>
          <w:p w14:paraId="0F88CC1C" w14:textId="77777777" w:rsidR="008D7AEC" w:rsidRDefault="00000000">
            <w:r>
              <w:t>-2.18%</w:t>
            </w:r>
          </w:p>
        </w:tc>
        <w:tc>
          <w:tcPr>
            <w:tcW w:w="1337" w:type="dxa"/>
          </w:tcPr>
          <w:p w14:paraId="0E0B0B64" w14:textId="77777777" w:rsidR="008D7AEC" w:rsidRDefault="00000000">
            <w:r>
              <w:t>96.6%</w:t>
            </w:r>
          </w:p>
        </w:tc>
        <w:tc>
          <w:tcPr>
            <w:tcW w:w="1337" w:type="dxa"/>
          </w:tcPr>
          <w:p w14:paraId="58C0BE2A" w14:textId="77777777" w:rsidR="008D7AEC" w:rsidRDefault="00000000">
            <w:r>
              <w:t>56.9%</w:t>
            </w:r>
          </w:p>
        </w:tc>
      </w:tr>
      <w:tr w:rsidR="008D7AEC" w14:paraId="135B85BD" w14:textId="77777777">
        <w:tc>
          <w:tcPr>
            <w:tcW w:w="1337" w:type="dxa"/>
          </w:tcPr>
          <w:p w14:paraId="0640AE35" w14:textId="77777777" w:rsidR="008D7AEC" w:rsidRDefault="00000000">
            <w:r>
              <w:t>RandomForest</w:t>
            </w:r>
          </w:p>
        </w:tc>
        <w:tc>
          <w:tcPr>
            <w:tcW w:w="1337" w:type="dxa"/>
          </w:tcPr>
          <w:p w14:paraId="7A67CF56" w14:textId="77777777" w:rsidR="008D7AEC" w:rsidRDefault="00000000">
            <w:r>
              <w:t>3</w:t>
            </w:r>
          </w:p>
        </w:tc>
        <w:tc>
          <w:tcPr>
            <w:tcW w:w="1337" w:type="dxa"/>
          </w:tcPr>
          <w:p w14:paraId="7B8A1D42" w14:textId="77777777" w:rsidR="008D7AEC" w:rsidRDefault="00000000">
            <w:r>
              <w:t>0.00441</w:t>
            </w:r>
          </w:p>
        </w:tc>
        <w:tc>
          <w:tcPr>
            <w:tcW w:w="1337" w:type="dxa"/>
          </w:tcPr>
          <w:p w14:paraId="7C917977" w14:textId="77777777" w:rsidR="008D7AEC" w:rsidRDefault="00000000">
            <w:r>
              <w:t>36.32%</w:t>
            </w:r>
          </w:p>
        </w:tc>
        <w:tc>
          <w:tcPr>
            <w:tcW w:w="1337" w:type="dxa"/>
          </w:tcPr>
          <w:p w14:paraId="73EDBA3F" w14:textId="77777777" w:rsidR="008D7AEC" w:rsidRDefault="00000000">
            <w:r>
              <w:t>0.10%</w:t>
            </w:r>
          </w:p>
        </w:tc>
        <w:tc>
          <w:tcPr>
            <w:tcW w:w="1337" w:type="dxa"/>
          </w:tcPr>
          <w:p w14:paraId="020EF202" w14:textId="77777777" w:rsidR="008D7AEC" w:rsidRDefault="00000000">
            <w:r>
              <w:t>96.6%</w:t>
            </w:r>
          </w:p>
        </w:tc>
        <w:tc>
          <w:tcPr>
            <w:tcW w:w="1337" w:type="dxa"/>
          </w:tcPr>
          <w:p w14:paraId="1266F897" w14:textId="77777777" w:rsidR="008D7AEC" w:rsidRDefault="00000000">
            <w:r>
              <w:t>53.4%</w:t>
            </w:r>
          </w:p>
        </w:tc>
      </w:tr>
      <w:tr w:rsidR="008D7AEC" w14:paraId="79522A9B" w14:textId="77777777">
        <w:tc>
          <w:tcPr>
            <w:tcW w:w="1337" w:type="dxa"/>
          </w:tcPr>
          <w:p w14:paraId="392655B7" w14:textId="77777777" w:rsidR="008D7AEC" w:rsidRDefault="00000000">
            <w:r>
              <w:t>LinearRegression</w:t>
            </w:r>
          </w:p>
        </w:tc>
        <w:tc>
          <w:tcPr>
            <w:tcW w:w="1337" w:type="dxa"/>
          </w:tcPr>
          <w:p w14:paraId="0EB30DD9" w14:textId="77777777" w:rsidR="008D7AEC" w:rsidRDefault="00000000">
            <w:r>
              <w:t>0</w:t>
            </w:r>
          </w:p>
        </w:tc>
        <w:tc>
          <w:tcPr>
            <w:tcW w:w="1337" w:type="dxa"/>
          </w:tcPr>
          <w:p w14:paraId="0626F270" w14:textId="77777777" w:rsidR="008D7AEC" w:rsidRDefault="00000000">
            <w:r>
              <w:t>0.00707</w:t>
            </w:r>
          </w:p>
        </w:tc>
        <w:tc>
          <w:tcPr>
            <w:tcW w:w="1337" w:type="dxa"/>
          </w:tcPr>
          <w:p w14:paraId="1F2F536F" w14:textId="77777777" w:rsidR="008D7AEC" w:rsidRDefault="00000000">
            <w:r>
              <w:t>-2.09%</w:t>
            </w:r>
          </w:p>
        </w:tc>
        <w:tc>
          <w:tcPr>
            <w:tcW w:w="1337" w:type="dxa"/>
          </w:tcPr>
          <w:p w14:paraId="75A08B42" w14:textId="77777777" w:rsidR="008D7AEC" w:rsidRDefault="00000000">
            <w:r>
              <w:t>-60.1%</w:t>
            </w:r>
          </w:p>
        </w:tc>
        <w:tc>
          <w:tcPr>
            <w:tcW w:w="1337" w:type="dxa"/>
          </w:tcPr>
          <w:p w14:paraId="2B0B5D30" w14:textId="77777777" w:rsidR="008D7AEC" w:rsidRDefault="00000000">
            <w:r>
              <w:t>25.9%</w:t>
            </w:r>
          </w:p>
        </w:tc>
        <w:tc>
          <w:tcPr>
            <w:tcW w:w="1337" w:type="dxa"/>
          </w:tcPr>
          <w:p w14:paraId="6E02B7CD" w14:textId="77777777" w:rsidR="008D7AEC" w:rsidRDefault="00000000">
            <w:r>
              <w:t>6.9%</w:t>
            </w:r>
          </w:p>
        </w:tc>
      </w:tr>
      <w:tr w:rsidR="008D7AEC" w14:paraId="111408F8" w14:textId="77777777">
        <w:tc>
          <w:tcPr>
            <w:tcW w:w="1337" w:type="dxa"/>
          </w:tcPr>
          <w:p w14:paraId="60397551" w14:textId="77777777" w:rsidR="008D7AEC" w:rsidRDefault="00000000">
            <w:r>
              <w:t>LinearRegression</w:t>
            </w:r>
          </w:p>
        </w:tc>
        <w:tc>
          <w:tcPr>
            <w:tcW w:w="1337" w:type="dxa"/>
          </w:tcPr>
          <w:p w14:paraId="17568BC1" w14:textId="77777777" w:rsidR="008D7AEC" w:rsidRDefault="00000000">
            <w:r>
              <w:t>2</w:t>
            </w:r>
          </w:p>
        </w:tc>
        <w:tc>
          <w:tcPr>
            <w:tcW w:w="1337" w:type="dxa"/>
          </w:tcPr>
          <w:p w14:paraId="6E3C3118" w14:textId="77777777" w:rsidR="008D7AEC" w:rsidRDefault="00000000">
            <w:r>
              <w:t>0.02521</w:t>
            </w:r>
          </w:p>
        </w:tc>
        <w:tc>
          <w:tcPr>
            <w:tcW w:w="1337" w:type="dxa"/>
          </w:tcPr>
          <w:p w14:paraId="16345896" w14:textId="77777777" w:rsidR="008D7AEC" w:rsidRDefault="00000000">
            <w:r>
              <w:t>-263.8%</w:t>
            </w:r>
          </w:p>
        </w:tc>
        <w:tc>
          <w:tcPr>
            <w:tcW w:w="1337" w:type="dxa"/>
          </w:tcPr>
          <w:p w14:paraId="71373780" w14:textId="77777777" w:rsidR="008D7AEC" w:rsidRDefault="00000000">
            <w:r>
              <w:t>-470.5%</w:t>
            </w:r>
          </w:p>
        </w:tc>
        <w:tc>
          <w:tcPr>
            <w:tcW w:w="1337" w:type="dxa"/>
          </w:tcPr>
          <w:p w14:paraId="6E590E80" w14:textId="77777777" w:rsidR="008D7AEC" w:rsidRDefault="00000000">
            <w:r>
              <w:t>12.1%</w:t>
            </w:r>
          </w:p>
        </w:tc>
        <w:tc>
          <w:tcPr>
            <w:tcW w:w="1337" w:type="dxa"/>
          </w:tcPr>
          <w:p w14:paraId="698E3F01" w14:textId="77777777" w:rsidR="008D7AEC" w:rsidRDefault="00000000">
            <w:r>
              <w:t>12.1%</w:t>
            </w:r>
          </w:p>
        </w:tc>
      </w:tr>
    </w:tbl>
    <w:p w14:paraId="48A8D262" w14:textId="77777777" w:rsidR="008D7AEC" w:rsidRDefault="00000000">
      <w:pPr>
        <w:pStyle w:val="Textoindependiente"/>
        <w:jc w:val="center"/>
      </w:pPr>
      <w:r>
        <w:t>Tabla 5-4. Resumen de resultados de modelos ML semanales por configuración de lags. Fuente: elaboración propia.</w:t>
      </w:r>
    </w:p>
    <w:p w14:paraId="0F9BCD99" w14:textId="77777777" w:rsidR="008D7AEC" w:rsidRDefault="00000000">
      <w:pPr>
        <w:pStyle w:val="Textoindependiente"/>
      </w:pPr>
      <w:r>
        <w:t>Los tres modelos buenos (Ridge, Random Forest y Gradient Boosting) obtienen resultados muy similares. La diferencia entre el mejor y el peor de ellos en RMSE es inferior a 0,0005, lo que en términos financieros es irrelevante. Esto sugiere que el límite de predictibilidad de estas series con los inputs disponibles está en torno a ese RMSE y que los tres modelos lo han alcanzado.</w:t>
      </w:r>
    </w:p>
    <w:p w14:paraId="672B31CF" w14:textId="77777777" w:rsidR="008D7AEC" w:rsidRDefault="00000000">
      <w:pPr>
        <w:pStyle w:val="Textoindependiente"/>
      </w:pPr>
      <w:r>
        <w:t>La Regresión Lineal queda claramente fuera del análisis competitivo. Con 182 columnas y solo 264 observaciones en el caso base, el sistema está sobredeterminado y el modelo sufre sobreajuste severo. Al añadir lags, la situación empeora drásticamente: con 2 lags el RMSE llega a 0,02521, casi cuatro veces el del baseline naive. Este no es un fallo del sistema experimental sino un comportamiento esperado y bien documentado de OLS en espacios de alta dimensionalidad sin regularización. El modelo Ridge, que es exactamente la solución a este problema, funciona correctamente en la misma situación.</w:t>
      </w:r>
    </w:p>
    <w:p w14:paraId="7F22BA1F" w14:textId="77777777" w:rsidR="008D7AEC" w:rsidRDefault="00000000">
      <w:pPr>
        <w:pStyle w:val="Ttulo3"/>
      </w:pPr>
      <w:r>
        <w:t>Impacto de los lags: confirmación empírica</w:t>
      </w:r>
    </w:p>
    <w:p w14:paraId="724B34FD" w14:textId="77777777" w:rsidR="008D7AEC" w:rsidRDefault="00000000">
      <w:pPr>
        <w:pStyle w:val="Textoindependiente"/>
      </w:pPr>
      <w:r>
        <w:t>La Tabla 5-4 muestra que los mejores resultados de Ridge y Random Forest aparecen con 0 lags en RMSE, aunque las diferencias son mínimas entre configuraciones. Para Gradient Boosting el menor RMSE aparece con 3 lags, pero la diferencia con 0 lags es de apenas 0,00007. En ningún caso la mejora al añadir lags es suficientemente grande como para justificar la mayor complejidad del dataset.</w:t>
      </w:r>
    </w:p>
    <w:p w14:paraId="4A3CC652" w14:textId="77777777" w:rsidR="008D7AEC" w:rsidRDefault="00000000">
      <w:pPr>
        <w:pStyle w:val="Textoindependiente"/>
      </w:pPr>
      <w:r>
        <w:t xml:space="preserve">Este resultado confirma de forma empírica y por un camino completamente independiente lo que los análisis ACF/PACF ya indicaban: los retornos semanales de estos ETFs no presentan autocorrelación </w:t>
      </w:r>
      <w:r>
        <w:lastRenderedPageBreak/>
        <w:t>significativa que pueda explotarse para mejorar la predicción. Tanto los modelos clásicos de series temporales como los modernos de machine learning convergen en la misma conclusión.</w:t>
      </w:r>
    </w:p>
    <w:p w14:paraId="18910DBC" w14:textId="77777777" w:rsidR="008D7AEC" w:rsidRDefault="00000000">
      <w:pPr>
        <w:pStyle w:val="Textoindependiente"/>
      </w:pPr>
      <w:r>
        <w:rPr>
          <w:b/>
          <w:color w:val="C00000"/>
        </w:rPr>
        <w:t>[TODO: insertar figura con RMSE por modelo y número de lags (gráfico de barras) — Figura 5-4. Fuente: elaboración propia]</w:t>
      </w:r>
    </w:p>
    <w:p w14:paraId="0FC8A5E3" w14:textId="77777777" w:rsidR="008D7AEC" w:rsidRDefault="00000000">
      <w:pPr>
        <w:pStyle w:val="Textoindependiente"/>
      </w:pPr>
      <w:r>
        <w:rPr>
          <w:b/>
          <w:color w:val="C00000"/>
        </w:rPr>
        <w:t>[TODO: insertar figura con ranking de ETFs que baten al benchmark de ceros con Ridge 0 lags — Figura 5-5. Fuente: elaboración propia]</w:t>
      </w:r>
    </w:p>
    <w:p w14:paraId="1F90BEF9" w14:textId="77777777" w:rsidR="008D7AEC" w:rsidRDefault="00000000">
      <w:pPr>
        <w:pStyle w:val="Ttulo3"/>
      </w:pPr>
      <w:r>
        <w:t>Patrones por tipo de activo</w:t>
      </w:r>
    </w:p>
    <w:p w14:paraId="0EFB1134" w14:textId="77777777" w:rsidR="008D7AEC" w:rsidRDefault="00000000">
      <w:pPr>
        <w:pStyle w:val="Textoindependiente"/>
      </w:pPr>
      <w:r>
        <w:t>Los resultados no son homogéneos entre grupos de ETFs. La renta fija es el grupo más predecible: TIP, HYG, JNK, BND y AGG tienen RMSE entre 0,00126 y 0,00155 en ARIMA semanal, muy por debajo del resto. El modelo Ridge domina en este grupo, coherente con que los bonos responden principalmente a factores macroeconómicos de naturaleza lineal (tipos de interés, inflación). Las materias primas son las más difíciles: USO y SLV tienen RMSE entre 0,01022 y 0,01289. Los ETFs chinos FXI y MCHI son los más difíciles del grupo internacional, con precisión direccional negativa o nula.</w:t>
      </w:r>
    </w:p>
    <w:p w14:paraId="50CFBAF3" w14:textId="77777777" w:rsidR="008D7AEC" w:rsidRDefault="00000000">
      <w:pPr>
        <w:pStyle w:val="Textoindependiente"/>
      </w:pPr>
      <w:r>
        <w:t>Esta heterogeneidad tiene implicaciones para el backtest de Markowitz: para los ETFs donde el modelo no mejora al benchmark de ceros, las predicciones ARIMA son esencialmente neutrales (predicen retorno cercano a cero), por lo que el optimizador decide su presencia en la cartera principalmente en función de la covarianza. Esto mantiene la integridad de la cartera sin introducir señales erróneas.</w:t>
      </w:r>
    </w:p>
    <w:p w14:paraId="4C43EBEC" w14:textId="77777777" w:rsidR="008D7AEC" w:rsidRDefault="00000000">
      <w:pPr>
        <w:pStyle w:val="Ttulo2"/>
      </w:pPr>
      <w:r>
        <w:t>Comparación global de modelos y selección final</w:t>
      </w:r>
    </w:p>
    <w:p w14:paraId="64BE88EF" w14:textId="77777777" w:rsidR="008D7AEC" w:rsidRDefault="00000000">
      <w:pPr>
        <w:pStyle w:val="Textoindependiente"/>
      </w:pPr>
      <w:r>
        <w:t>La Tabla 5-5 resume la comparación entre los mejores modelos de cada familia en la frecuencia semanal.</w:t>
      </w:r>
    </w:p>
    <w:tbl>
      <w:tblPr>
        <w:tblStyle w:val="Tablaconcuadrcula"/>
        <w:tblW w:w="0" w:type="auto"/>
        <w:tblLook w:val="04A0" w:firstRow="1" w:lastRow="0" w:firstColumn="1" w:lastColumn="0" w:noHBand="0" w:noVBand="1"/>
      </w:tblPr>
      <w:tblGrid>
        <w:gridCol w:w="1871"/>
        <w:gridCol w:w="1871"/>
        <w:gridCol w:w="1870"/>
        <w:gridCol w:w="1869"/>
        <w:gridCol w:w="1869"/>
      </w:tblGrid>
      <w:tr w:rsidR="008D7AEC" w14:paraId="2BF84A96" w14:textId="77777777">
        <w:tc>
          <w:tcPr>
            <w:tcW w:w="1872" w:type="dxa"/>
          </w:tcPr>
          <w:p w14:paraId="7C982E9C" w14:textId="77777777" w:rsidR="008D7AEC" w:rsidRDefault="00000000">
            <w:r>
              <w:rPr>
                <w:b/>
              </w:rPr>
              <w:t>Modelo</w:t>
            </w:r>
          </w:p>
        </w:tc>
        <w:tc>
          <w:tcPr>
            <w:tcW w:w="1872" w:type="dxa"/>
          </w:tcPr>
          <w:p w14:paraId="75410530" w14:textId="77777777" w:rsidR="008D7AEC" w:rsidRDefault="00000000">
            <w:r>
              <w:rPr>
                <w:b/>
              </w:rPr>
              <w:t>RMSE medio</w:t>
            </w:r>
          </w:p>
        </w:tc>
        <w:tc>
          <w:tcPr>
            <w:tcW w:w="1872" w:type="dxa"/>
          </w:tcPr>
          <w:p w14:paraId="5A70FFA4" w14:textId="77777777" w:rsidR="008D7AEC" w:rsidRDefault="00000000">
            <w:r>
              <w:rPr>
                <w:b/>
              </w:rPr>
              <w:t>Mej. vs naive (%)</w:t>
            </w:r>
          </w:p>
        </w:tc>
        <w:tc>
          <w:tcPr>
            <w:tcW w:w="1872" w:type="dxa"/>
          </w:tcPr>
          <w:p w14:paraId="3C0C2480" w14:textId="77777777" w:rsidR="008D7AEC" w:rsidRDefault="00000000">
            <w:r>
              <w:rPr>
                <w:b/>
              </w:rPr>
              <w:t>Mej. vs zeros (%)</w:t>
            </w:r>
          </w:p>
        </w:tc>
        <w:tc>
          <w:tcPr>
            <w:tcW w:w="1872" w:type="dxa"/>
          </w:tcPr>
          <w:p w14:paraId="38E107E2" w14:textId="77777777" w:rsidR="008D7AEC" w:rsidRDefault="00000000">
            <w:r>
              <w:rPr>
                <w:b/>
              </w:rPr>
              <w:t>ETFs &gt; zeros (%)</w:t>
            </w:r>
          </w:p>
        </w:tc>
      </w:tr>
      <w:tr w:rsidR="008D7AEC" w14:paraId="0E41018F" w14:textId="77777777">
        <w:tc>
          <w:tcPr>
            <w:tcW w:w="1872" w:type="dxa"/>
          </w:tcPr>
          <w:p w14:paraId="6F521C07" w14:textId="77777777" w:rsidR="008D7AEC" w:rsidRDefault="00000000">
            <w:r>
              <w:t>ARIMA semanal</w:t>
            </w:r>
          </w:p>
        </w:tc>
        <w:tc>
          <w:tcPr>
            <w:tcW w:w="1872" w:type="dxa"/>
          </w:tcPr>
          <w:p w14:paraId="3C0A39F2" w14:textId="77777777" w:rsidR="008D7AEC" w:rsidRDefault="00000000">
            <w:r>
              <w:t>0.00492</w:t>
            </w:r>
          </w:p>
        </w:tc>
        <w:tc>
          <w:tcPr>
            <w:tcW w:w="1872" w:type="dxa"/>
          </w:tcPr>
          <w:p w14:paraId="6F5DC710" w14:textId="77777777" w:rsidR="008D7AEC" w:rsidRDefault="00000000">
            <w:r>
              <w:t>31.1%</w:t>
            </w:r>
          </w:p>
        </w:tc>
        <w:tc>
          <w:tcPr>
            <w:tcW w:w="1872" w:type="dxa"/>
          </w:tcPr>
          <w:p w14:paraId="7BAA9BF5" w14:textId="77777777" w:rsidR="008D7AEC" w:rsidRDefault="00000000">
            <w:r>
              <w:t>-0.1%</w:t>
            </w:r>
          </w:p>
        </w:tc>
        <w:tc>
          <w:tcPr>
            <w:tcW w:w="1872" w:type="dxa"/>
          </w:tcPr>
          <w:p w14:paraId="5B2DFC9D" w14:textId="77777777" w:rsidR="008D7AEC" w:rsidRDefault="00000000">
            <w:r>
              <w:t>52%</w:t>
            </w:r>
          </w:p>
        </w:tc>
      </w:tr>
      <w:tr w:rsidR="008D7AEC" w14:paraId="04F20ED9" w14:textId="77777777">
        <w:tc>
          <w:tcPr>
            <w:tcW w:w="1872" w:type="dxa"/>
          </w:tcPr>
          <w:p w14:paraId="6EE57B5A" w14:textId="77777777" w:rsidR="008D7AEC" w:rsidRDefault="00000000">
            <w:r>
              <w:t>Ridge 0 lags</w:t>
            </w:r>
          </w:p>
        </w:tc>
        <w:tc>
          <w:tcPr>
            <w:tcW w:w="1872" w:type="dxa"/>
          </w:tcPr>
          <w:p w14:paraId="74BA1292" w14:textId="77777777" w:rsidR="008D7AEC" w:rsidRDefault="00000000">
            <w:r>
              <w:t>0.00490</w:t>
            </w:r>
          </w:p>
        </w:tc>
        <w:tc>
          <w:tcPr>
            <w:tcW w:w="1872" w:type="dxa"/>
          </w:tcPr>
          <w:p w14:paraId="21675404" w14:textId="77777777" w:rsidR="008D7AEC" w:rsidRDefault="00000000">
            <w:r>
              <w:t>31.7%</w:t>
            </w:r>
          </w:p>
        </w:tc>
        <w:tc>
          <w:tcPr>
            <w:tcW w:w="1872" w:type="dxa"/>
          </w:tcPr>
          <w:p w14:paraId="140EE35D" w14:textId="77777777" w:rsidR="008D7AEC" w:rsidRDefault="00000000">
            <w:r>
              <w:t>0.7%</w:t>
            </w:r>
          </w:p>
        </w:tc>
        <w:tc>
          <w:tcPr>
            <w:tcW w:w="1872" w:type="dxa"/>
          </w:tcPr>
          <w:p w14:paraId="1A352C52" w14:textId="77777777" w:rsidR="008D7AEC" w:rsidRDefault="00000000">
            <w:r>
              <w:t>57%</w:t>
            </w:r>
          </w:p>
        </w:tc>
      </w:tr>
      <w:tr w:rsidR="008D7AEC" w14:paraId="69A7CC5E" w14:textId="77777777">
        <w:tc>
          <w:tcPr>
            <w:tcW w:w="1872" w:type="dxa"/>
          </w:tcPr>
          <w:p w14:paraId="55305221" w14:textId="77777777" w:rsidR="008D7AEC" w:rsidRDefault="00000000">
            <w:r>
              <w:t>GBR 0 lags</w:t>
            </w:r>
          </w:p>
        </w:tc>
        <w:tc>
          <w:tcPr>
            <w:tcW w:w="1872" w:type="dxa"/>
          </w:tcPr>
          <w:p w14:paraId="39CB97C7" w14:textId="77777777" w:rsidR="008D7AEC" w:rsidRDefault="00000000">
            <w:r>
              <w:t>0.00494</w:t>
            </w:r>
          </w:p>
        </w:tc>
        <w:tc>
          <w:tcPr>
            <w:tcW w:w="1872" w:type="dxa"/>
          </w:tcPr>
          <w:p w14:paraId="528A7453" w14:textId="77777777" w:rsidR="008D7AEC" w:rsidRDefault="00000000">
            <w:r>
              <w:t>28.8%</w:t>
            </w:r>
          </w:p>
        </w:tc>
        <w:tc>
          <w:tcPr>
            <w:tcW w:w="1872" w:type="dxa"/>
          </w:tcPr>
          <w:p w14:paraId="249D757C" w14:textId="77777777" w:rsidR="008D7AEC" w:rsidRDefault="00000000">
            <w:r>
              <w:t>-9.0%</w:t>
            </w:r>
          </w:p>
        </w:tc>
        <w:tc>
          <w:tcPr>
            <w:tcW w:w="1872" w:type="dxa"/>
          </w:tcPr>
          <w:p w14:paraId="47B0EE03" w14:textId="77777777" w:rsidR="008D7AEC" w:rsidRDefault="00000000">
            <w:r>
              <w:t>35%</w:t>
            </w:r>
          </w:p>
        </w:tc>
      </w:tr>
      <w:tr w:rsidR="008D7AEC" w14:paraId="50E57D3F" w14:textId="77777777">
        <w:tc>
          <w:tcPr>
            <w:tcW w:w="1872" w:type="dxa"/>
          </w:tcPr>
          <w:p w14:paraId="655825D6" w14:textId="77777777" w:rsidR="008D7AEC" w:rsidRDefault="00000000">
            <w:r>
              <w:lastRenderedPageBreak/>
              <w:t>Baseline naive</w:t>
            </w:r>
          </w:p>
        </w:tc>
        <w:tc>
          <w:tcPr>
            <w:tcW w:w="1872" w:type="dxa"/>
          </w:tcPr>
          <w:p w14:paraId="01B06DF8" w14:textId="77777777" w:rsidR="008D7AEC" w:rsidRDefault="00000000">
            <w:r>
              <w:t>0.00714</w:t>
            </w:r>
          </w:p>
        </w:tc>
        <w:tc>
          <w:tcPr>
            <w:tcW w:w="1872" w:type="dxa"/>
          </w:tcPr>
          <w:p w14:paraId="687773CC" w14:textId="77777777" w:rsidR="008D7AEC" w:rsidRDefault="00000000">
            <w:r>
              <w:t>—</w:t>
            </w:r>
          </w:p>
        </w:tc>
        <w:tc>
          <w:tcPr>
            <w:tcW w:w="1872" w:type="dxa"/>
          </w:tcPr>
          <w:p w14:paraId="49A2357F" w14:textId="77777777" w:rsidR="008D7AEC" w:rsidRDefault="00000000">
            <w:r>
              <w:t>—</w:t>
            </w:r>
          </w:p>
        </w:tc>
        <w:tc>
          <w:tcPr>
            <w:tcW w:w="1872" w:type="dxa"/>
          </w:tcPr>
          <w:p w14:paraId="6EEB388D" w14:textId="77777777" w:rsidR="008D7AEC" w:rsidRDefault="00000000">
            <w:r>
              <w:t>—</w:t>
            </w:r>
          </w:p>
        </w:tc>
      </w:tr>
      <w:tr w:rsidR="008D7AEC" w14:paraId="7ABAAB78" w14:textId="77777777">
        <w:tc>
          <w:tcPr>
            <w:tcW w:w="1872" w:type="dxa"/>
          </w:tcPr>
          <w:p w14:paraId="0F02B5D4" w14:textId="77777777" w:rsidR="008D7AEC" w:rsidRDefault="00000000">
            <w:r>
              <w:t>Baseline zeros</w:t>
            </w:r>
          </w:p>
        </w:tc>
        <w:tc>
          <w:tcPr>
            <w:tcW w:w="1872" w:type="dxa"/>
          </w:tcPr>
          <w:p w14:paraId="7606349E" w14:textId="77777777" w:rsidR="008D7AEC" w:rsidRDefault="00000000">
            <w:r>
              <w:t>0.00491</w:t>
            </w:r>
          </w:p>
        </w:tc>
        <w:tc>
          <w:tcPr>
            <w:tcW w:w="1872" w:type="dxa"/>
          </w:tcPr>
          <w:p w14:paraId="671D90D9" w14:textId="77777777" w:rsidR="008D7AEC" w:rsidRDefault="00000000">
            <w:r>
              <w:t>—</w:t>
            </w:r>
          </w:p>
        </w:tc>
        <w:tc>
          <w:tcPr>
            <w:tcW w:w="1872" w:type="dxa"/>
          </w:tcPr>
          <w:p w14:paraId="744AD3FC" w14:textId="77777777" w:rsidR="008D7AEC" w:rsidRDefault="00000000">
            <w:r>
              <w:t>—</w:t>
            </w:r>
          </w:p>
        </w:tc>
        <w:tc>
          <w:tcPr>
            <w:tcW w:w="1872" w:type="dxa"/>
          </w:tcPr>
          <w:p w14:paraId="75B34DC0" w14:textId="77777777" w:rsidR="008D7AEC" w:rsidRDefault="00000000">
            <w:r>
              <w:t>—</w:t>
            </w:r>
          </w:p>
        </w:tc>
      </w:tr>
    </w:tbl>
    <w:p w14:paraId="66510A03" w14:textId="77777777" w:rsidR="008D7AEC" w:rsidRDefault="00000000">
      <w:pPr>
        <w:pStyle w:val="Textoindependiente"/>
        <w:jc w:val="center"/>
      </w:pPr>
      <w:r>
        <w:t>Tabla 5-5. Comparación de los mejores modelos en frecuencia semanal. Fuente: elaboración propia.</w:t>
      </w:r>
    </w:p>
    <w:p w14:paraId="4DF9F2D3" w14:textId="77777777" w:rsidR="008D7AEC" w:rsidRDefault="00000000">
      <w:pPr>
        <w:pStyle w:val="Textoindependiente"/>
      </w:pPr>
      <w:r>
        <w:t>Los resultados muestran que ningún modelo supera al benchmark de ceros de forma consistente en todas las métricas. Sin embargo, el ARIMA semanal y el Ridge 0 lags son estadísticamente los más competitivos, con RMSE prácticamente iguales. La diferencia clave a favor del ARIMA es su mayor precisión direccional en varios ETFs relevantes, derivada de la componente MA. Por tanto, se selecciona el modelo ARIMA semanal como input para el backtest de Markowitz.</w:t>
      </w:r>
    </w:p>
    <w:p w14:paraId="08E56B69" w14:textId="77777777" w:rsidR="008D7AEC" w:rsidRDefault="00000000">
      <w:pPr>
        <w:pStyle w:val="Ttulo2"/>
      </w:pPr>
      <w:r>
        <w:t>Resultados del backtest de Markowitz</w:t>
      </w:r>
    </w:p>
    <w:p w14:paraId="64565E0E" w14:textId="77777777" w:rsidR="008D7AEC" w:rsidRDefault="00000000">
      <w:pPr>
        <w:pStyle w:val="Textoindependiente"/>
      </w:pPr>
      <w:r>
        <w:t>El backtest se ejecutó durante 79 semanas, desde 2024-W30 hasta 2026-W05, con 58 ETFs, capital inicial de 100 y parámetro de aversión al riesgo lambda = 10. La Tabla 5-6 recoge los resultados finales de las tres estrategias.</w:t>
      </w:r>
    </w:p>
    <w:tbl>
      <w:tblPr>
        <w:tblStyle w:val="Tablaconcuadrcula"/>
        <w:tblW w:w="0" w:type="auto"/>
        <w:tblLook w:val="04A0" w:firstRow="1" w:lastRow="0" w:firstColumn="1" w:lastColumn="0" w:noHBand="0" w:noVBand="1"/>
      </w:tblPr>
      <w:tblGrid>
        <w:gridCol w:w="1477"/>
        <w:gridCol w:w="1263"/>
        <w:gridCol w:w="1323"/>
        <w:gridCol w:w="1539"/>
        <w:gridCol w:w="1264"/>
        <w:gridCol w:w="1082"/>
        <w:gridCol w:w="1402"/>
      </w:tblGrid>
      <w:tr w:rsidR="008D7AEC" w14:paraId="0BB048C7" w14:textId="77777777">
        <w:tc>
          <w:tcPr>
            <w:tcW w:w="1337" w:type="dxa"/>
          </w:tcPr>
          <w:p w14:paraId="606320CA" w14:textId="77777777" w:rsidR="008D7AEC" w:rsidRDefault="00000000">
            <w:r>
              <w:rPr>
                <w:b/>
              </w:rPr>
              <w:t>Estrategia</w:t>
            </w:r>
          </w:p>
        </w:tc>
        <w:tc>
          <w:tcPr>
            <w:tcW w:w="1337" w:type="dxa"/>
          </w:tcPr>
          <w:p w14:paraId="55EDE030" w14:textId="77777777" w:rsidR="008D7AEC" w:rsidRDefault="00000000">
            <w:r>
              <w:rPr>
                <w:b/>
              </w:rPr>
              <w:t>Capital final</w:t>
            </w:r>
          </w:p>
        </w:tc>
        <w:tc>
          <w:tcPr>
            <w:tcW w:w="1337" w:type="dxa"/>
          </w:tcPr>
          <w:p w14:paraId="21BE867A" w14:textId="77777777" w:rsidR="008D7AEC" w:rsidRDefault="00000000">
            <w:r>
              <w:rPr>
                <w:b/>
              </w:rPr>
              <w:t>Rentab. acum.</w:t>
            </w:r>
          </w:p>
        </w:tc>
        <w:tc>
          <w:tcPr>
            <w:tcW w:w="1337" w:type="dxa"/>
          </w:tcPr>
          <w:p w14:paraId="2539C585" w14:textId="77777777" w:rsidR="008D7AEC" w:rsidRDefault="00000000">
            <w:r>
              <w:rPr>
                <w:b/>
              </w:rPr>
              <w:t>Volatilidad (anual)</w:t>
            </w:r>
          </w:p>
        </w:tc>
        <w:tc>
          <w:tcPr>
            <w:tcW w:w="1337" w:type="dxa"/>
          </w:tcPr>
          <w:p w14:paraId="345B58EF" w14:textId="77777777" w:rsidR="008D7AEC" w:rsidRDefault="00000000">
            <w:r>
              <w:rPr>
                <w:b/>
              </w:rPr>
              <w:t>Sharpe</w:t>
            </w:r>
          </w:p>
        </w:tc>
        <w:tc>
          <w:tcPr>
            <w:tcW w:w="1337" w:type="dxa"/>
          </w:tcPr>
          <w:p w14:paraId="2F6F8598" w14:textId="77777777" w:rsidR="008D7AEC" w:rsidRDefault="00000000">
            <w:r>
              <w:rPr>
                <w:b/>
              </w:rPr>
              <w:t>Max Drawdown</w:t>
            </w:r>
          </w:p>
        </w:tc>
        <w:tc>
          <w:tcPr>
            <w:tcW w:w="1337" w:type="dxa"/>
          </w:tcPr>
          <w:p w14:paraId="6464D79B" w14:textId="77777777" w:rsidR="008D7AEC" w:rsidRDefault="00000000">
            <w:r>
              <w:rPr>
                <w:b/>
              </w:rPr>
              <w:t>Semanas +</w:t>
            </w:r>
          </w:p>
        </w:tc>
      </w:tr>
      <w:tr w:rsidR="008D7AEC" w14:paraId="79F45A0C" w14:textId="77777777">
        <w:tc>
          <w:tcPr>
            <w:tcW w:w="1337" w:type="dxa"/>
          </w:tcPr>
          <w:p w14:paraId="04E4AA40" w14:textId="77777777" w:rsidR="008D7AEC" w:rsidRDefault="00000000">
            <w:r>
              <w:t>Media histórica (BT_001)</w:t>
            </w:r>
          </w:p>
        </w:tc>
        <w:tc>
          <w:tcPr>
            <w:tcW w:w="1337" w:type="dxa"/>
          </w:tcPr>
          <w:p w14:paraId="53641651" w14:textId="77777777" w:rsidR="008D7AEC" w:rsidRDefault="00000000">
            <w:r>
              <w:t>101,76</w:t>
            </w:r>
          </w:p>
        </w:tc>
        <w:tc>
          <w:tcPr>
            <w:tcW w:w="1337" w:type="dxa"/>
          </w:tcPr>
          <w:p w14:paraId="41B8FCB0" w14:textId="77777777" w:rsidR="008D7AEC" w:rsidRDefault="00000000">
            <w:r>
              <w:t>1,76%</w:t>
            </w:r>
          </w:p>
        </w:tc>
        <w:tc>
          <w:tcPr>
            <w:tcW w:w="1337" w:type="dxa"/>
          </w:tcPr>
          <w:p w14:paraId="70C2CEEA" w14:textId="77777777" w:rsidR="008D7AEC" w:rsidRDefault="00000000">
            <w:r>
              <w:t>4,21%</w:t>
            </w:r>
          </w:p>
        </w:tc>
        <w:tc>
          <w:tcPr>
            <w:tcW w:w="1337" w:type="dxa"/>
          </w:tcPr>
          <w:p w14:paraId="7C88E52F" w14:textId="77777777" w:rsidR="008D7AEC" w:rsidRDefault="00000000">
            <w:r>
              <w:t>0,293</w:t>
            </w:r>
          </w:p>
        </w:tc>
        <w:tc>
          <w:tcPr>
            <w:tcW w:w="1337" w:type="dxa"/>
          </w:tcPr>
          <w:p w14:paraId="2ACD37C8" w14:textId="77777777" w:rsidR="008D7AEC" w:rsidRDefault="00000000">
            <w:r>
              <w:t>-4,29%</w:t>
            </w:r>
          </w:p>
        </w:tc>
        <w:tc>
          <w:tcPr>
            <w:tcW w:w="1337" w:type="dxa"/>
          </w:tcPr>
          <w:p w14:paraId="1DE1C94D" w14:textId="77777777" w:rsidR="008D7AEC" w:rsidRDefault="00000000">
            <w:r>
              <w:t>47/79</w:t>
            </w:r>
          </w:p>
        </w:tc>
      </w:tr>
      <w:tr w:rsidR="008D7AEC" w14:paraId="35181938" w14:textId="77777777">
        <w:tc>
          <w:tcPr>
            <w:tcW w:w="1337" w:type="dxa"/>
          </w:tcPr>
          <w:p w14:paraId="2E2F7EB7" w14:textId="77777777" w:rsidR="008D7AEC" w:rsidRDefault="00000000">
            <w:r>
              <w:t>Último valor (BT_002)</w:t>
            </w:r>
          </w:p>
        </w:tc>
        <w:tc>
          <w:tcPr>
            <w:tcW w:w="1337" w:type="dxa"/>
          </w:tcPr>
          <w:p w14:paraId="6F1CEBCC" w14:textId="77777777" w:rsidR="008D7AEC" w:rsidRDefault="00000000">
            <w:r>
              <w:t>106,46</w:t>
            </w:r>
          </w:p>
        </w:tc>
        <w:tc>
          <w:tcPr>
            <w:tcW w:w="1337" w:type="dxa"/>
          </w:tcPr>
          <w:p w14:paraId="438EEF97" w14:textId="77777777" w:rsidR="008D7AEC" w:rsidRDefault="00000000">
            <w:r>
              <w:t>6,46%</w:t>
            </w:r>
          </w:p>
        </w:tc>
        <w:tc>
          <w:tcPr>
            <w:tcW w:w="1337" w:type="dxa"/>
          </w:tcPr>
          <w:p w14:paraId="5D8A3EB5" w14:textId="77777777" w:rsidR="008D7AEC" w:rsidRDefault="00000000">
            <w:r>
              <w:t>8,53%</w:t>
            </w:r>
          </w:p>
        </w:tc>
        <w:tc>
          <w:tcPr>
            <w:tcW w:w="1337" w:type="dxa"/>
          </w:tcPr>
          <w:p w14:paraId="1B949134" w14:textId="77777777" w:rsidR="008D7AEC" w:rsidRDefault="00000000">
            <w:r>
              <w:t>0,525</w:t>
            </w:r>
          </w:p>
        </w:tc>
        <w:tc>
          <w:tcPr>
            <w:tcW w:w="1337" w:type="dxa"/>
          </w:tcPr>
          <w:p w14:paraId="2D933D80" w14:textId="77777777" w:rsidR="008D7AEC" w:rsidRDefault="00000000">
            <w:r>
              <w:t>-8,02%</w:t>
            </w:r>
          </w:p>
        </w:tc>
        <w:tc>
          <w:tcPr>
            <w:tcW w:w="1337" w:type="dxa"/>
          </w:tcPr>
          <w:p w14:paraId="04AB2787" w14:textId="77777777" w:rsidR="008D7AEC" w:rsidRDefault="00000000">
            <w:r>
              <w:t>43/79</w:t>
            </w:r>
          </w:p>
        </w:tc>
      </w:tr>
      <w:tr w:rsidR="008D7AEC" w14:paraId="77311EAC" w14:textId="77777777">
        <w:tc>
          <w:tcPr>
            <w:tcW w:w="1337" w:type="dxa"/>
          </w:tcPr>
          <w:p w14:paraId="788C5581" w14:textId="77777777" w:rsidR="008D7AEC" w:rsidRDefault="00000000">
            <w:r>
              <w:t>ARIMA (BT_003)</w:t>
            </w:r>
          </w:p>
        </w:tc>
        <w:tc>
          <w:tcPr>
            <w:tcW w:w="1337" w:type="dxa"/>
          </w:tcPr>
          <w:p w14:paraId="3AB91FBD" w14:textId="77777777" w:rsidR="008D7AEC" w:rsidRDefault="00000000">
            <w:r>
              <w:t>101,63</w:t>
            </w:r>
          </w:p>
        </w:tc>
        <w:tc>
          <w:tcPr>
            <w:tcW w:w="1337" w:type="dxa"/>
          </w:tcPr>
          <w:p w14:paraId="6B036276" w14:textId="77777777" w:rsidR="008D7AEC" w:rsidRDefault="00000000">
            <w:r>
              <w:t>1,63%</w:t>
            </w:r>
          </w:p>
        </w:tc>
        <w:tc>
          <w:tcPr>
            <w:tcW w:w="1337" w:type="dxa"/>
          </w:tcPr>
          <w:p w14:paraId="7BE529AC" w14:textId="77777777" w:rsidR="008D7AEC" w:rsidRDefault="00000000">
            <w:r>
              <w:t>4,03%</w:t>
            </w:r>
          </w:p>
        </w:tc>
        <w:tc>
          <w:tcPr>
            <w:tcW w:w="1337" w:type="dxa"/>
          </w:tcPr>
          <w:p w14:paraId="217C9F67" w14:textId="77777777" w:rsidR="008D7AEC" w:rsidRDefault="00000000">
            <w:r>
              <w:t>0,284</w:t>
            </w:r>
          </w:p>
        </w:tc>
        <w:tc>
          <w:tcPr>
            <w:tcW w:w="1337" w:type="dxa"/>
          </w:tcPr>
          <w:p w14:paraId="44FBE5E5" w14:textId="77777777" w:rsidR="008D7AEC" w:rsidRDefault="00000000">
            <w:r>
              <w:t>-4,90%</w:t>
            </w:r>
          </w:p>
        </w:tc>
        <w:tc>
          <w:tcPr>
            <w:tcW w:w="1337" w:type="dxa"/>
          </w:tcPr>
          <w:p w14:paraId="0EAF53DE" w14:textId="77777777" w:rsidR="008D7AEC" w:rsidRDefault="00000000">
            <w:r>
              <w:t>46/79</w:t>
            </w:r>
          </w:p>
        </w:tc>
      </w:tr>
    </w:tbl>
    <w:p w14:paraId="3272A113" w14:textId="77777777" w:rsidR="008D7AEC" w:rsidRDefault="00000000">
      <w:pPr>
        <w:pStyle w:val="Textoindependiente"/>
        <w:jc w:val="center"/>
      </w:pPr>
      <w:r>
        <w:lastRenderedPageBreak/>
        <w:t>Tabla 5-6. Resultados del backtest de Markowitz (2024-W30 a 2026-W05). Capital inicial = 100. Fuente: elaboración propia.</w:t>
      </w:r>
    </w:p>
    <w:p w14:paraId="729A21A7" w14:textId="77777777" w:rsidR="008D7AEC" w:rsidRDefault="00000000">
      <w:pPr>
        <w:pStyle w:val="Textoindependiente"/>
      </w:pPr>
      <w:r>
        <w:rPr>
          <w:b/>
          <w:color w:val="C00000"/>
        </w:rPr>
        <w:t>[TODO: insertar figura con la evolución del capital de las tres estrategias — Figura 5-6. Fuente: elaboración propia]</w:t>
      </w:r>
    </w:p>
    <w:p w14:paraId="1E09F603" w14:textId="77777777" w:rsidR="008D7AEC" w:rsidRDefault="00000000">
      <w:pPr>
        <w:pStyle w:val="Textoindependiente"/>
      </w:pPr>
      <w:r>
        <w:rPr>
          <w:b/>
          <w:color w:val="C00000"/>
        </w:rPr>
        <w:t>[TODO: insertar figura con los retornos semanales de cada estrategia — Figura 5-7. Fuente: elaboración propia]</w:t>
      </w:r>
    </w:p>
    <w:p w14:paraId="7F2F8BC1" w14:textId="77777777" w:rsidR="008D7AEC" w:rsidRDefault="00000000">
      <w:pPr>
        <w:pStyle w:val="Ttulo2"/>
      </w:pPr>
      <w:r>
        <w:t>Comparación de estrategias de inversión</w:t>
      </w:r>
    </w:p>
    <w:p w14:paraId="5E1173EE" w14:textId="77777777" w:rsidR="008D7AEC" w:rsidRDefault="00000000">
      <w:pPr>
        <w:pStyle w:val="Textoindependiente"/>
      </w:pPr>
      <w:r>
        <w:t>La estrategia con mayor capital final es Markowitz con el último valor observado (BT_002), con un capital de 106,46 y una rentabilidad acumulada del 6,46%. Sin embargo, esta estrategia presenta también la mayor volatilidad (8,53% anualizada), el mayor drawdown (-8,02%) y el menor número de semanas positivas (43 de 79). Esto indica que su mayor rentabilidad no se obtiene de forma estable: concentra sus ganancias en pocas semanas de movimientos fuertes y soporta periodos de pérdida mayores.</w:t>
      </w:r>
    </w:p>
    <w:p w14:paraId="5E996560" w14:textId="77777777" w:rsidR="008D7AEC" w:rsidRDefault="00000000">
      <w:pPr>
        <w:pStyle w:val="Textoindependiente"/>
      </w:pPr>
      <w:r>
        <w:t>Las estrategias de media histórica y ARIMA obtienen resultados económicos similares entre sí: capital final de 101,76 y 101,63 respectivamente, con volatilidades bajas (4,21% y 4,03%) y drawdowns contenidos (-4,29% y -4,90%). Ambas presentan un perfil más estable y conservador que la estrategia del último valor.</w:t>
      </w:r>
    </w:p>
    <w:p w14:paraId="3DD2EDA4" w14:textId="77777777" w:rsidR="008D7AEC" w:rsidRDefault="00000000">
      <w:pPr>
        <w:pStyle w:val="Textoindependiente"/>
      </w:pPr>
      <w:r>
        <w:t>El ratio de Sharpe resume bien la relación entre rentabilidad y riesgo: la estrategia del último valor tiene el Sharpe más alto (0,525), seguida de la media histórica (0,293) y el ARIMA (0,284). Sin embargo, estos valores de Sharpe son similares en las dos primeras y difieren principalmente porque la estrategia del último valor asume mucho más riesgo.</w:t>
      </w:r>
    </w:p>
    <w:p w14:paraId="5FF37748" w14:textId="77777777" w:rsidR="008D7AEC" w:rsidRDefault="00000000">
      <w:pPr>
        <w:pStyle w:val="Ttulo2"/>
      </w:pPr>
      <w:r>
        <w:t>Discusión crítica de los resultados</w:t>
      </w:r>
    </w:p>
    <w:p w14:paraId="1A33E2AB" w14:textId="77777777" w:rsidR="008D7AEC" w:rsidRDefault="00000000">
      <w:pPr>
        <w:pStyle w:val="Textoindependiente"/>
      </w:pPr>
      <w:r>
        <w:t>El principal resultado del backtest es que las predicciones ARIMA no consiguen mejorar de forma clara a la estrategia de media histórica en ninguna de las métricas evaluadas. La diferencia en capital final entre BT_003 y BT_001 es de solo -0,13 puntos porcentuales, que es estadísticamente irrelevante para un backtest de 79 semanas.</w:t>
      </w:r>
    </w:p>
    <w:p w14:paraId="538B87F9" w14:textId="77777777" w:rsidR="008D7AEC" w:rsidRDefault="00000000">
      <w:pPr>
        <w:pStyle w:val="Textoindependiente"/>
      </w:pPr>
      <w:r>
        <w:t xml:space="preserve">Esto no significa que el modelo ARIMA sea malo. Sus predicciones sí mejoran al baseline naive con consistencia y muestran cierta capacidad direccional en varios ETFs. El problema es que esa mejora </w:t>
      </w:r>
      <w:r>
        <w:lastRenderedPageBreak/>
        <w:t>predictiva es muy pequeña en magnitud, y el optimizador de Markowitz es muy sensible a la calidad del input de rentabilidades esperadas: pequeños errores en mu pueden llevar a carteras muy distintas, y no necesariamente mejores.</w:t>
      </w:r>
    </w:p>
    <w:p w14:paraId="2AEC2ABC" w14:textId="77777777" w:rsidR="008D7AEC" w:rsidRDefault="00000000">
      <w:pPr>
        <w:pStyle w:val="Textoindependiente"/>
      </w:pPr>
      <w:r>
        <w:t>La estrategia del último valor sorprende por su rentabilidad acumulada alta, aunque a costa de una volatilidad el doble de las otras dos estrategias. Utilizar el retorno de la semana anterior como estimador de la semana siguiente es una apuesta por el efecto momentum a muy corto plazo, que en el periodo analizado resultó positiva. Sin embargo, es también la estrategia más inestable y la que peores semanas positivas registra en términos proporcionales.</w:t>
      </w:r>
    </w:p>
    <w:p w14:paraId="41302884" w14:textId="77777777" w:rsidR="008D7AEC" w:rsidRDefault="00000000">
      <w:pPr>
        <w:pStyle w:val="Textoindependiente"/>
      </w:pPr>
      <w:r>
        <w:t>Un aspecto importante del análisis es el periodo en que se realiza el backtest: 2024-W30 a 2026-W05. Este periodo incluye episodios de volatilidad significativa en los mercados internacionales, que afectan de forma desigual a los tres estimadores de rentabilidad esperada. La media histórica, al ser suavizada por cuatro años de datos, reacciona poco ante cambios recientes. El último valor reacciona demasiado. Las predicciones ARIMA intentan encontrar un punto intermedio pero, como se ha visto, la señal predictiva es débil.</w:t>
      </w:r>
    </w:p>
    <w:p w14:paraId="6F8F2EF6" w14:textId="77777777" w:rsidR="008D7AEC" w:rsidRDefault="00000000">
      <w:pPr>
        <w:pStyle w:val="Textoindependiente"/>
      </w:pPr>
      <w:r>
        <w:t>En conclusión, los resultados del backtest son honestos: no demuestran que las predicciones ARIMA mejoren la cartera de forma robusta en el periodo analizado. Pero tampoco la empeoran. El trabajo aporta valor precisamente por plantear esta pregunta de forma rigurosa, metodológicamente sólida y con datos reales, y por documentar con transparencia los límites de la predictibilidad de estos activos.</w:t>
      </w:r>
    </w:p>
    <w:p w14:paraId="6309797E" w14:textId="77777777" w:rsidR="008D7AEC" w:rsidRDefault="00000000">
      <w:r>
        <w:br w:type="page"/>
      </w:r>
    </w:p>
    <w:p w14:paraId="7D86C6CA" w14:textId="77777777" w:rsidR="008D7AEC" w:rsidRDefault="00000000">
      <w:pPr>
        <w:pStyle w:val="Ttulo1"/>
      </w:pPr>
      <w:r>
        <w:lastRenderedPageBreak/>
        <w:t>CONCLUSIONES Y TRABAJO FUTURO</w:t>
      </w:r>
    </w:p>
    <w:p w14:paraId="3685226D" w14:textId="77777777" w:rsidR="008D7AEC" w:rsidRDefault="00000000">
      <w:pPr>
        <w:pStyle w:val="Ttulo2"/>
      </w:pPr>
      <w:r>
        <w:t>Conclusiones principales</w:t>
      </w:r>
    </w:p>
    <w:p w14:paraId="2C8690EE" w14:textId="77777777" w:rsidR="008D7AEC" w:rsidRDefault="00000000">
      <w:pPr>
        <w:pStyle w:val="Textoindependiente"/>
      </w:pPr>
      <w:r>
        <w:t>Este trabajo ha abordado el problema de la predicción de retornos de ETFs desde dos enfoques complementarios —series temporales y aprendizaje automático— y ha evaluado el impacto económico de esas predicciones en el contexto de un backtest de carteras de Markowitz. Las principales conclusiones son las siguientes.</w:t>
      </w:r>
    </w:p>
    <w:p w14:paraId="4172D26D" w14:textId="77777777" w:rsidR="008D7AEC" w:rsidRDefault="00000000">
      <w:pPr>
        <w:pStyle w:val="Textoindependiente"/>
      </w:pPr>
      <w:r>
        <w:t>En primer lugar, los retornos de ETFs son difíciles de predecir, lo que es coherente con la hipótesis de mercados eficientes en su forma débil. La autocorrelación lineal de los retornos es muy baja, tanto en frecuencia diaria como semanal. Todos los modelos estudiados mejoran al baseline naive (repetir el último valor) pero tienen dificultades para superar al benchmark de ceros de forma consistente, especialmente en frecuencia diaria.</w:t>
      </w:r>
    </w:p>
    <w:p w14:paraId="6CFF82E0" w14:textId="77777777" w:rsidR="008D7AEC" w:rsidRDefault="00000000">
      <w:pPr>
        <w:pStyle w:val="Textoindependiente"/>
      </w:pPr>
      <w:r>
        <w:t>En segundo lugar, añadir retardos de retornos como variables explicativas en los modelos de machine learning no mejora la predicción. El mejor modelo de ML es siempre el de 0 lags. Este resultado es independiente y consistente con lo observado en los modelos ARIMA: la parte autorregresiva de la dinámica de estos retornos es muy débil. Ambas familias de modelos llegan a la misma conclusión por caminos distintos, lo que le da solidez a esta interpretación. El estudio de los lags tenía carácter exploratorio —se quería saber si existía autocorrelación explotable— y el resultado es claro: no hay momentum estadísticamente explotable en los retornos semanales de estos ETFs.</w:t>
      </w:r>
    </w:p>
    <w:p w14:paraId="214CBF11" w14:textId="77777777" w:rsidR="008D7AEC" w:rsidRDefault="00000000">
      <w:pPr>
        <w:pStyle w:val="Textoindependiente"/>
      </w:pPr>
      <w:r>
        <w:t>En tercer lugar, la ventaja del modelo ARIMA semanal frente a los modelos de machine learning no proviene de la parte autorregresiva, sino de la componente de medias móviles (MA). Esta componente captura indirectamente el efecto de variables externas no observadas —noticias macroeconómicas, decisiones de bancos centrales, tensiones geopolíticas— a través de los errores de predicción pasados. Los modelos de machine learning no tienen acceso a esta información porque no se les proporcionan variables macroeconómicas como input. Por ello, aunque su RMSE global sea casi idéntico al del ARIMA, el ARIMA muestra mejor precisión direccional en un número relevante de ETFs, medida por el kappa de Cohen.</w:t>
      </w:r>
    </w:p>
    <w:p w14:paraId="184AB40A" w14:textId="77777777" w:rsidR="008D7AEC" w:rsidRDefault="00000000">
      <w:pPr>
        <w:pStyle w:val="Textoindependiente"/>
      </w:pPr>
      <w:r>
        <w:t xml:space="preserve">En cuarto lugar, el uso del criterio AIC (en lugar del BIC) para la selección de los modelos ARIMA está justificado en este contexto. El objetivo es predecir, no identificar el modelo generador de los datos. El AIC penaliza menos la complejidad y es más propenso a retener términos MA que codifican información </w:t>
      </w:r>
      <w:r>
        <w:lastRenderedPageBreak/>
        <w:t>útil. El BIC, con su penalización más agresiva, sacrificaría precisamente la fuente de información más valiosa del ARIMA.</w:t>
      </w:r>
    </w:p>
    <w:p w14:paraId="04E99457" w14:textId="77777777" w:rsidR="008D7AEC" w:rsidRDefault="00000000">
      <w:pPr>
        <w:pStyle w:val="Textoindependiente"/>
      </w:pPr>
      <w:r>
        <w:t>En quinto lugar, el backtest de Markowitz muestra que las predicciones ARIMA no mejoran de forma clara a la cartera basada en la media histórica durante el periodo analizado (2024-W30 a 2026-W05). La diferencia en capital final es de solo -0,13 puntos porcentuales. La estrategia del último valor obtiene la mayor rentabilidad acumulada (6,46%), pero a costa de mayor volatilidad (8,53%) y mayor drawdown (-8,02%). En términos ajustados al riesgo (ratio de Sharpe), las diferencias entre estrategias son modestas.</w:t>
      </w:r>
    </w:p>
    <w:p w14:paraId="0FEC83A2" w14:textId="77777777" w:rsidR="008D7AEC" w:rsidRDefault="00000000">
      <w:pPr>
        <w:pStyle w:val="Textoindependiente"/>
      </w:pPr>
      <w:r>
        <w:t>En conjunto, el trabajo demuestra que es posible extraer una señal predictiva pequeña pero real en los retornos de ETFs, que los modelos ARIMA semanales son los más adecuados para capturarla gracias a su componente MA, y que sin embargo esa señal no es suficientemente fuerte como para traducirse en una mejora económica robusta en el contexto del optimizador de Markowitz durante el periodo analizado. Esto no invalida el enfoque, sino que plantea con honestidad los límites actuales de la predictibilidad de estos mercados.</w:t>
      </w:r>
    </w:p>
    <w:p w14:paraId="7F828FE6" w14:textId="77777777" w:rsidR="008D7AEC" w:rsidRDefault="00000000">
      <w:pPr>
        <w:pStyle w:val="Ttulo2"/>
      </w:pPr>
      <w:r>
        <w:t>Limitaciones del trabajo</w:t>
      </w:r>
    </w:p>
    <w:p w14:paraId="4ED777A5" w14:textId="77777777" w:rsidR="008D7AEC" w:rsidRDefault="00000000">
      <w:pPr>
        <w:pStyle w:val="Textoindependiente"/>
      </w:pPr>
      <w:r>
        <w:t>El trabajo presenta varias limitaciones que deben tenerse en cuenta al interpretar los resultados:</w:t>
      </w:r>
    </w:p>
    <w:p w14:paraId="3B15CFFB" w14:textId="77777777" w:rsidR="008D7AEC" w:rsidRDefault="00000000">
      <w:pPr>
        <w:pStyle w:val="Listaconvietas"/>
      </w:pPr>
      <w:r>
        <w:t>Periodo de análisis: el backtest cubre únicamente 79 semanas (julio 2024 a febrero 2026). Para obtener conclusiones más robustas sobre el valor añadido de las predicciones sería necesario un periodo de evaluación más largo, que incluyera distintos ciclos de mercado.</w:t>
      </w:r>
    </w:p>
    <w:p w14:paraId="4ED89E42" w14:textId="77777777" w:rsidR="008D7AEC" w:rsidRDefault="00000000">
      <w:pPr>
        <w:pStyle w:val="Listaconvietas"/>
      </w:pPr>
      <w:r>
        <w:t>Costes de transacción: el backtest no incorpora costes de compraventa, deslizamiento (slippage) ni impuestos. En estrategias de rebalanceo semanal, estos costes pueden ser significativos y reducir la rentabilidad real.</w:t>
      </w:r>
    </w:p>
    <w:p w14:paraId="673C2E27" w14:textId="77777777" w:rsidR="008D7AEC" w:rsidRDefault="00000000">
      <w:pPr>
        <w:pStyle w:val="Listaconvietas"/>
      </w:pPr>
      <w:r>
        <w:t>Variables explicativas limitadas: los modelos de machine learning solo reciben como inputs retornos pasados, cambios de volumen y variables de calendario. Variables macroeconómicas como tipos de interés, inflación, indicadores de sentimiento o datos de flujos de capital podrían mejorar la capacidad predictiva, especialmente para los modelos de ML que carecen del mecanismo MA de ARIMA.</w:t>
      </w:r>
    </w:p>
    <w:p w14:paraId="0AC388C1" w14:textId="77777777" w:rsidR="008D7AEC" w:rsidRDefault="00000000">
      <w:pPr>
        <w:pStyle w:val="Listaconvietas"/>
      </w:pPr>
      <w:r>
        <w:t>Parámetros de Markowitz: el parámetro de aversión al riesgo (lambda = 10) y los límites de peso por activo se han fijado sin optimización. Su efecto sobre los resultados finales no ha sido analizado de forma sistemática.</w:t>
      </w:r>
    </w:p>
    <w:p w14:paraId="0A620DE3" w14:textId="77777777" w:rsidR="008D7AEC" w:rsidRDefault="00000000">
      <w:pPr>
        <w:pStyle w:val="Listaconvietas"/>
      </w:pPr>
      <w:r>
        <w:lastRenderedPageBreak/>
        <w:t>Covarianza no estacionaria: la estimación de la matriz de covarianzas con ventana expandible supone que la estructura de correlaciones es estable a lo largo del tiempo. En periodos de crisis o cambios de régimen, esta hipótesis puede no cumplirse.</w:t>
      </w:r>
    </w:p>
    <w:p w14:paraId="6EBB72A9" w14:textId="77777777" w:rsidR="008D7AEC" w:rsidRDefault="00000000">
      <w:pPr>
        <w:pStyle w:val="Ttulo2"/>
      </w:pPr>
      <w:r>
        <w:t>Líneas de trabajo futuro</w:t>
      </w:r>
    </w:p>
    <w:p w14:paraId="282ABC40" w14:textId="77777777" w:rsidR="008D7AEC" w:rsidRDefault="00000000">
      <w:pPr>
        <w:pStyle w:val="Textoindependiente"/>
      </w:pPr>
      <w:r>
        <w:t>A partir de las limitaciones identificadas, se proponen varias líneas de trabajo futuro:</w:t>
      </w:r>
    </w:p>
    <w:p w14:paraId="0A84AAA9" w14:textId="77777777" w:rsidR="008D7AEC" w:rsidRDefault="00000000">
      <w:pPr>
        <w:pStyle w:val="Listaconvietas"/>
      </w:pPr>
      <w:r>
        <w:t>Incorporar costes de transacción: modelizar los costes de rebalanceo semanal y analizar cuánta rentabilidad neta queda después de ellos. Es posible que la estrategia óptima cambie cuando se penalizan los cambios de cartera frecuentes.</w:t>
      </w:r>
    </w:p>
    <w:p w14:paraId="1E93CCD8" w14:textId="77777777" w:rsidR="008D7AEC" w:rsidRDefault="00000000">
      <w:pPr>
        <w:pStyle w:val="Listaconvietas"/>
      </w:pPr>
      <w:r>
        <w:t>Ampliar las variables explicativas: incluir variables macroeconómicas (tipos de interés, diferenciales de crédito, indicadores de actividad económica) en los modelos de machine learning para acercarlos a la riqueza informativa de la componente MA del ARIMA.</w:t>
      </w:r>
    </w:p>
    <w:p w14:paraId="27263DD5" w14:textId="77777777" w:rsidR="008D7AEC" w:rsidRDefault="00000000">
      <w:pPr>
        <w:pStyle w:val="Listaconvietas"/>
      </w:pPr>
      <w:r>
        <w:t>Probar modelos más avanzados: explorar modelos como LSTM, Transformer o modelos de factores latentes que puedan capturar dependencias temporales no lineales y relaciones cruzadas entre activos.</w:t>
      </w:r>
    </w:p>
    <w:p w14:paraId="011ED32C" w14:textId="77777777" w:rsidR="008D7AEC" w:rsidRDefault="00000000">
      <w:pPr>
        <w:pStyle w:val="Listaconvietas"/>
      </w:pPr>
      <w:r>
        <w:t>Ventana deslizante en lugar de ventana expansiva: en lugar de usar toda la historia disponible para estimar la covarianza y los modelos, usar solo las últimas N semanas para que los parámetros sean más sensibles a los cambios recientes del mercado.</w:t>
      </w:r>
    </w:p>
    <w:p w14:paraId="1697FAB5" w14:textId="77777777" w:rsidR="008D7AEC" w:rsidRDefault="00000000">
      <w:pPr>
        <w:pStyle w:val="Listaconvietas"/>
      </w:pPr>
      <w:r>
        <w:t>Restricciones de peso máximo por ETF: limitar el peso máximo de cada activo (por ejemplo, al 20% o 30%) para evitar carteras muy concentradas. En los experimentos realizados se fijó un máximo del 100%, pero restricciones más estrictas pueden mejorar la diversificación real de la cartera.</w:t>
      </w:r>
    </w:p>
    <w:p w14:paraId="5F799C50" w14:textId="77777777" w:rsidR="008D7AEC" w:rsidRDefault="00000000">
      <w:pPr>
        <w:pStyle w:val="Listaconvietas"/>
      </w:pPr>
      <w:r>
        <w:t>Ampliar el periodo de evaluación: repetir el backtest en periodos que incluyan fases de mercado distintas (mercados bajistas, crisis, periodos de alta volatilidad) para validar la robustez de las conclusiones.</w:t>
      </w:r>
    </w:p>
    <w:p w14:paraId="576E94FF" w14:textId="77777777" w:rsidR="008D7AEC" w:rsidRDefault="00000000">
      <w:pPr>
        <w:pStyle w:val="Listaconvietas"/>
      </w:pPr>
      <w:r>
        <w:t>Métodos alternativos de optimización: comparar el modelo de Markowitz con alternativas como la paridad de riesgo (risk parity), la máxima diversificación o métodos bayesianos de estimación de rentabilidades esperadas como el modelo de Black-Litterman.</w:t>
      </w:r>
    </w:p>
    <w:p w14:paraId="4856DA65" w14:textId="77777777" w:rsidR="008D7AEC" w:rsidRDefault="00000000">
      <w:r>
        <w:br w:type="page"/>
      </w:r>
    </w:p>
    <w:p w14:paraId="470533C6" w14:textId="77777777" w:rsidR="008D7AEC" w:rsidRDefault="00000000">
      <w:pPr>
        <w:pStyle w:val="Ttulo1"/>
      </w:pPr>
      <w:r>
        <w:lastRenderedPageBreak/>
        <w:t>INTRODUCTION</w:t>
      </w:r>
    </w:p>
    <w:p w14:paraId="2DA02007" w14:textId="77777777" w:rsidR="008D7AEC" w:rsidRDefault="00000000">
      <w:pPr>
        <w:pStyle w:val="Textoindependiente"/>
      </w:pPr>
      <w:r>
        <w:t>Predicting financial market behavior is one of the most studied and challenging problems in quantitative finance. Asset prices are influenced by a vast array of factors: economic conditions, monetary policy decisions, corporate results, geopolitical events, and investor sentiment. Many of these factors are difficult to measure directly, making any prediction model inherently subject to uncertainty.</w:t>
      </w:r>
    </w:p>
    <w:p w14:paraId="72F97200" w14:textId="77777777" w:rsidR="008D7AEC" w:rsidRDefault="00000000">
      <w:pPr>
        <w:pStyle w:val="Textoindependiente"/>
      </w:pPr>
      <w:r>
        <w:t>Financial returns are particularly difficult to predict because their daily mean is very close to zero, their variance changes over time, and they exhibit very low linear autocorrelation. This behavior is consistent with the weak form of the Efficient Market Hypothesis [CITE: Fama, 1970], which states that historical prices contain no useful information for predicting future returns. Nevertheless, the emergence of large datasets and advanced computational techniques has renewed interest in this area.</w:t>
      </w:r>
    </w:p>
    <w:p w14:paraId="66975273" w14:textId="77777777" w:rsidR="008D7AEC" w:rsidRDefault="00000000">
      <w:pPr>
        <w:pStyle w:val="Textoindependiente"/>
      </w:pPr>
      <w:r>
        <w:t>In this context, this work studies whether predictive signal can be extracted from the returns of a broad set of ETFs (Exchange Traded Funds) using two complementary approaches: time series models and machine learning models. But the work goes beyond prediction. The ultimate goal is to determine whether these predictions can translate into better investment decisions by incorporating them into a Markowitz portfolio optimization framework [CITE: Markowitz, 1952].</w:t>
      </w:r>
    </w:p>
    <w:p w14:paraId="5642E7B5" w14:textId="77777777" w:rsidR="008D7AEC" w:rsidRDefault="00000000">
      <w:pPr>
        <w:pStyle w:val="Textoindependiente"/>
      </w:pPr>
      <w:r>
        <w:t>ETFs were chosen as the investment universe for several reasons. An ETF pools many assets together and trades on a stock exchange like a single share. Unlike individual stocks, an ETF automatically diversifies away the idiosyncratic risk of any single company, resulting in more stable and representative return series. Additionally, ETFs cover virtually every asset class: US equities, international markets, sectors, fixed income, and commodities, making them ideal for building truly diversified portfolios.</w:t>
      </w:r>
    </w:p>
    <w:p w14:paraId="5FBFF41A" w14:textId="77777777" w:rsidR="008D7AEC" w:rsidRDefault="00000000">
      <w:pPr>
        <w:pStyle w:val="Textoindependiente"/>
      </w:pPr>
      <w:r>
        <w:t>The comparison between time series and machine learning models is also deliberate. ARIMA models have decades of use in finance and offer an interpretable, theoretically grounded structure. Machine learning models can capture more complex variable relationships but are harder to interpret. Studying both approaches systematically reveals in which situations each family adds the most value.</w:t>
      </w:r>
    </w:p>
    <w:p w14:paraId="6204721E" w14:textId="77777777" w:rsidR="008D7AEC" w:rsidRDefault="00000000">
      <w:r>
        <w:br w:type="page"/>
      </w:r>
    </w:p>
    <w:p w14:paraId="5F9ADF95" w14:textId="77777777" w:rsidR="008D7AEC" w:rsidRDefault="00000000">
      <w:pPr>
        <w:pStyle w:val="Ttulo1"/>
      </w:pPr>
      <w:r>
        <w:lastRenderedPageBreak/>
        <w:t>CONCLUSIONS AND FUTURE WORK</w:t>
      </w:r>
    </w:p>
    <w:p w14:paraId="53804C8A" w14:textId="77777777" w:rsidR="008D7AEC" w:rsidRDefault="00000000">
      <w:pPr>
        <w:pStyle w:val="Textoindependiente"/>
      </w:pPr>
      <w:r>
        <w:t>This work has addressed the problem of ETF return prediction using two complementary approaches — time series models and machine learning — and has evaluated the economic impact of those predictions through a Markowitz portfolio backtest. The main conclusions are as follows.</w:t>
      </w:r>
    </w:p>
    <w:p w14:paraId="7C053C2C" w14:textId="77777777" w:rsidR="008D7AEC" w:rsidRDefault="00000000">
      <w:pPr>
        <w:pStyle w:val="Textoindependiente"/>
      </w:pPr>
      <w:r>
        <w:t>First, ETF returns are difficult to predict, consistent with the weak form of market efficiency. Linear autocorrelation is very low at both daily and weekly frequencies. All models improve on the naive baseline (repeating the last observed value), but struggle to consistently outperform the zero benchmark, particularly at daily frequency.</w:t>
      </w:r>
    </w:p>
    <w:p w14:paraId="6FE24F5B" w14:textId="77777777" w:rsidR="008D7AEC" w:rsidRDefault="00000000">
      <w:pPr>
        <w:pStyle w:val="Textoindependiente"/>
      </w:pPr>
      <w:r>
        <w:t>Second, adding lagged returns as explanatory variables in machine learning models does not improve predictions. The best ML model always uses 0 lags. This result is consistent with ARIMA analysis: the autoregressive component of these return series is very weak. Both model families reach the same conclusion independently, strengthening this interpretation.</w:t>
      </w:r>
    </w:p>
    <w:p w14:paraId="580B3B23" w14:textId="77777777" w:rsidR="008D7AEC" w:rsidRDefault="00000000">
      <w:pPr>
        <w:pStyle w:val="Textoindependiente"/>
      </w:pPr>
      <w:r>
        <w:t>Third, the advantage of weekly ARIMA over ML does not come from the autoregressive component but from the moving average (MA) component. This component indirectly captures the effect of unobserved external variables — macroeconomic news, central bank decisions, geopolitical events — through past prediction errors. ML models lack this mechanism because they are not provided with macroeconomic inputs. This explains why ARIMA shows better directional accuracy in several ETFs despite similar global RMSE values.</w:t>
      </w:r>
    </w:p>
    <w:p w14:paraId="41E888E7" w14:textId="77777777" w:rsidR="008D7AEC" w:rsidRDefault="00000000">
      <w:pPr>
        <w:pStyle w:val="Textoindependiente"/>
      </w:pPr>
      <w:r>
        <w:t>Fourth, using AIC rather than BIC for ARIMA model selection is justified in a prediction context. AIC penalizes model complexity less aggressively, making it more likely to retain MA terms that encode useful signal. BIC would sacrifice precisely the most valuable source of information in ARIMA models.</w:t>
      </w:r>
    </w:p>
    <w:p w14:paraId="10D8E1EF" w14:textId="77777777" w:rsidR="008D7AEC" w:rsidRDefault="00000000">
      <w:pPr>
        <w:pStyle w:val="Textoindependiente"/>
      </w:pPr>
      <w:r>
        <w:t>Fifth, the Markowitz backtest shows that ARIMA predictions do not clearly improve over the historical mean strategy during the evaluated period (2024-W30 to 2026-W05). The difference in final capital is only -0.13 percentage points. The last-value strategy achieves the highest cumulative return (6.46%) but at the cost of higher volatility (8.53%) and drawdown (-8.02%). Risk-adjusted differences between strategies, measured by the Sharpe ratio, are modest.</w:t>
      </w:r>
    </w:p>
    <w:p w14:paraId="6B604365" w14:textId="77777777" w:rsidR="008D7AEC" w:rsidRDefault="00000000">
      <w:pPr>
        <w:pStyle w:val="Textoindependiente"/>
      </w:pPr>
      <w:r>
        <w:t xml:space="preserve">Overall, this work demonstrates that a small but real predictive signal exists in ETF returns, that weekly ARIMA models are best suited to capture it through their MA component, and that this signal is not yet strong enough to translate into a robust economic improvement in the Markowitz context during </w:t>
      </w:r>
      <w:r>
        <w:lastRenderedPageBreak/>
        <w:t>the analyzed period. This is an honest finding that highlights the current limits of market predictability rather than a negative result.</w:t>
      </w:r>
    </w:p>
    <w:p w14:paraId="67067505" w14:textId="77777777" w:rsidR="008D7AEC" w:rsidRDefault="00000000">
      <w:pPr>
        <w:pStyle w:val="Textoindependiente"/>
      </w:pPr>
      <w:r>
        <w:t>Future work should focus on: incorporating transaction costs in the backtest; enriching ML model inputs with macroeconomic variables; exploring more advanced models (LSTM, Transformer); applying rolling instead of expanding estimation windows; and evaluating the strategies across longer and more diverse market periods.</w:t>
      </w:r>
    </w:p>
    <w:p w14:paraId="7DC4406A" w14:textId="77777777" w:rsidR="008D7AEC" w:rsidRDefault="00000000">
      <w:r>
        <w:br w:type="page"/>
      </w:r>
    </w:p>
    <w:p w14:paraId="6CE82F85" w14:textId="77777777" w:rsidR="008D7AEC" w:rsidRDefault="00000000">
      <w:pPr>
        <w:pStyle w:val="PageHeading"/>
      </w:pPr>
      <w:r>
        <w:lastRenderedPageBreak/>
        <w:t>Bibliografía</w:t>
      </w:r>
    </w:p>
    <w:p w14:paraId="2273FBD4" w14:textId="77777777" w:rsidR="008D7AEC" w:rsidRDefault="00000000">
      <w:pPr>
        <w:pStyle w:val="Bibliografa1"/>
      </w:pPr>
      <w:r>
        <w:t>Box, G. E. P., Jenkins, G. M., y Reinsel, G. C. (1994). Time Series Analysis: Forecasting and Control (3rd ed.). Prentice Hall.</w:t>
      </w:r>
    </w:p>
    <w:p w14:paraId="5690A6E4" w14:textId="77777777" w:rsidR="008D7AEC" w:rsidRDefault="00000000">
      <w:pPr>
        <w:pStyle w:val="Bibliografa1"/>
      </w:pPr>
      <w:r>
        <w:t>Breiman, L. (2001). Random Forests. Machine Learning, 45(1), 5–32.</w:t>
      </w:r>
    </w:p>
    <w:p w14:paraId="065F5F7C" w14:textId="77777777" w:rsidR="008D7AEC" w:rsidRDefault="00000000">
      <w:pPr>
        <w:pStyle w:val="Bibliografa1"/>
      </w:pPr>
      <w:r>
        <w:t>DeBondt, W. F. M., y Thaler, R. H. (1985). Does the Stock Market Overreact? The Journal of Finance, 40(3), 793–808.</w:t>
      </w:r>
    </w:p>
    <w:p w14:paraId="13DEC5AE" w14:textId="77777777" w:rsidR="008D7AEC" w:rsidRDefault="00000000">
      <w:pPr>
        <w:pStyle w:val="Bibliografa1"/>
      </w:pPr>
      <w:r>
        <w:t>Fama, E. F. (1970). Efficient Capital Markets: A Review of Theory and Empirical Work. The Journal of Finance, 25(2), 383–417.</w:t>
      </w:r>
    </w:p>
    <w:p w14:paraId="64526F70" w14:textId="77777777" w:rsidR="008D7AEC" w:rsidRDefault="00000000">
      <w:pPr>
        <w:pStyle w:val="Bibliografa1"/>
      </w:pPr>
      <w:r>
        <w:t>Friedman, J. H. (2001). Greedy Function Approximation: A Gradient Boosting Machine. The Annals of Statistics, 29(5), 1189–1232.</w:t>
      </w:r>
    </w:p>
    <w:p w14:paraId="498A039D" w14:textId="77777777" w:rsidR="008D7AEC" w:rsidRDefault="00000000">
      <w:pPr>
        <w:pStyle w:val="Bibliografa1"/>
      </w:pPr>
      <w:r>
        <w:t>Gastineau, G. L. (2002). The Exchange-Traded Fund Manual. John Wiley &amp; Sons.</w:t>
      </w:r>
    </w:p>
    <w:p w14:paraId="4EB97567" w14:textId="77777777" w:rsidR="008D7AEC" w:rsidRDefault="00000000">
      <w:pPr>
        <w:pStyle w:val="Bibliografa1"/>
      </w:pPr>
      <w:r>
        <w:t>Hoerl, A. E., y Kennard, R. W. (1970). Ridge Regression: Biased Estimation for Nonorthogonal Problems. Technometrics, 12(1), 55–67.</w:t>
      </w:r>
    </w:p>
    <w:p w14:paraId="3BD9C251" w14:textId="77777777" w:rsidR="008D7AEC" w:rsidRDefault="00000000">
      <w:pPr>
        <w:pStyle w:val="Bibliografa1"/>
      </w:pPr>
      <w:r>
        <w:t>Jegadeesh, N., y Titman, S. (1993). Returns to Buying Winners and Selling Losers: Implications for Stock Market Efficiency. The Journal of Finance, 48(1), 65–91.</w:t>
      </w:r>
    </w:p>
    <w:p w14:paraId="2C00655C" w14:textId="77777777" w:rsidR="008D7AEC" w:rsidRDefault="00000000">
      <w:pPr>
        <w:pStyle w:val="Bibliografa1"/>
      </w:pPr>
      <w:r>
        <w:t>Ledoit, O., y Wolf, M. (2004). A Well-Conditioned Estimator for Large-Dimensional Covariance Matrices. Journal of Multivariate Analysis, 88(2), 365–411.</w:t>
      </w:r>
    </w:p>
    <w:p w14:paraId="263D3C49" w14:textId="77777777" w:rsidR="008D7AEC" w:rsidRDefault="00000000">
      <w:pPr>
        <w:pStyle w:val="Bibliografa1"/>
      </w:pPr>
      <w:r>
        <w:t>Lopez de Prado, M. (2018). Advances in Financial Machine Learning. John Wiley &amp; Sons.</w:t>
      </w:r>
    </w:p>
    <w:p w14:paraId="163E8966" w14:textId="77777777" w:rsidR="008D7AEC" w:rsidRDefault="00000000">
      <w:pPr>
        <w:pStyle w:val="Bibliografa1"/>
      </w:pPr>
      <w:r>
        <w:t>Markowitz, H. (1952). Portfolio Selection. The Journal of Finance, 7(1), 77–91.</w:t>
      </w:r>
    </w:p>
    <w:p w14:paraId="7829CF77" w14:textId="77777777" w:rsidR="008D7AEC" w:rsidRDefault="00000000">
      <w:r>
        <w:br w:type="page"/>
      </w:r>
    </w:p>
    <w:p w14:paraId="7708F805" w14:textId="77777777" w:rsidR="008D7AEC" w:rsidRDefault="00000000">
      <w:pPr>
        <w:pStyle w:val="PageHeading"/>
      </w:pPr>
      <w:r>
        <w:lastRenderedPageBreak/>
        <w:t>Apéndices</w:t>
      </w:r>
    </w:p>
    <w:p w14:paraId="2E1FD852" w14:textId="77777777" w:rsidR="008D7AEC" w:rsidRDefault="00000000">
      <w:pPr>
        <w:pStyle w:val="Ttulo6"/>
      </w:pPr>
      <w:r>
        <w:t>Apéndice A — Listado completo de ETFs</w:t>
      </w:r>
    </w:p>
    <w:p w14:paraId="16BA890C" w14:textId="77777777" w:rsidR="008D7AEC" w:rsidRDefault="00000000">
      <w:pPr>
        <w:pStyle w:val="Textoindependiente"/>
      </w:pPr>
      <w:r>
        <w:t>La Tabla A-1 recoge los 58 ETFs utilizados en los modelos, agrupados por categoría.</w:t>
      </w:r>
    </w:p>
    <w:tbl>
      <w:tblPr>
        <w:tblStyle w:val="Tablaconcuadrcula"/>
        <w:tblW w:w="0" w:type="auto"/>
        <w:tblLook w:val="04A0" w:firstRow="1" w:lastRow="0" w:firstColumn="1" w:lastColumn="0" w:noHBand="0" w:noVBand="1"/>
      </w:tblPr>
      <w:tblGrid>
        <w:gridCol w:w="2336"/>
        <w:gridCol w:w="2338"/>
        <w:gridCol w:w="2340"/>
        <w:gridCol w:w="2336"/>
      </w:tblGrid>
      <w:tr w:rsidR="008D7AEC" w14:paraId="77C57441" w14:textId="77777777">
        <w:tc>
          <w:tcPr>
            <w:tcW w:w="2340" w:type="dxa"/>
          </w:tcPr>
          <w:p w14:paraId="0D28613D" w14:textId="77777777" w:rsidR="008D7AEC" w:rsidRDefault="00000000">
            <w:r>
              <w:rPr>
                <w:b/>
              </w:rPr>
              <w:t>Ticker</w:t>
            </w:r>
          </w:p>
        </w:tc>
        <w:tc>
          <w:tcPr>
            <w:tcW w:w="2340" w:type="dxa"/>
          </w:tcPr>
          <w:p w14:paraId="61270666" w14:textId="77777777" w:rsidR="008D7AEC" w:rsidRDefault="00000000">
            <w:r>
              <w:rPr>
                <w:b/>
              </w:rPr>
              <w:t>Nombre abreviado</w:t>
            </w:r>
          </w:p>
        </w:tc>
        <w:tc>
          <w:tcPr>
            <w:tcW w:w="2340" w:type="dxa"/>
          </w:tcPr>
          <w:p w14:paraId="312D5B76" w14:textId="77777777" w:rsidR="008D7AEC" w:rsidRDefault="00000000">
            <w:r>
              <w:rPr>
                <w:b/>
              </w:rPr>
              <w:t>Categoría</w:t>
            </w:r>
          </w:p>
        </w:tc>
        <w:tc>
          <w:tcPr>
            <w:tcW w:w="2340" w:type="dxa"/>
          </w:tcPr>
          <w:p w14:paraId="341A80A1" w14:textId="77777777" w:rsidR="008D7AEC" w:rsidRDefault="00000000">
            <w:r>
              <w:rPr>
                <w:b/>
              </w:rPr>
              <w:t>Incluido en análisis</w:t>
            </w:r>
          </w:p>
        </w:tc>
      </w:tr>
      <w:tr w:rsidR="008D7AEC" w14:paraId="47537371" w14:textId="77777777">
        <w:tc>
          <w:tcPr>
            <w:tcW w:w="2340" w:type="dxa"/>
          </w:tcPr>
          <w:p w14:paraId="6D09E4A9" w14:textId="77777777" w:rsidR="008D7AEC" w:rsidRDefault="00000000">
            <w:r>
              <w:t>SPY</w:t>
            </w:r>
          </w:p>
        </w:tc>
        <w:tc>
          <w:tcPr>
            <w:tcW w:w="2340" w:type="dxa"/>
          </w:tcPr>
          <w:p w14:paraId="2F961BC2" w14:textId="77777777" w:rsidR="008D7AEC" w:rsidRDefault="00000000">
            <w:r>
              <w:t>SPDR S&amp;P 500 ETF</w:t>
            </w:r>
          </w:p>
        </w:tc>
        <w:tc>
          <w:tcPr>
            <w:tcW w:w="2340" w:type="dxa"/>
          </w:tcPr>
          <w:p w14:paraId="2CB3BEC4" w14:textId="77777777" w:rsidR="008D7AEC" w:rsidRDefault="00000000">
            <w:r>
              <w:t>Mercado US</w:t>
            </w:r>
          </w:p>
        </w:tc>
        <w:tc>
          <w:tcPr>
            <w:tcW w:w="2340" w:type="dxa"/>
          </w:tcPr>
          <w:p w14:paraId="06AA1E27" w14:textId="77777777" w:rsidR="008D7AEC" w:rsidRDefault="00000000">
            <w:r>
              <w:t>Sí</w:t>
            </w:r>
          </w:p>
        </w:tc>
      </w:tr>
      <w:tr w:rsidR="008D7AEC" w14:paraId="19CD9C84" w14:textId="77777777">
        <w:tc>
          <w:tcPr>
            <w:tcW w:w="2340" w:type="dxa"/>
          </w:tcPr>
          <w:p w14:paraId="67809582" w14:textId="77777777" w:rsidR="008D7AEC" w:rsidRDefault="00000000">
            <w:r>
              <w:t>IVV</w:t>
            </w:r>
          </w:p>
        </w:tc>
        <w:tc>
          <w:tcPr>
            <w:tcW w:w="2340" w:type="dxa"/>
          </w:tcPr>
          <w:p w14:paraId="4AF485CD" w14:textId="77777777" w:rsidR="008D7AEC" w:rsidRDefault="00000000">
            <w:r>
              <w:t>iShares Core S&amp;P 500</w:t>
            </w:r>
          </w:p>
        </w:tc>
        <w:tc>
          <w:tcPr>
            <w:tcW w:w="2340" w:type="dxa"/>
          </w:tcPr>
          <w:p w14:paraId="21BDE0B1" w14:textId="77777777" w:rsidR="008D7AEC" w:rsidRDefault="00000000">
            <w:r>
              <w:t>Mercado US</w:t>
            </w:r>
          </w:p>
        </w:tc>
        <w:tc>
          <w:tcPr>
            <w:tcW w:w="2340" w:type="dxa"/>
          </w:tcPr>
          <w:p w14:paraId="0C61AA44" w14:textId="77777777" w:rsidR="008D7AEC" w:rsidRDefault="00000000">
            <w:r>
              <w:t>Sí</w:t>
            </w:r>
          </w:p>
        </w:tc>
      </w:tr>
      <w:tr w:rsidR="008D7AEC" w14:paraId="6C84DECF" w14:textId="77777777">
        <w:tc>
          <w:tcPr>
            <w:tcW w:w="2340" w:type="dxa"/>
          </w:tcPr>
          <w:p w14:paraId="7FFA3510" w14:textId="77777777" w:rsidR="008D7AEC" w:rsidRDefault="00000000">
            <w:r>
              <w:t>VOO</w:t>
            </w:r>
          </w:p>
        </w:tc>
        <w:tc>
          <w:tcPr>
            <w:tcW w:w="2340" w:type="dxa"/>
          </w:tcPr>
          <w:p w14:paraId="3CD2A119" w14:textId="77777777" w:rsidR="008D7AEC" w:rsidRDefault="00000000">
            <w:r>
              <w:t>Vanguard S&amp;P 500</w:t>
            </w:r>
          </w:p>
        </w:tc>
        <w:tc>
          <w:tcPr>
            <w:tcW w:w="2340" w:type="dxa"/>
          </w:tcPr>
          <w:p w14:paraId="777B0057" w14:textId="77777777" w:rsidR="008D7AEC" w:rsidRDefault="00000000">
            <w:r>
              <w:t>Mercado US</w:t>
            </w:r>
          </w:p>
        </w:tc>
        <w:tc>
          <w:tcPr>
            <w:tcW w:w="2340" w:type="dxa"/>
          </w:tcPr>
          <w:p w14:paraId="44C8F5A7" w14:textId="77777777" w:rsidR="008D7AEC" w:rsidRDefault="00000000">
            <w:r>
              <w:t>Sí</w:t>
            </w:r>
          </w:p>
        </w:tc>
      </w:tr>
      <w:tr w:rsidR="008D7AEC" w14:paraId="0A9529E0" w14:textId="77777777">
        <w:tc>
          <w:tcPr>
            <w:tcW w:w="2340" w:type="dxa"/>
          </w:tcPr>
          <w:p w14:paraId="40648E8E" w14:textId="77777777" w:rsidR="008D7AEC" w:rsidRDefault="00000000">
            <w:r>
              <w:t>QQQ</w:t>
            </w:r>
          </w:p>
        </w:tc>
        <w:tc>
          <w:tcPr>
            <w:tcW w:w="2340" w:type="dxa"/>
          </w:tcPr>
          <w:p w14:paraId="6CBDB207" w14:textId="77777777" w:rsidR="008D7AEC" w:rsidRDefault="00000000">
            <w:r>
              <w:t>Invesco Nasdaq-100</w:t>
            </w:r>
          </w:p>
        </w:tc>
        <w:tc>
          <w:tcPr>
            <w:tcW w:w="2340" w:type="dxa"/>
          </w:tcPr>
          <w:p w14:paraId="4463AB95" w14:textId="77777777" w:rsidR="008D7AEC" w:rsidRDefault="00000000">
            <w:r>
              <w:t>Mercado US</w:t>
            </w:r>
          </w:p>
        </w:tc>
        <w:tc>
          <w:tcPr>
            <w:tcW w:w="2340" w:type="dxa"/>
          </w:tcPr>
          <w:p w14:paraId="3EBA427A" w14:textId="77777777" w:rsidR="008D7AEC" w:rsidRDefault="00000000">
            <w:r>
              <w:t>Sí</w:t>
            </w:r>
          </w:p>
        </w:tc>
      </w:tr>
      <w:tr w:rsidR="008D7AEC" w14:paraId="780CF6D6" w14:textId="77777777">
        <w:tc>
          <w:tcPr>
            <w:tcW w:w="2340" w:type="dxa"/>
          </w:tcPr>
          <w:p w14:paraId="17742AE7" w14:textId="77777777" w:rsidR="008D7AEC" w:rsidRDefault="00000000">
            <w:r>
              <w:t>VTI</w:t>
            </w:r>
          </w:p>
        </w:tc>
        <w:tc>
          <w:tcPr>
            <w:tcW w:w="2340" w:type="dxa"/>
          </w:tcPr>
          <w:p w14:paraId="5E9EA00E" w14:textId="77777777" w:rsidR="008D7AEC" w:rsidRDefault="00000000">
            <w:r>
              <w:t>Vanguard Total Stock Market</w:t>
            </w:r>
          </w:p>
        </w:tc>
        <w:tc>
          <w:tcPr>
            <w:tcW w:w="2340" w:type="dxa"/>
          </w:tcPr>
          <w:p w14:paraId="066F2583" w14:textId="77777777" w:rsidR="008D7AEC" w:rsidRDefault="00000000">
            <w:r>
              <w:t>Mercado US</w:t>
            </w:r>
          </w:p>
        </w:tc>
        <w:tc>
          <w:tcPr>
            <w:tcW w:w="2340" w:type="dxa"/>
          </w:tcPr>
          <w:p w14:paraId="70FEBFB2" w14:textId="77777777" w:rsidR="008D7AEC" w:rsidRDefault="00000000">
            <w:r>
              <w:t>Sí</w:t>
            </w:r>
          </w:p>
        </w:tc>
      </w:tr>
      <w:tr w:rsidR="008D7AEC" w14:paraId="54808A6C" w14:textId="77777777">
        <w:tc>
          <w:tcPr>
            <w:tcW w:w="2340" w:type="dxa"/>
          </w:tcPr>
          <w:p w14:paraId="24667498" w14:textId="77777777" w:rsidR="008D7AEC" w:rsidRDefault="00000000">
            <w:r>
              <w:t>ITOT</w:t>
            </w:r>
          </w:p>
        </w:tc>
        <w:tc>
          <w:tcPr>
            <w:tcW w:w="2340" w:type="dxa"/>
          </w:tcPr>
          <w:p w14:paraId="0993A0A5" w14:textId="77777777" w:rsidR="008D7AEC" w:rsidRDefault="00000000">
            <w:r>
              <w:t>iShares Core S&amp;P Total US</w:t>
            </w:r>
          </w:p>
        </w:tc>
        <w:tc>
          <w:tcPr>
            <w:tcW w:w="2340" w:type="dxa"/>
          </w:tcPr>
          <w:p w14:paraId="7F86A0F8" w14:textId="77777777" w:rsidR="008D7AEC" w:rsidRDefault="00000000">
            <w:r>
              <w:t>Mercado US</w:t>
            </w:r>
          </w:p>
        </w:tc>
        <w:tc>
          <w:tcPr>
            <w:tcW w:w="2340" w:type="dxa"/>
          </w:tcPr>
          <w:p w14:paraId="6ADA51C9" w14:textId="77777777" w:rsidR="008D7AEC" w:rsidRDefault="00000000">
            <w:r>
              <w:t>Sí</w:t>
            </w:r>
          </w:p>
        </w:tc>
      </w:tr>
      <w:tr w:rsidR="008D7AEC" w14:paraId="04231343" w14:textId="77777777">
        <w:tc>
          <w:tcPr>
            <w:tcW w:w="2340" w:type="dxa"/>
          </w:tcPr>
          <w:p w14:paraId="624B3B8E" w14:textId="77777777" w:rsidR="008D7AEC" w:rsidRDefault="00000000">
            <w:r>
              <w:t>DIA</w:t>
            </w:r>
          </w:p>
        </w:tc>
        <w:tc>
          <w:tcPr>
            <w:tcW w:w="2340" w:type="dxa"/>
          </w:tcPr>
          <w:p w14:paraId="7B38AD1F" w14:textId="77777777" w:rsidR="008D7AEC" w:rsidRDefault="00000000">
            <w:r>
              <w:t>SPDR Dow Jones Industrial</w:t>
            </w:r>
          </w:p>
        </w:tc>
        <w:tc>
          <w:tcPr>
            <w:tcW w:w="2340" w:type="dxa"/>
          </w:tcPr>
          <w:p w14:paraId="485665BD" w14:textId="77777777" w:rsidR="008D7AEC" w:rsidRDefault="00000000">
            <w:r>
              <w:t>Mercado US</w:t>
            </w:r>
          </w:p>
        </w:tc>
        <w:tc>
          <w:tcPr>
            <w:tcW w:w="2340" w:type="dxa"/>
          </w:tcPr>
          <w:p w14:paraId="3589D7A8" w14:textId="77777777" w:rsidR="008D7AEC" w:rsidRDefault="00000000">
            <w:r>
              <w:t>Sí</w:t>
            </w:r>
          </w:p>
        </w:tc>
      </w:tr>
      <w:tr w:rsidR="008D7AEC" w14:paraId="7D6F1DB2" w14:textId="77777777">
        <w:tc>
          <w:tcPr>
            <w:tcW w:w="2340" w:type="dxa"/>
          </w:tcPr>
          <w:p w14:paraId="50A6B2E7" w14:textId="77777777" w:rsidR="008D7AEC" w:rsidRDefault="00000000">
            <w:r>
              <w:t>IWM</w:t>
            </w:r>
          </w:p>
        </w:tc>
        <w:tc>
          <w:tcPr>
            <w:tcW w:w="2340" w:type="dxa"/>
          </w:tcPr>
          <w:p w14:paraId="262A1F49" w14:textId="77777777" w:rsidR="008D7AEC" w:rsidRDefault="00000000">
            <w:r>
              <w:t>iShares Russell 2000</w:t>
            </w:r>
          </w:p>
        </w:tc>
        <w:tc>
          <w:tcPr>
            <w:tcW w:w="2340" w:type="dxa"/>
          </w:tcPr>
          <w:p w14:paraId="38FF056B" w14:textId="77777777" w:rsidR="008D7AEC" w:rsidRDefault="00000000">
            <w:r>
              <w:t>Mercado US</w:t>
            </w:r>
          </w:p>
        </w:tc>
        <w:tc>
          <w:tcPr>
            <w:tcW w:w="2340" w:type="dxa"/>
          </w:tcPr>
          <w:p w14:paraId="2A7FA1CE" w14:textId="77777777" w:rsidR="008D7AEC" w:rsidRDefault="00000000">
            <w:r>
              <w:t>Sí</w:t>
            </w:r>
          </w:p>
        </w:tc>
      </w:tr>
      <w:tr w:rsidR="008D7AEC" w14:paraId="1816C784" w14:textId="77777777">
        <w:tc>
          <w:tcPr>
            <w:tcW w:w="2340" w:type="dxa"/>
          </w:tcPr>
          <w:p w14:paraId="2AD328E8" w14:textId="77777777" w:rsidR="008D7AEC" w:rsidRDefault="00000000">
            <w:r>
              <w:t>IJR</w:t>
            </w:r>
          </w:p>
        </w:tc>
        <w:tc>
          <w:tcPr>
            <w:tcW w:w="2340" w:type="dxa"/>
          </w:tcPr>
          <w:p w14:paraId="01D50DD9" w14:textId="77777777" w:rsidR="008D7AEC" w:rsidRDefault="00000000">
            <w:r>
              <w:t>iShares Core S&amp;P Small-Cap</w:t>
            </w:r>
          </w:p>
        </w:tc>
        <w:tc>
          <w:tcPr>
            <w:tcW w:w="2340" w:type="dxa"/>
          </w:tcPr>
          <w:p w14:paraId="6580EED5" w14:textId="77777777" w:rsidR="008D7AEC" w:rsidRDefault="00000000">
            <w:r>
              <w:t>Mercado US</w:t>
            </w:r>
          </w:p>
        </w:tc>
        <w:tc>
          <w:tcPr>
            <w:tcW w:w="2340" w:type="dxa"/>
          </w:tcPr>
          <w:p w14:paraId="1E5759A5" w14:textId="77777777" w:rsidR="008D7AEC" w:rsidRDefault="00000000">
            <w:r>
              <w:t>Sí</w:t>
            </w:r>
          </w:p>
        </w:tc>
      </w:tr>
      <w:tr w:rsidR="008D7AEC" w14:paraId="6C184BB3" w14:textId="77777777">
        <w:tc>
          <w:tcPr>
            <w:tcW w:w="2340" w:type="dxa"/>
          </w:tcPr>
          <w:p w14:paraId="3CF0CBC0" w14:textId="77777777" w:rsidR="008D7AEC" w:rsidRDefault="00000000">
            <w:r>
              <w:t>MDY</w:t>
            </w:r>
          </w:p>
        </w:tc>
        <w:tc>
          <w:tcPr>
            <w:tcW w:w="2340" w:type="dxa"/>
          </w:tcPr>
          <w:p w14:paraId="7CC55272" w14:textId="77777777" w:rsidR="008D7AEC" w:rsidRDefault="00000000">
            <w:r>
              <w:t>SPDR S&amp;P MidCap 400</w:t>
            </w:r>
          </w:p>
        </w:tc>
        <w:tc>
          <w:tcPr>
            <w:tcW w:w="2340" w:type="dxa"/>
          </w:tcPr>
          <w:p w14:paraId="38F8ED7B" w14:textId="77777777" w:rsidR="008D7AEC" w:rsidRDefault="00000000">
            <w:r>
              <w:t>Mercado US</w:t>
            </w:r>
          </w:p>
        </w:tc>
        <w:tc>
          <w:tcPr>
            <w:tcW w:w="2340" w:type="dxa"/>
          </w:tcPr>
          <w:p w14:paraId="40BB4A25" w14:textId="77777777" w:rsidR="008D7AEC" w:rsidRDefault="00000000">
            <w:r>
              <w:t>Sí</w:t>
            </w:r>
          </w:p>
        </w:tc>
      </w:tr>
      <w:tr w:rsidR="008D7AEC" w14:paraId="2042F83D" w14:textId="77777777">
        <w:tc>
          <w:tcPr>
            <w:tcW w:w="2340" w:type="dxa"/>
          </w:tcPr>
          <w:p w14:paraId="7B1CFF32" w14:textId="77777777" w:rsidR="008D7AEC" w:rsidRDefault="00000000">
            <w:r>
              <w:lastRenderedPageBreak/>
              <w:t>VUG</w:t>
            </w:r>
          </w:p>
        </w:tc>
        <w:tc>
          <w:tcPr>
            <w:tcW w:w="2340" w:type="dxa"/>
          </w:tcPr>
          <w:p w14:paraId="22771408" w14:textId="77777777" w:rsidR="008D7AEC" w:rsidRDefault="00000000">
            <w:r>
              <w:t>Vanguard Growth</w:t>
            </w:r>
          </w:p>
        </w:tc>
        <w:tc>
          <w:tcPr>
            <w:tcW w:w="2340" w:type="dxa"/>
          </w:tcPr>
          <w:p w14:paraId="4D483BEA" w14:textId="77777777" w:rsidR="008D7AEC" w:rsidRDefault="00000000">
            <w:r>
              <w:t>Factores y estilos</w:t>
            </w:r>
          </w:p>
        </w:tc>
        <w:tc>
          <w:tcPr>
            <w:tcW w:w="2340" w:type="dxa"/>
          </w:tcPr>
          <w:p w14:paraId="672F6502" w14:textId="77777777" w:rsidR="008D7AEC" w:rsidRDefault="00000000">
            <w:r>
              <w:t>Sí</w:t>
            </w:r>
          </w:p>
        </w:tc>
      </w:tr>
      <w:tr w:rsidR="008D7AEC" w14:paraId="7543F573" w14:textId="77777777">
        <w:tc>
          <w:tcPr>
            <w:tcW w:w="2340" w:type="dxa"/>
          </w:tcPr>
          <w:p w14:paraId="4439EEF6" w14:textId="77777777" w:rsidR="008D7AEC" w:rsidRDefault="00000000">
            <w:r>
              <w:t>IWF</w:t>
            </w:r>
          </w:p>
        </w:tc>
        <w:tc>
          <w:tcPr>
            <w:tcW w:w="2340" w:type="dxa"/>
          </w:tcPr>
          <w:p w14:paraId="7D91330C" w14:textId="77777777" w:rsidR="008D7AEC" w:rsidRDefault="00000000">
            <w:r>
              <w:t>iShares Russell 1000 Growth</w:t>
            </w:r>
          </w:p>
        </w:tc>
        <w:tc>
          <w:tcPr>
            <w:tcW w:w="2340" w:type="dxa"/>
          </w:tcPr>
          <w:p w14:paraId="466051D7" w14:textId="77777777" w:rsidR="008D7AEC" w:rsidRDefault="00000000">
            <w:r>
              <w:t>Factores y estilos</w:t>
            </w:r>
          </w:p>
        </w:tc>
        <w:tc>
          <w:tcPr>
            <w:tcW w:w="2340" w:type="dxa"/>
          </w:tcPr>
          <w:p w14:paraId="78306FF5" w14:textId="77777777" w:rsidR="008D7AEC" w:rsidRDefault="00000000">
            <w:r>
              <w:t>Sí</w:t>
            </w:r>
          </w:p>
        </w:tc>
      </w:tr>
      <w:tr w:rsidR="008D7AEC" w14:paraId="03CBADBF" w14:textId="77777777">
        <w:tc>
          <w:tcPr>
            <w:tcW w:w="2340" w:type="dxa"/>
          </w:tcPr>
          <w:p w14:paraId="4B2C28E6" w14:textId="77777777" w:rsidR="008D7AEC" w:rsidRDefault="00000000">
            <w:r>
              <w:t>VTV</w:t>
            </w:r>
          </w:p>
        </w:tc>
        <w:tc>
          <w:tcPr>
            <w:tcW w:w="2340" w:type="dxa"/>
          </w:tcPr>
          <w:p w14:paraId="7829DD96" w14:textId="77777777" w:rsidR="008D7AEC" w:rsidRDefault="00000000">
            <w:r>
              <w:t>Vanguard Value</w:t>
            </w:r>
          </w:p>
        </w:tc>
        <w:tc>
          <w:tcPr>
            <w:tcW w:w="2340" w:type="dxa"/>
          </w:tcPr>
          <w:p w14:paraId="7926C21E" w14:textId="77777777" w:rsidR="008D7AEC" w:rsidRDefault="00000000">
            <w:r>
              <w:t>Factores y estilos</w:t>
            </w:r>
          </w:p>
        </w:tc>
        <w:tc>
          <w:tcPr>
            <w:tcW w:w="2340" w:type="dxa"/>
          </w:tcPr>
          <w:p w14:paraId="5EF1F833" w14:textId="77777777" w:rsidR="008D7AEC" w:rsidRDefault="00000000">
            <w:r>
              <w:t>Sí</w:t>
            </w:r>
          </w:p>
        </w:tc>
      </w:tr>
      <w:tr w:rsidR="008D7AEC" w14:paraId="31C8BCD7" w14:textId="77777777">
        <w:tc>
          <w:tcPr>
            <w:tcW w:w="2340" w:type="dxa"/>
          </w:tcPr>
          <w:p w14:paraId="37D53D79" w14:textId="77777777" w:rsidR="008D7AEC" w:rsidRDefault="00000000">
            <w:r>
              <w:t>IWD</w:t>
            </w:r>
          </w:p>
        </w:tc>
        <w:tc>
          <w:tcPr>
            <w:tcW w:w="2340" w:type="dxa"/>
          </w:tcPr>
          <w:p w14:paraId="0AA41092" w14:textId="77777777" w:rsidR="008D7AEC" w:rsidRDefault="00000000">
            <w:r>
              <w:t>iShares Russell 1000 Value</w:t>
            </w:r>
          </w:p>
        </w:tc>
        <w:tc>
          <w:tcPr>
            <w:tcW w:w="2340" w:type="dxa"/>
          </w:tcPr>
          <w:p w14:paraId="531C5AB3" w14:textId="77777777" w:rsidR="008D7AEC" w:rsidRDefault="00000000">
            <w:r>
              <w:t>Factores y estilos</w:t>
            </w:r>
          </w:p>
        </w:tc>
        <w:tc>
          <w:tcPr>
            <w:tcW w:w="2340" w:type="dxa"/>
          </w:tcPr>
          <w:p w14:paraId="01D05E92" w14:textId="77777777" w:rsidR="008D7AEC" w:rsidRDefault="00000000">
            <w:r>
              <w:t>Sí</w:t>
            </w:r>
          </w:p>
        </w:tc>
      </w:tr>
      <w:tr w:rsidR="008D7AEC" w14:paraId="4E0E4399" w14:textId="77777777">
        <w:tc>
          <w:tcPr>
            <w:tcW w:w="2340" w:type="dxa"/>
          </w:tcPr>
          <w:p w14:paraId="7D01479D" w14:textId="77777777" w:rsidR="008D7AEC" w:rsidRDefault="00000000">
            <w:r>
              <w:t>SCHD</w:t>
            </w:r>
          </w:p>
        </w:tc>
        <w:tc>
          <w:tcPr>
            <w:tcW w:w="2340" w:type="dxa"/>
          </w:tcPr>
          <w:p w14:paraId="35255C21" w14:textId="77777777" w:rsidR="008D7AEC" w:rsidRDefault="00000000">
            <w:r>
              <w:t>Schwab US Dividend Equity</w:t>
            </w:r>
          </w:p>
        </w:tc>
        <w:tc>
          <w:tcPr>
            <w:tcW w:w="2340" w:type="dxa"/>
          </w:tcPr>
          <w:p w14:paraId="754C2ED5" w14:textId="77777777" w:rsidR="008D7AEC" w:rsidRDefault="00000000">
            <w:r>
              <w:t>Factores y estilos</w:t>
            </w:r>
          </w:p>
        </w:tc>
        <w:tc>
          <w:tcPr>
            <w:tcW w:w="2340" w:type="dxa"/>
          </w:tcPr>
          <w:p w14:paraId="06ADA136" w14:textId="77777777" w:rsidR="008D7AEC" w:rsidRDefault="00000000">
            <w:r>
              <w:t>Sí</w:t>
            </w:r>
          </w:p>
        </w:tc>
      </w:tr>
      <w:tr w:rsidR="008D7AEC" w14:paraId="3DDEA4D6" w14:textId="77777777">
        <w:tc>
          <w:tcPr>
            <w:tcW w:w="2340" w:type="dxa"/>
          </w:tcPr>
          <w:p w14:paraId="14441A27" w14:textId="77777777" w:rsidR="008D7AEC" w:rsidRDefault="00000000">
            <w:r>
              <w:t>VIG</w:t>
            </w:r>
          </w:p>
        </w:tc>
        <w:tc>
          <w:tcPr>
            <w:tcW w:w="2340" w:type="dxa"/>
          </w:tcPr>
          <w:p w14:paraId="13AC0E48" w14:textId="77777777" w:rsidR="008D7AEC" w:rsidRDefault="00000000">
            <w:r>
              <w:t>Vanguard Dividend Appreciation</w:t>
            </w:r>
          </w:p>
        </w:tc>
        <w:tc>
          <w:tcPr>
            <w:tcW w:w="2340" w:type="dxa"/>
          </w:tcPr>
          <w:p w14:paraId="4AAC97E7" w14:textId="77777777" w:rsidR="008D7AEC" w:rsidRDefault="00000000">
            <w:r>
              <w:t>Factores y estilos</w:t>
            </w:r>
          </w:p>
        </w:tc>
        <w:tc>
          <w:tcPr>
            <w:tcW w:w="2340" w:type="dxa"/>
          </w:tcPr>
          <w:p w14:paraId="5A4C5827" w14:textId="77777777" w:rsidR="008D7AEC" w:rsidRDefault="00000000">
            <w:r>
              <w:t>Sí</w:t>
            </w:r>
          </w:p>
        </w:tc>
      </w:tr>
      <w:tr w:rsidR="008D7AEC" w14:paraId="3527A82F" w14:textId="77777777">
        <w:tc>
          <w:tcPr>
            <w:tcW w:w="2340" w:type="dxa"/>
          </w:tcPr>
          <w:p w14:paraId="21668953" w14:textId="77777777" w:rsidR="008D7AEC" w:rsidRDefault="00000000">
            <w:r>
              <w:t>DVY</w:t>
            </w:r>
          </w:p>
        </w:tc>
        <w:tc>
          <w:tcPr>
            <w:tcW w:w="2340" w:type="dxa"/>
          </w:tcPr>
          <w:p w14:paraId="75AEF7FC" w14:textId="77777777" w:rsidR="008D7AEC" w:rsidRDefault="00000000">
            <w:r>
              <w:t>iShares Select Dividend</w:t>
            </w:r>
          </w:p>
        </w:tc>
        <w:tc>
          <w:tcPr>
            <w:tcW w:w="2340" w:type="dxa"/>
          </w:tcPr>
          <w:p w14:paraId="546C7FA6" w14:textId="77777777" w:rsidR="008D7AEC" w:rsidRDefault="00000000">
            <w:r>
              <w:t>Factores y estilos</w:t>
            </w:r>
          </w:p>
        </w:tc>
        <w:tc>
          <w:tcPr>
            <w:tcW w:w="2340" w:type="dxa"/>
          </w:tcPr>
          <w:p w14:paraId="6169DBF1" w14:textId="77777777" w:rsidR="008D7AEC" w:rsidRDefault="00000000">
            <w:r>
              <w:t>Sí</w:t>
            </w:r>
          </w:p>
        </w:tc>
      </w:tr>
      <w:tr w:rsidR="008D7AEC" w14:paraId="61C4AE63" w14:textId="77777777">
        <w:tc>
          <w:tcPr>
            <w:tcW w:w="2340" w:type="dxa"/>
          </w:tcPr>
          <w:p w14:paraId="4D6BE1AC" w14:textId="77777777" w:rsidR="008D7AEC" w:rsidRDefault="00000000">
            <w:r>
              <w:t>MTUM</w:t>
            </w:r>
          </w:p>
        </w:tc>
        <w:tc>
          <w:tcPr>
            <w:tcW w:w="2340" w:type="dxa"/>
          </w:tcPr>
          <w:p w14:paraId="3EBD7214" w14:textId="77777777" w:rsidR="008D7AEC" w:rsidRDefault="00000000">
            <w:r>
              <w:t>iShares MSCI USA Momentum</w:t>
            </w:r>
          </w:p>
        </w:tc>
        <w:tc>
          <w:tcPr>
            <w:tcW w:w="2340" w:type="dxa"/>
          </w:tcPr>
          <w:p w14:paraId="04CE4701" w14:textId="77777777" w:rsidR="008D7AEC" w:rsidRDefault="00000000">
            <w:r>
              <w:t>Factores y estilos</w:t>
            </w:r>
          </w:p>
        </w:tc>
        <w:tc>
          <w:tcPr>
            <w:tcW w:w="2340" w:type="dxa"/>
          </w:tcPr>
          <w:p w14:paraId="7886ADC1" w14:textId="77777777" w:rsidR="008D7AEC" w:rsidRDefault="00000000">
            <w:r>
              <w:t>Sí</w:t>
            </w:r>
          </w:p>
        </w:tc>
      </w:tr>
      <w:tr w:rsidR="008D7AEC" w14:paraId="0BE0FAFF" w14:textId="77777777">
        <w:tc>
          <w:tcPr>
            <w:tcW w:w="2340" w:type="dxa"/>
          </w:tcPr>
          <w:p w14:paraId="5162EDBF" w14:textId="77777777" w:rsidR="008D7AEC" w:rsidRDefault="00000000">
            <w:r>
              <w:t>QUAL</w:t>
            </w:r>
          </w:p>
        </w:tc>
        <w:tc>
          <w:tcPr>
            <w:tcW w:w="2340" w:type="dxa"/>
          </w:tcPr>
          <w:p w14:paraId="5B4793CC" w14:textId="77777777" w:rsidR="008D7AEC" w:rsidRDefault="00000000">
            <w:r>
              <w:t>iShares MSCI USA Quality</w:t>
            </w:r>
          </w:p>
        </w:tc>
        <w:tc>
          <w:tcPr>
            <w:tcW w:w="2340" w:type="dxa"/>
          </w:tcPr>
          <w:p w14:paraId="63FDEA06" w14:textId="77777777" w:rsidR="008D7AEC" w:rsidRDefault="00000000">
            <w:r>
              <w:t>Factores y estilos</w:t>
            </w:r>
          </w:p>
        </w:tc>
        <w:tc>
          <w:tcPr>
            <w:tcW w:w="2340" w:type="dxa"/>
          </w:tcPr>
          <w:p w14:paraId="1F07DE1F" w14:textId="77777777" w:rsidR="008D7AEC" w:rsidRDefault="00000000">
            <w:r>
              <w:t>Sí</w:t>
            </w:r>
          </w:p>
        </w:tc>
      </w:tr>
      <w:tr w:rsidR="008D7AEC" w14:paraId="153D4466" w14:textId="77777777">
        <w:tc>
          <w:tcPr>
            <w:tcW w:w="2340" w:type="dxa"/>
          </w:tcPr>
          <w:p w14:paraId="5109B0CC" w14:textId="77777777" w:rsidR="008D7AEC" w:rsidRDefault="00000000">
            <w:r>
              <w:t>USMV</w:t>
            </w:r>
          </w:p>
        </w:tc>
        <w:tc>
          <w:tcPr>
            <w:tcW w:w="2340" w:type="dxa"/>
          </w:tcPr>
          <w:p w14:paraId="7BD069BB" w14:textId="77777777" w:rsidR="008D7AEC" w:rsidRDefault="00000000">
            <w:r>
              <w:t>iShares MSCI USA Min Vol</w:t>
            </w:r>
          </w:p>
        </w:tc>
        <w:tc>
          <w:tcPr>
            <w:tcW w:w="2340" w:type="dxa"/>
          </w:tcPr>
          <w:p w14:paraId="05753328" w14:textId="77777777" w:rsidR="008D7AEC" w:rsidRDefault="00000000">
            <w:r>
              <w:t>Factores y estilos</w:t>
            </w:r>
          </w:p>
        </w:tc>
        <w:tc>
          <w:tcPr>
            <w:tcW w:w="2340" w:type="dxa"/>
          </w:tcPr>
          <w:p w14:paraId="7C3841B2" w14:textId="77777777" w:rsidR="008D7AEC" w:rsidRDefault="00000000">
            <w:r>
              <w:t>Sí</w:t>
            </w:r>
          </w:p>
        </w:tc>
      </w:tr>
      <w:tr w:rsidR="008D7AEC" w14:paraId="0454FA1A" w14:textId="77777777">
        <w:tc>
          <w:tcPr>
            <w:tcW w:w="2340" w:type="dxa"/>
          </w:tcPr>
          <w:p w14:paraId="6A75C4E9" w14:textId="77777777" w:rsidR="008D7AEC" w:rsidRDefault="00000000">
            <w:r>
              <w:t>VLUE</w:t>
            </w:r>
          </w:p>
        </w:tc>
        <w:tc>
          <w:tcPr>
            <w:tcW w:w="2340" w:type="dxa"/>
          </w:tcPr>
          <w:p w14:paraId="430FFFE7" w14:textId="77777777" w:rsidR="008D7AEC" w:rsidRDefault="00000000">
            <w:r>
              <w:t>iShares MSCI USA Value</w:t>
            </w:r>
          </w:p>
        </w:tc>
        <w:tc>
          <w:tcPr>
            <w:tcW w:w="2340" w:type="dxa"/>
          </w:tcPr>
          <w:p w14:paraId="57D911EA" w14:textId="77777777" w:rsidR="008D7AEC" w:rsidRDefault="00000000">
            <w:r>
              <w:t>Factores y estilos</w:t>
            </w:r>
          </w:p>
        </w:tc>
        <w:tc>
          <w:tcPr>
            <w:tcW w:w="2340" w:type="dxa"/>
          </w:tcPr>
          <w:p w14:paraId="3D912569" w14:textId="77777777" w:rsidR="008D7AEC" w:rsidRDefault="00000000">
            <w:r>
              <w:t>Sí</w:t>
            </w:r>
          </w:p>
        </w:tc>
      </w:tr>
      <w:tr w:rsidR="008D7AEC" w14:paraId="67C78864" w14:textId="77777777">
        <w:tc>
          <w:tcPr>
            <w:tcW w:w="2340" w:type="dxa"/>
          </w:tcPr>
          <w:p w14:paraId="4B0B5976" w14:textId="77777777" w:rsidR="008D7AEC" w:rsidRDefault="00000000">
            <w:r>
              <w:t>XLK</w:t>
            </w:r>
          </w:p>
        </w:tc>
        <w:tc>
          <w:tcPr>
            <w:tcW w:w="2340" w:type="dxa"/>
          </w:tcPr>
          <w:p w14:paraId="0D73EF8B" w14:textId="77777777" w:rsidR="008D7AEC" w:rsidRDefault="00000000">
            <w:r>
              <w:t>Technology Select Sector SPDR</w:t>
            </w:r>
          </w:p>
        </w:tc>
        <w:tc>
          <w:tcPr>
            <w:tcW w:w="2340" w:type="dxa"/>
          </w:tcPr>
          <w:p w14:paraId="33B95BA6" w14:textId="77777777" w:rsidR="008D7AEC" w:rsidRDefault="00000000">
            <w:r>
              <w:t>Sectores</w:t>
            </w:r>
          </w:p>
        </w:tc>
        <w:tc>
          <w:tcPr>
            <w:tcW w:w="2340" w:type="dxa"/>
          </w:tcPr>
          <w:p w14:paraId="68FDB2F6" w14:textId="77777777" w:rsidR="008D7AEC" w:rsidRDefault="00000000">
            <w:r>
              <w:t>Sí</w:t>
            </w:r>
          </w:p>
        </w:tc>
      </w:tr>
      <w:tr w:rsidR="008D7AEC" w14:paraId="4C448F4A" w14:textId="77777777">
        <w:tc>
          <w:tcPr>
            <w:tcW w:w="2340" w:type="dxa"/>
          </w:tcPr>
          <w:p w14:paraId="6CC85C49" w14:textId="77777777" w:rsidR="008D7AEC" w:rsidRDefault="00000000">
            <w:r>
              <w:t>XLF</w:t>
            </w:r>
          </w:p>
        </w:tc>
        <w:tc>
          <w:tcPr>
            <w:tcW w:w="2340" w:type="dxa"/>
          </w:tcPr>
          <w:p w14:paraId="5D89554D" w14:textId="77777777" w:rsidR="008D7AEC" w:rsidRDefault="00000000">
            <w:r>
              <w:t>Financial Select Sector SPDR</w:t>
            </w:r>
          </w:p>
        </w:tc>
        <w:tc>
          <w:tcPr>
            <w:tcW w:w="2340" w:type="dxa"/>
          </w:tcPr>
          <w:p w14:paraId="789A63AE" w14:textId="77777777" w:rsidR="008D7AEC" w:rsidRDefault="00000000">
            <w:r>
              <w:t>Sectores</w:t>
            </w:r>
          </w:p>
        </w:tc>
        <w:tc>
          <w:tcPr>
            <w:tcW w:w="2340" w:type="dxa"/>
          </w:tcPr>
          <w:p w14:paraId="55EEFBF3" w14:textId="77777777" w:rsidR="008D7AEC" w:rsidRDefault="00000000">
            <w:r>
              <w:t>Sí</w:t>
            </w:r>
          </w:p>
        </w:tc>
      </w:tr>
      <w:tr w:rsidR="008D7AEC" w14:paraId="5E213E7D" w14:textId="77777777">
        <w:tc>
          <w:tcPr>
            <w:tcW w:w="2340" w:type="dxa"/>
          </w:tcPr>
          <w:p w14:paraId="7D39E6F1" w14:textId="77777777" w:rsidR="008D7AEC" w:rsidRDefault="00000000">
            <w:r>
              <w:lastRenderedPageBreak/>
              <w:t>XLV</w:t>
            </w:r>
          </w:p>
        </w:tc>
        <w:tc>
          <w:tcPr>
            <w:tcW w:w="2340" w:type="dxa"/>
          </w:tcPr>
          <w:p w14:paraId="315D9C52" w14:textId="77777777" w:rsidR="008D7AEC" w:rsidRDefault="00000000">
            <w:r>
              <w:t>Health Care Select Sector SPDR</w:t>
            </w:r>
          </w:p>
        </w:tc>
        <w:tc>
          <w:tcPr>
            <w:tcW w:w="2340" w:type="dxa"/>
          </w:tcPr>
          <w:p w14:paraId="6F42B780" w14:textId="77777777" w:rsidR="008D7AEC" w:rsidRDefault="00000000">
            <w:r>
              <w:t>Sectores</w:t>
            </w:r>
          </w:p>
        </w:tc>
        <w:tc>
          <w:tcPr>
            <w:tcW w:w="2340" w:type="dxa"/>
          </w:tcPr>
          <w:p w14:paraId="6D868ECD" w14:textId="77777777" w:rsidR="008D7AEC" w:rsidRDefault="00000000">
            <w:r>
              <w:t>Sí</w:t>
            </w:r>
          </w:p>
        </w:tc>
      </w:tr>
      <w:tr w:rsidR="008D7AEC" w14:paraId="4EE73ABE" w14:textId="77777777">
        <w:tc>
          <w:tcPr>
            <w:tcW w:w="2340" w:type="dxa"/>
          </w:tcPr>
          <w:p w14:paraId="3C673088" w14:textId="77777777" w:rsidR="008D7AEC" w:rsidRDefault="00000000">
            <w:r>
              <w:t>XLY</w:t>
            </w:r>
          </w:p>
        </w:tc>
        <w:tc>
          <w:tcPr>
            <w:tcW w:w="2340" w:type="dxa"/>
          </w:tcPr>
          <w:p w14:paraId="5DBD9331" w14:textId="77777777" w:rsidR="008D7AEC" w:rsidRDefault="00000000">
            <w:r>
              <w:t>Consumer Discretionary SPDR</w:t>
            </w:r>
          </w:p>
        </w:tc>
        <w:tc>
          <w:tcPr>
            <w:tcW w:w="2340" w:type="dxa"/>
          </w:tcPr>
          <w:p w14:paraId="4CC4AB12" w14:textId="77777777" w:rsidR="008D7AEC" w:rsidRDefault="00000000">
            <w:r>
              <w:t>Sectores</w:t>
            </w:r>
          </w:p>
        </w:tc>
        <w:tc>
          <w:tcPr>
            <w:tcW w:w="2340" w:type="dxa"/>
          </w:tcPr>
          <w:p w14:paraId="2FE3BD70" w14:textId="77777777" w:rsidR="008D7AEC" w:rsidRDefault="00000000">
            <w:r>
              <w:t>Sí</w:t>
            </w:r>
          </w:p>
        </w:tc>
      </w:tr>
      <w:tr w:rsidR="008D7AEC" w14:paraId="083B79F2" w14:textId="77777777">
        <w:tc>
          <w:tcPr>
            <w:tcW w:w="2340" w:type="dxa"/>
          </w:tcPr>
          <w:p w14:paraId="17C568B0" w14:textId="77777777" w:rsidR="008D7AEC" w:rsidRDefault="00000000">
            <w:r>
              <w:t>XLP</w:t>
            </w:r>
          </w:p>
        </w:tc>
        <w:tc>
          <w:tcPr>
            <w:tcW w:w="2340" w:type="dxa"/>
          </w:tcPr>
          <w:p w14:paraId="0B4DDD5D" w14:textId="77777777" w:rsidR="008D7AEC" w:rsidRDefault="00000000">
            <w:r>
              <w:t>Consumer Staples SPDR</w:t>
            </w:r>
          </w:p>
        </w:tc>
        <w:tc>
          <w:tcPr>
            <w:tcW w:w="2340" w:type="dxa"/>
          </w:tcPr>
          <w:p w14:paraId="4531FFD1" w14:textId="77777777" w:rsidR="008D7AEC" w:rsidRDefault="00000000">
            <w:r>
              <w:t>Sectores</w:t>
            </w:r>
          </w:p>
        </w:tc>
        <w:tc>
          <w:tcPr>
            <w:tcW w:w="2340" w:type="dxa"/>
          </w:tcPr>
          <w:p w14:paraId="2A2FD642" w14:textId="77777777" w:rsidR="008D7AEC" w:rsidRDefault="00000000">
            <w:r>
              <w:t>Sí</w:t>
            </w:r>
          </w:p>
        </w:tc>
      </w:tr>
      <w:tr w:rsidR="008D7AEC" w14:paraId="526C88FB" w14:textId="77777777">
        <w:tc>
          <w:tcPr>
            <w:tcW w:w="2340" w:type="dxa"/>
          </w:tcPr>
          <w:p w14:paraId="6CC1F5D4" w14:textId="77777777" w:rsidR="008D7AEC" w:rsidRDefault="00000000">
            <w:r>
              <w:t>XLE</w:t>
            </w:r>
          </w:p>
        </w:tc>
        <w:tc>
          <w:tcPr>
            <w:tcW w:w="2340" w:type="dxa"/>
          </w:tcPr>
          <w:p w14:paraId="6800B9B4" w14:textId="77777777" w:rsidR="008D7AEC" w:rsidRDefault="00000000">
            <w:r>
              <w:t>Energy Select Sector SPDR</w:t>
            </w:r>
          </w:p>
        </w:tc>
        <w:tc>
          <w:tcPr>
            <w:tcW w:w="2340" w:type="dxa"/>
          </w:tcPr>
          <w:p w14:paraId="7EE1199C" w14:textId="77777777" w:rsidR="008D7AEC" w:rsidRDefault="00000000">
            <w:r>
              <w:t>Sectores</w:t>
            </w:r>
          </w:p>
        </w:tc>
        <w:tc>
          <w:tcPr>
            <w:tcW w:w="2340" w:type="dxa"/>
          </w:tcPr>
          <w:p w14:paraId="1CA0731B" w14:textId="77777777" w:rsidR="008D7AEC" w:rsidRDefault="00000000">
            <w:r>
              <w:t>Sí</w:t>
            </w:r>
          </w:p>
        </w:tc>
      </w:tr>
      <w:tr w:rsidR="008D7AEC" w14:paraId="5B714B38" w14:textId="77777777">
        <w:tc>
          <w:tcPr>
            <w:tcW w:w="2340" w:type="dxa"/>
          </w:tcPr>
          <w:p w14:paraId="28CFEB8A" w14:textId="77777777" w:rsidR="008D7AEC" w:rsidRDefault="00000000">
            <w:r>
              <w:t>XLI</w:t>
            </w:r>
          </w:p>
        </w:tc>
        <w:tc>
          <w:tcPr>
            <w:tcW w:w="2340" w:type="dxa"/>
          </w:tcPr>
          <w:p w14:paraId="4B8BC541" w14:textId="77777777" w:rsidR="008D7AEC" w:rsidRDefault="00000000">
            <w:r>
              <w:t>Industrial Select Sector SPDR</w:t>
            </w:r>
          </w:p>
        </w:tc>
        <w:tc>
          <w:tcPr>
            <w:tcW w:w="2340" w:type="dxa"/>
          </w:tcPr>
          <w:p w14:paraId="4C1B2A53" w14:textId="77777777" w:rsidR="008D7AEC" w:rsidRDefault="00000000">
            <w:r>
              <w:t>Sectores</w:t>
            </w:r>
          </w:p>
        </w:tc>
        <w:tc>
          <w:tcPr>
            <w:tcW w:w="2340" w:type="dxa"/>
          </w:tcPr>
          <w:p w14:paraId="49339894" w14:textId="77777777" w:rsidR="008D7AEC" w:rsidRDefault="00000000">
            <w:r>
              <w:t>Sí</w:t>
            </w:r>
          </w:p>
        </w:tc>
      </w:tr>
      <w:tr w:rsidR="008D7AEC" w14:paraId="1C310DDF" w14:textId="77777777">
        <w:tc>
          <w:tcPr>
            <w:tcW w:w="2340" w:type="dxa"/>
          </w:tcPr>
          <w:p w14:paraId="245F7AF0" w14:textId="77777777" w:rsidR="008D7AEC" w:rsidRDefault="00000000">
            <w:r>
              <w:t>XLU</w:t>
            </w:r>
          </w:p>
        </w:tc>
        <w:tc>
          <w:tcPr>
            <w:tcW w:w="2340" w:type="dxa"/>
          </w:tcPr>
          <w:p w14:paraId="7DFC099F" w14:textId="77777777" w:rsidR="008D7AEC" w:rsidRDefault="00000000">
            <w:r>
              <w:t>Utilities Select Sector SPDR</w:t>
            </w:r>
          </w:p>
        </w:tc>
        <w:tc>
          <w:tcPr>
            <w:tcW w:w="2340" w:type="dxa"/>
          </w:tcPr>
          <w:p w14:paraId="490A210E" w14:textId="77777777" w:rsidR="008D7AEC" w:rsidRDefault="00000000">
            <w:r>
              <w:t>Sectores</w:t>
            </w:r>
          </w:p>
        </w:tc>
        <w:tc>
          <w:tcPr>
            <w:tcW w:w="2340" w:type="dxa"/>
          </w:tcPr>
          <w:p w14:paraId="24A2FF83" w14:textId="77777777" w:rsidR="008D7AEC" w:rsidRDefault="00000000">
            <w:r>
              <w:t>Sí</w:t>
            </w:r>
          </w:p>
        </w:tc>
      </w:tr>
      <w:tr w:rsidR="008D7AEC" w14:paraId="25AA2685" w14:textId="77777777">
        <w:tc>
          <w:tcPr>
            <w:tcW w:w="2340" w:type="dxa"/>
          </w:tcPr>
          <w:p w14:paraId="20EDF037" w14:textId="77777777" w:rsidR="008D7AEC" w:rsidRDefault="00000000">
            <w:r>
              <w:t>XLB</w:t>
            </w:r>
          </w:p>
        </w:tc>
        <w:tc>
          <w:tcPr>
            <w:tcW w:w="2340" w:type="dxa"/>
          </w:tcPr>
          <w:p w14:paraId="63253D67" w14:textId="77777777" w:rsidR="008D7AEC" w:rsidRDefault="00000000">
            <w:r>
              <w:t>Materials Select Sector SPDR</w:t>
            </w:r>
          </w:p>
        </w:tc>
        <w:tc>
          <w:tcPr>
            <w:tcW w:w="2340" w:type="dxa"/>
          </w:tcPr>
          <w:p w14:paraId="26B186F0" w14:textId="77777777" w:rsidR="008D7AEC" w:rsidRDefault="00000000">
            <w:r>
              <w:t>Sectores</w:t>
            </w:r>
          </w:p>
        </w:tc>
        <w:tc>
          <w:tcPr>
            <w:tcW w:w="2340" w:type="dxa"/>
          </w:tcPr>
          <w:p w14:paraId="03927BF5" w14:textId="77777777" w:rsidR="008D7AEC" w:rsidRDefault="00000000">
            <w:r>
              <w:t>Sí</w:t>
            </w:r>
          </w:p>
        </w:tc>
      </w:tr>
      <w:tr w:rsidR="008D7AEC" w14:paraId="68A759AB" w14:textId="77777777">
        <w:tc>
          <w:tcPr>
            <w:tcW w:w="2340" w:type="dxa"/>
          </w:tcPr>
          <w:p w14:paraId="0B947EDB" w14:textId="77777777" w:rsidR="008D7AEC" w:rsidRDefault="00000000">
            <w:r>
              <w:t>XLRE</w:t>
            </w:r>
          </w:p>
        </w:tc>
        <w:tc>
          <w:tcPr>
            <w:tcW w:w="2340" w:type="dxa"/>
          </w:tcPr>
          <w:p w14:paraId="5AD3566C" w14:textId="77777777" w:rsidR="008D7AEC" w:rsidRDefault="00000000">
            <w:r>
              <w:t>Real Estate Select Sector SPDR</w:t>
            </w:r>
          </w:p>
        </w:tc>
        <w:tc>
          <w:tcPr>
            <w:tcW w:w="2340" w:type="dxa"/>
          </w:tcPr>
          <w:p w14:paraId="78A75648" w14:textId="77777777" w:rsidR="008D7AEC" w:rsidRDefault="00000000">
            <w:r>
              <w:t>Sectores</w:t>
            </w:r>
          </w:p>
        </w:tc>
        <w:tc>
          <w:tcPr>
            <w:tcW w:w="2340" w:type="dxa"/>
          </w:tcPr>
          <w:p w14:paraId="46A5FB52" w14:textId="77777777" w:rsidR="008D7AEC" w:rsidRDefault="00000000">
            <w:r>
              <w:t>Sí</w:t>
            </w:r>
          </w:p>
        </w:tc>
      </w:tr>
      <w:tr w:rsidR="008D7AEC" w14:paraId="2F32AB4D" w14:textId="77777777">
        <w:tc>
          <w:tcPr>
            <w:tcW w:w="2340" w:type="dxa"/>
          </w:tcPr>
          <w:p w14:paraId="7727F000" w14:textId="77777777" w:rsidR="008D7AEC" w:rsidRDefault="00000000">
            <w:r>
              <w:t>VEA</w:t>
            </w:r>
          </w:p>
        </w:tc>
        <w:tc>
          <w:tcPr>
            <w:tcW w:w="2340" w:type="dxa"/>
          </w:tcPr>
          <w:p w14:paraId="522F2C01" w14:textId="77777777" w:rsidR="008D7AEC" w:rsidRDefault="00000000">
            <w:r>
              <w:t>Vanguard FTSE Developed Markets</w:t>
            </w:r>
          </w:p>
        </w:tc>
        <w:tc>
          <w:tcPr>
            <w:tcW w:w="2340" w:type="dxa"/>
          </w:tcPr>
          <w:p w14:paraId="76B813E0" w14:textId="77777777" w:rsidR="008D7AEC" w:rsidRDefault="00000000">
            <w:r>
              <w:t>Internacionales</w:t>
            </w:r>
          </w:p>
        </w:tc>
        <w:tc>
          <w:tcPr>
            <w:tcW w:w="2340" w:type="dxa"/>
          </w:tcPr>
          <w:p w14:paraId="0EDF7FB3" w14:textId="77777777" w:rsidR="008D7AEC" w:rsidRDefault="00000000">
            <w:r>
              <w:t>Sí</w:t>
            </w:r>
          </w:p>
        </w:tc>
      </w:tr>
      <w:tr w:rsidR="008D7AEC" w14:paraId="0401E330" w14:textId="77777777">
        <w:tc>
          <w:tcPr>
            <w:tcW w:w="2340" w:type="dxa"/>
          </w:tcPr>
          <w:p w14:paraId="45E2886E" w14:textId="77777777" w:rsidR="008D7AEC" w:rsidRDefault="00000000">
            <w:r>
              <w:t>IEFA</w:t>
            </w:r>
          </w:p>
        </w:tc>
        <w:tc>
          <w:tcPr>
            <w:tcW w:w="2340" w:type="dxa"/>
          </w:tcPr>
          <w:p w14:paraId="1E98CD8A" w14:textId="77777777" w:rsidR="008D7AEC" w:rsidRDefault="00000000">
            <w:r>
              <w:t>iShares Core MSCI EAFE</w:t>
            </w:r>
          </w:p>
        </w:tc>
        <w:tc>
          <w:tcPr>
            <w:tcW w:w="2340" w:type="dxa"/>
          </w:tcPr>
          <w:p w14:paraId="6711D7FC" w14:textId="77777777" w:rsidR="008D7AEC" w:rsidRDefault="00000000">
            <w:r>
              <w:t>Internacionales</w:t>
            </w:r>
          </w:p>
        </w:tc>
        <w:tc>
          <w:tcPr>
            <w:tcW w:w="2340" w:type="dxa"/>
          </w:tcPr>
          <w:p w14:paraId="3297C8DF" w14:textId="77777777" w:rsidR="008D7AEC" w:rsidRDefault="00000000">
            <w:r>
              <w:t>Sí</w:t>
            </w:r>
          </w:p>
        </w:tc>
      </w:tr>
      <w:tr w:rsidR="008D7AEC" w14:paraId="57B89BE5" w14:textId="77777777">
        <w:tc>
          <w:tcPr>
            <w:tcW w:w="2340" w:type="dxa"/>
          </w:tcPr>
          <w:p w14:paraId="5775698D" w14:textId="77777777" w:rsidR="008D7AEC" w:rsidRDefault="00000000">
            <w:r>
              <w:t>VWO</w:t>
            </w:r>
          </w:p>
        </w:tc>
        <w:tc>
          <w:tcPr>
            <w:tcW w:w="2340" w:type="dxa"/>
          </w:tcPr>
          <w:p w14:paraId="4E5F1A24" w14:textId="77777777" w:rsidR="008D7AEC" w:rsidRDefault="00000000">
            <w:r>
              <w:t>Vanguard FTSE Emerging Markets</w:t>
            </w:r>
          </w:p>
        </w:tc>
        <w:tc>
          <w:tcPr>
            <w:tcW w:w="2340" w:type="dxa"/>
          </w:tcPr>
          <w:p w14:paraId="317AC1B4" w14:textId="77777777" w:rsidR="008D7AEC" w:rsidRDefault="00000000">
            <w:r>
              <w:t>Internacionales</w:t>
            </w:r>
          </w:p>
        </w:tc>
        <w:tc>
          <w:tcPr>
            <w:tcW w:w="2340" w:type="dxa"/>
          </w:tcPr>
          <w:p w14:paraId="4D65DC13" w14:textId="77777777" w:rsidR="008D7AEC" w:rsidRDefault="00000000">
            <w:r>
              <w:t>Sí</w:t>
            </w:r>
          </w:p>
        </w:tc>
      </w:tr>
      <w:tr w:rsidR="008D7AEC" w14:paraId="0BD08476" w14:textId="77777777">
        <w:tc>
          <w:tcPr>
            <w:tcW w:w="2340" w:type="dxa"/>
          </w:tcPr>
          <w:p w14:paraId="6041759C" w14:textId="77777777" w:rsidR="008D7AEC" w:rsidRDefault="00000000">
            <w:r>
              <w:t>IEMG</w:t>
            </w:r>
          </w:p>
        </w:tc>
        <w:tc>
          <w:tcPr>
            <w:tcW w:w="2340" w:type="dxa"/>
          </w:tcPr>
          <w:p w14:paraId="4A49BE35" w14:textId="77777777" w:rsidR="008D7AEC" w:rsidRDefault="00000000">
            <w:r>
              <w:t>iShares Core MSCI Emerging Markets</w:t>
            </w:r>
          </w:p>
        </w:tc>
        <w:tc>
          <w:tcPr>
            <w:tcW w:w="2340" w:type="dxa"/>
          </w:tcPr>
          <w:p w14:paraId="0A12DD9C" w14:textId="77777777" w:rsidR="008D7AEC" w:rsidRDefault="00000000">
            <w:r>
              <w:t>Internacionales</w:t>
            </w:r>
          </w:p>
        </w:tc>
        <w:tc>
          <w:tcPr>
            <w:tcW w:w="2340" w:type="dxa"/>
          </w:tcPr>
          <w:p w14:paraId="10CC61CC" w14:textId="77777777" w:rsidR="008D7AEC" w:rsidRDefault="00000000">
            <w:r>
              <w:t>Sí</w:t>
            </w:r>
          </w:p>
        </w:tc>
      </w:tr>
      <w:tr w:rsidR="008D7AEC" w14:paraId="573B8A88" w14:textId="77777777">
        <w:tc>
          <w:tcPr>
            <w:tcW w:w="2340" w:type="dxa"/>
          </w:tcPr>
          <w:p w14:paraId="597662EE" w14:textId="77777777" w:rsidR="008D7AEC" w:rsidRDefault="00000000">
            <w:r>
              <w:t>EFA</w:t>
            </w:r>
          </w:p>
        </w:tc>
        <w:tc>
          <w:tcPr>
            <w:tcW w:w="2340" w:type="dxa"/>
          </w:tcPr>
          <w:p w14:paraId="2DBE29EA" w14:textId="77777777" w:rsidR="008D7AEC" w:rsidRDefault="00000000">
            <w:r>
              <w:t>iShares MSCI EAFE</w:t>
            </w:r>
          </w:p>
        </w:tc>
        <w:tc>
          <w:tcPr>
            <w:tcW w:w="2340" w:type="dxa"/>
          </w:tcPr>
          <w:p w14:paraId="735ACD99" w14:textId="77777777" w:rsidR="008D7AEC" w:rsidRDefault="00000000">
            <w:r>
              <w:t>Internacionales</w:t>
            </w:r>
          </w:p>
        </w:tc>
        <w:tc>
          <w:tcPr>
            <w:tcW w:w="2340" w:type="dxa"/>
          </w:tcPr>
          <w:p w14:paraId="7D8E4D61" w14:textId="77777777" w:rsidR="008D7AEC" w:rsidRDefault="00000000">
            <w:r>
              <w:t>Sí</w:t>
            </w:r>
          </w:p>
        </w:tc>
      </w:tr>
      <w:tr w:rsidR="008D7AEC" w14:paraId="3ED1C4E2" w14:textId="77777777">
        <w:tc>
          <w:tcPr>
            <w:tcW w:w="2340" w:type="dxa"/>
          </w:tcPr>
          <w:p w14:paraId="223E6CD5" w14:textId="77777777" w:rsidR="008D7AEC" w:rsidRDefault="00000000">
            <w:r>
              <w:lastRenderedPageBreak/>
              <w:t>EEM</w:t>
            </w:r>
          </w:p>
        </w:tc>
        <w:tc>
          <w:tcPr>
            <w:tcW w:w="2340" w:type="dxa"/>
          </w:tcPr>
          <w:p w14:paraId="4FE1F0A8" w14:textId="77777777" w:rsidR="008D7AEC" w:rsidRDefault="00000000">
            <w:r>
              <w:t>iShares MSCI Emerging Markets</w:t>
            </w:r>
          </w:p>
        </w:tc>
        <w:tc>
          <w:tcPr>
            <w:tcW w:w="2340" w:type="dxa"/>
          </w:tcPr>
          <w:p w14:paraId="29DA4F99" w14:textId="77777777" w:rsidR="008D7AEC" w:rsidRDefault="00000000">
            <w:r>
              <w:t>Internacionales</w:t>
            </w:r>
          </w:p>
        </w:tc>
        <w:tc>
          <w:tcPr>
            <w:tcW w:w="2340" w:type="dxa"/>
          </w:tcPr>
          <w:p w14:paraId="372C7002" w14:textId="77777777" w:rsidR="008D7AEC" w:rsidRDefault="00000000">
            <w:r>
              <w:t>Sí</w:t>
            </w:r>
          </w:p>
        </w:tc>
      </w:tr>
      <w:tr w:rsidR="008D7AEC" w14:paraId="087A6754" w14:textId="77777777">
        <w:tc>
          <w:tcPr>
            <w:tcW w:w="2340" w:type="dxa"/>
          </w:tcPr>
          <w:p w14:paraId="107AE8DF" w14:textId="77777777" w:rsidR="008D7AEC" w:rsidRDefault="00000000">
            <w:r>
              <w:t>EWJ</w:t>
            </w:r>
          </w:p>
        </w:tc>
        <w:tc>
          <w:tcPr>
            <w:tcW w:w="2340" w:type="dxa"/>
          </w:tcPr>
          <w:p w14:paraId="56447386" w14:textId="77777777" w:rsidR="008D7AEC" w:rsidRDefault="00000000">
            <w:r>
              <w:t>iShares MSCI Japan</w:t>
            </w:r>
          </w:p>
        </w:tc>
        <w:tc>
          <w:tcPr>
            <w:tcW w:w="2340" w:type="dxa"/>
          </w:tcPr>
          <w:p w14:paraId="1B10C495" w14:textId="77777777" w:rsidR="008D7AEC" w:rsidRDefault="00000000">
            <w:r>
              <w:t>Internacionales</w:t>
            </w:r>
          </w:p>
        </w:tc>
        <w:tc>
          <w:tcPr>
            <w:tcW w:w="2340" w:type="dxa"/>
          </w:tcPr>
          <w:p w14:paraId="6D5246FE" w14:textId="77777777" w:rsidR="008D7AEC" w:rsidRDefault="00000000">
            <w:r>
              <w:t>Sí</w:t>
            </w:r>
          </w:p>
        </w:tc>
      </w:tr>
      <w:tr w:rsidR="008D7AEC" w14:paraId="46639099" w14:textId="77777777">
        <w:tc>
          <w:tcPr>
            <w:tcW w:w="2340" w:type="dxa"/>
          </w:tcPr>
          <w:p w14:paraId="5ADAA81A" w14:textId="77777777" w:rsidR="008D7AEC" w:rsidRDefault="00000000">
            <w:r>
              <w:t>EWG</w:t>
            </w:r>
          </w:p>
        </w:tc>
        <w:tc>
          <w:tcPr>
            <w:tcW w:w="2340" w:type="dxa"/>
          </w:tcPr>
          <w:p w14:paraId="116FDC31" w14:textId="77777777" w:rsidR="008D7AEC" w:rsidRDefault="00000000">
            <w:r>
              <w:t>iShares MSCI Germany</w:t>
            </w:r>
          </w:p>
        </w:tc>
        <w:tc>
          <w:tcPr>
            <w:tcW w:w="2340" w:type="dxa"/>
          </w:tcPr>
          <w:p w14:paraId="0B5F091D" w14:textId="77777777" w:rsidR="008D7AEC" w:rsidRDefault="00000000">
            <w:r>
              <w:t>Internacionales</w:t>
            </w:r>
          </w:p>
        </w:tc>
        <w:tc>
          <w:tcPr>
            <w:tcW w:w="2340" w:type="dxa"/>
          </w:tcPr>
          <w:p w14:paraId="57ED51AF" w14:textId="77777777" w:rsidR="008D7AEC" w:rsidRDefault="00000000">
            <w:r>
              <w:t>Sí</w:t>
            </w:r>
          </w:p>
        </w:tc>
      </w:tr>
      <w:tr w:rsidR="008D7AEC" w14:paraId="50656CB0" w14:textId="77777777">
        <w:tc>
          <w:tcPr>
            <w:tcW w:w="2340" w:type="dxa"/>
          </w:tcPr>
          <w:p w14:paraId="74AF183E" w14:textId="77777777" w:rsidR="008D7AEC" w:rsidRDefault="00000000">
            <w:r>
              <w:t>EWU</w:t>
            </w:r>
          </w:p>
        </w:tc>
        <w:tc>
          <w:tcPr>
            <w:tcW w:w="2340" w:type="dxa"/>
          </w:tcPr>
          <w:p w14:paraId="7C41FA7B" w14:textId="77777777" w:rsidR="008D7AEC" w:rsidRDefault="00000000">
            <w:r>
              <w:t>iShares MSCI United Kingdom</w:t>
            </w:r>
          </w:p>
        </w:tc>
        <w:tc>
          <w:tcPr>
            <w:tcW w:w="2340" w:type="dxa"/>
          </w:tcPr>
          <w:p w14:paraId="0A33398C" w14:textId="77777777" w:rsidR="008D7AEC" w:rsidRDefault="00000000">
            <w:r>
              <w:t>Internacionales</w:t>
            </w:r>
          </w:p>
        </w:tc>
        <w:tc>
          <w:tcPr>
            <w:tcW w:w="2340" w:type="dxa"/>
          </w:tcPr>
          <w:p w14:paraId="6A3362E2" w14:textId="77777777" w:rsidR="008D7AEC" w:rsidRDefault="00000000">
            <w:r>
              <w:t>Sí</w:t>
            </w:r>
          </w:p>
        </w:tc>
      </w:tr>
      <w:tr w:rsidR="008D7AEC" w14:paraId="0CBF1AB9" w14:textId="77777777">
        <w:tc>
          <w:tcPr>
            <w:tcW w:w="2340" w:type="dxa"/>
          </w:tcPr>
          <w:p w14:paraId="5E078E0D" w14:textId="77777777" w:rsidR="008D7AEC" w:rsidRDefault="00000000">
            <w:r>
              <w:t>EWQ</w:t>
            </w:r>
          </w:p>
        </w:tc>
        <w:tc>
          <w:tcPr>
            <w:tcW w:w="2340" w:type="dxa"/>
          </w:tcPr>
          <w:p w14:paraId="62E17B10" w14:textId="77777777" w:rsidR="008D7AEC" w:rsidRDefault="00000000">
            <w:r>
              <w:t>iShares MSCI France</w:t>
            </w:r>
          </w:p>
        </w:tc>
        <w:tc>
          <w:tcPr>
            <w:tcW w:w="2340" w:type="dxa"/>
          </w:tcPr>
          <w:p w14:paraId="7F3AF5B1" w14:textId="77777777" w:rsidR="008D7AEC" w:rsidRDefault="00000000">
            <w:r>
              <w:t>Internacionales</w:t>
            </w:r>
          </w:p>
        </w:tc>
        <w:tc>
          <w:tcPr>
            <w:tcW w:w="2340" w:type="dxa"/>
          </w:tcPr>
          <w:p w14:paraId="13F08230" w14:textId="77777777" w:rsidR="008D7AEC" w:rsidRDefault="00000000">
            <w:r>
              <w:t>Sí</w:t>
            </w:r>
          </w:p>
        </w:tc>
      </w:tr>
      <w:tr w:rsidR="008D7AEC" w14:paraId="1BACC8E1" w14:textId="77777777">
        <w:tc>
          <w:tcPr>
            <w:tcW w:w="2340" w:type="dxa"/>
          </w:tcPr>
          <w:p w14:paraId="1A70CFED" w14:textId="77777777" w:rsidR="008D7AEC" w:rsidRDefault="00000000">
            <w:r>
              <w:t>INDA</w:t>
            </w:r>
          </w:p>
        </w:tc>
        <w:tc>
          <w:tcPr>
            <w:tcW w:w="2340" w:type="dxa"/>
          </w:tcPr>
          <w:p w14:paraId="74E56AB8" w14:textId="77777777" w:rsidR="008D7AEC" w:rsidRDefault="00000000">
            <w:r>
              <w:t>iShares MSCI India</w:t>
            </w:r>
          </w:p>
        </w:tc>
        <w:tc>
          <w:tcPr>
            <w:tcW w:w="2340" w:type="dxa"/>
          </w:tcPr>
          <w:p w14:paraId="203C1AD1" w14:textId="77777777" w:rsidR="008D7AEC" w:rsidRDefault="00000000">
            <w:r>
              <w:t>Internacionales</w:t>
            </w:r>
          </w:p>
        </w:tc>
        <w:tc>
          <w:tcPr>
            <w:tcW w:w="2340" w:type="dxa"/>
          </w:tcPr>
          <w:p w14:paraId="3CDD9513" w14:textId="77777777" w:rsidR="008D7AEC" w:rsidRDefault="00000000">
            <w:r>
              <w:t>Sí</w:t>
            </w:r>
          </w:p>
        </w:tc>
      </w:tr>
      <w:tr w:rsidR="008D7AEC" w14:paraId="0F139E9F" w14:textId="77777777">
        <w:tc>
          <w:tcPr>
            <w:tcW w:w="2340" w:type="dxa"/>
          </w:tcPr>
          <w:p w14:paraId="4EA32472" w14:textId="77777777" w:rsidR="008D7AEC" w:rsidRDefault="00000000">
            <w:r>
              <w:t>EWZ</w:t>
            </w:r>
          </w:p>
        </w:tc>
        <w:tc>
          <w:tcPr>
            <w:tcW w:w="2340" w:type="dxa"/>
          </w:tcPr>
          <w:p w14:paraId="63BA18E8" w14:textId="77777777" w:rsidR="008D7AEC" w:rsidRDefault="00000000">
            <w:r>
              <w:t>iShares MSCI Brazil</w:t>
            </w:r>
          </w:p>
        </w:tc>
        <w:tc>
          <w:tcPr>
            <w:tcW w:w="2340" w:type="dxa"/>
          </w:tcPr>
          <w:p w14:paraId="755A60E8" w14:textId="77777777" w:rsidR="008D7AEC" w:rsidRDefault="00000000">
            <w:r>
              <w:t>Internacionales</w:t>
            </w:r>
          </w:p>
        </w:tc>
        <w:tc>
          <w:tcPr>
            <w:tcW w:w="2340" w:type="dxa"/>
          </w:tcPr>
          <w:p w14:paraId="2744A250" w14:textId="77777777" w:rsidR="008D7AEC" w:rsidRDefault="00000000">
            <w:r>
              <w:t>Sí</w:t>
            </w:r>
          </w:p>
        </w:tc>
      </w:tr>
      <w:tr w:rsidR="008D7AEC" w14:paraId="19510395" w14:textId="77777777">
        <w:tc>
          <w:tcPr>
            <w:tcW w:w="2340" w:type="dxa"/>
          </w:tcPr>
          <w:p w14:paraId="7EB8FF24" w14:textId="77777777" w:rsidR="008D7AEC" w:rsidRDefault="00000000">
            <w:r>
              <w:t>FXI</w:t>
            </w:r>
          </w:p>
        </w:tc>
        <w:tc>
          <w:tcPr>
            <w:tcW w:w="2340" w:type="dxa"/>
          </w:tcPr>
          <w:p w14:paraId="1A210FED" w14:textId="77777777" w:rsidR="008D7AEC" w:rsidRDefault="00000000">
            <w:r>
              <w:t>iShares China Large-Cap</w:t>
            </w:r>
          </w:p>
        </w:tc>
        <w:tc>
          <w:tcPr>
            <w:tcW w:w="2340" w:type="dxa"/>
          </w:tcPr>
          <w:p w14:paraId="016CB6B7" w14:textId="77777777" w:rsidR="008D7AEC" w:rsidRDefault="00000000">
            <w:r>
              <w:t>Internacionales</w:t>
            </w:r>
          </w:p>
        </w:tc>
        <w:tc>
          <w:tcPr>
            <w:tcW w:w="2340" w:type="dxa"/>
          </w:tcPr>
          <w:p w14:paraId="42AA4620" w14:textId="77777777" w:rsidR="008D7AEC" w:rsidRDefault="00000000">
            <w:r>
              <w:t>Sí</w:t>
            </w:r>
          </w:p>
        </w:tc>
      </w:tr>
      <w:tr w:rsidR="008D7AEC" w14:paraId="4B09AD77" w14:textId="77777777">
        <w:tc>
          <w:tcPr>
            <w:tcW w:w="2340" w:type="dxa"/>
          </w:tcPr>
          <w:p w14:paraId="540334C8" w14:textId="77777777" w:rsidR="008D7AEC" w:rsidRDefault="00000000">
            <w:r>
              <w:t>MCHI</w:t>
            </w:r>
          </w:p>
        </w:tc>
        <w:tc>
          <w:tcPr>
            <w:tcW w:w="2340" w:type="dxa"/>
          </w:tcPr>
          <w:p w14:paraId="1A0CCBB4" w14:textId="77777777" w:rsidR="008D7AEC" w:rsidRDefault="00000000">
            <w:r>
              <w:t>iShares MSCI China</w:t>
            </w:r>
          </w:p>
        </w:tc>
        <w:tc>
          <w:tcPr>
            <w:tcW w:w="2340" w:type="dxa"/>
          </w:tcPr>
          <w:p w14:paraId="77EF7335" w14:textId="77777777" w:rsidR="008D7AEC" w:rsidRDefault="00000000">
            <w:r>
              <w:t>Internacionales</w:t>
            </w:r>
          </w:p>
        </w:tc>
        <w:tc>
          <w:tcPr>
            <w:tcW w:w="2340" w:type="dxa"/>
          </w:tcPr>
          <w:p w14:paraId="3823A8A6" w14:textId="77777777" w:rsidR="008D7AEC" w:rsidRDefault="00000000">
            <w:r>
              <w:t>Sí</w:t>
            </w:r>
          </w:p>
        </w:tc>
      </w:tr>
      <w:tr w:rsidR="008D7AEC" w14:paraId="4BDDBB15" w14:textId="77777777">
        <w:tc>
          <w:tcPr>
            <w:tcW w:w="2340" w:type="dxa"/>
          </w:tcPr>
          <w:p w14:paraId="4D507ACF" w14:textId="77777777" w:rsidR="008D7AEC" w:rsidRDefault="00000000">
            <w:r>
              <w:t>EWT</w:t>
            </w:r>
          </w:p>
        </w:tc>
        <w:tc>
          <w:tcPr>
            <w:tcW w:w="2340" w:type="dxa"/>
          </w:tcPr>
          <w:p w14:paraId="2384231B" w14:textId="77777777" w:rsidR="008D7AEC" w:rsidRDefault="00000000">
            <w:r>
              <w:t>iShares MSCI Taiwan</w:t>
            </w:r>
          </w:p>
        </w:tc>
        <w:tc>
          <w:tcPr>
            <w:tcW w:w="2340" w:type="dxa"/>
          </w:tcPr>
          <w:p w14:paraId="1F43765D" w14:textId="77777777" w:rsidR="008D7AEC" w:rsidRDefault="00000000">
            <w:r>
              <w:t>Internacionales</w:t>
            </w:r>
          </w:p>
        </w:tc>
        <w:tc>
          <w:tcPr>
            <w:tcW w:w="2340" w:type="dxa"/>
          </w:tcPr>
          <w:p w14:paraId="7A20800F" w14:textId="77777777" w:rsidR="008D7AEC" w:rsidRDefault="00000000">
            <w:r>
              <w:t>Sí</w:t>
            </w:r>
          </w:p>
        </w:tc>
      </w:tr>
      <w:tr w:rsidR="008D7AEC" w14:paraId="69CAC40E" w14:textId="77777777">
        <w:tc>
          <w:tcPr>
            <w:tcW w:w="2340" w:type="dxa"/>
          </w:tcPr>
          <w:p w14:paraId="145EE362" w14:textId="77777777" w:rsidR="008D7AEC" w:rsidRDefault="00000000">
            <w:r>
              <w:t>BND</w:t>
            </w:r>
          </w:p>
        </w:tc>
        <w:tc>
          <w:tcPr>
            <w:tcW w:w="2340" w:type="dxa"/>
          </w:tcPr>
          <w:p w14:paraId="1745D669" w14:textId="77777777" w:rsidR="008D7AEC" w:rsidRDefault="00000000">
            <w:r>
              <w:t>Vanguard Total Bond Market</w:t>
            </w:r>
          </w:p>
        </w:tc>
        <w:tc>
          <w:tcPr>
            <w:tcW w:w="2340" w:type="dxa"/>
          </w:tcPr>
          <w:p w14:paraId="6D3F2946" w14:textId="77777777" w:rsidR="008D7AEC" w:rsidRDefault="00000000">
            <w:r>
              <w:t>Renta fija</w:t>
            </w:r>
          </w:p>
        </w:tc>
        <w:tc>
          <w:tcPr>
            <w:tcW w:w="2340" w:type="dxa"/>
          </w:tcPr>
          <w:p w14:paraId="2B1F45F0" w14:textId="77777777" w:rsidR="008D7AEC" w:rsidRDefault="00000000">
            <w:r>
              <w:t>Sí</w:t>
            </w:r>
          </w:p>
        </w:tc>
      </w:tr>
      <w:tr w:rsidR="008D7AEC" w14:paraId="1425CEE9" w14:textId="77777777">
        <w:tc>
          <w:tcPr>
            <w:tcW w:w="2340" w:type="dxa"/>
          </w:tcPr>
          <w:p w14:paraId="22D02BF2" w14:textId="77777777" w:rsidR="008D7AEC" w:rsidRDefault="00000000">
            <w:r>
              <w:t>AGG</w:t>
            </w:r>
          </w:p>
        </w:tc>
        <w:tc>
          <w:tcPr>
            <w:tcW w:w="2340" w:type="dxa"/>
          </w:tcPr>
          <w:p w14:paraId="2732BB1B" w14:textId="77777777" w:rsidR="008D7AEC" w:rsidRDefault="00000000">
            <w:r>
              <w:t>iShares Core US Aggregate Bond</w:t>
            </w:r>
          </w:p>
        </w:tc>
        <w:tc>
          <w:tcPr>
            <w:tcW w:w="2340" w:type="dxa"/>
          </w:tcPr>
          <w:p w14:paraId="6040CCA1" w14:textId="77777777" w:rsidR="008D7AEC" w:rsidRDefault="00000000">
            <w:r>
              <w:t>Renta fija</w:t>
            </w:r>
          </w:p>
        </w:tc>
        <w:tc>
          <w:tcPr>
            <w:tcW w:w="2340" w:type="dxa"/>
          </w:tcPr>
          <w:p w14:paraId="30F723D1" w14:textId="77777777" w:rsidR="008D7AEC" w:rsidRDefault="00000000">
            <w:r>
              <w:t>Sí</w:t>
            </w:r>
          </w:p>
        </w:tc>
      </w:tr>
      <w:tr w:rsidR="008D7AEC" w14:paraId="4A56721F" w14:textId="77777777">
        <w:tc>
          <w:tcPr>
            <w:tcW w:w="2340" w:type="dxa"/>
          </w:tcPr>
          <w:p w14:paraId="097F8D26" w14:textId="77777777" w:rsidR="008D7AEC" w:rsidRDefault="00000000">
            <w:r>
              <w:t>IEF</w:t>
            </w:r>
          </w:p>
        </w:tc>
        <w:tc>
          <w:tcPr>
            <w:tcW w:w="2340" w:type="dxa"/>
          </w:tcPr>
          <w:p w14:paraId="7D56AFBC" w14:textId="77777777" w:rsidR="008D7AEC" w:rsidRDefault="00000000">
            <w:r>
              <w:t>iShares 7-10 Year Treasury Bond</w:t>
            </w:r>
          </w:p>
        </w:tc>
        <w:tc>
          <w:tcPr>
            <w:tcW w:w="2340" w:type="dxa"/>
          </w:tcPr>
          <w:p w14:paraId="01A0C3B3" w14:textId="77777777" w:rsidR="008D7AEC" w:rsidRDefault="00000000">
            <w:r>
              <w:t>Renta fija</w:t>
            </w:r>
          </w:p>
        </w:tc>
        <w:tc>
          <w:tcPr>
            <w:tcW w:w="2340" w:type="dxa"/>
          </w:tcPr>
          <w:p w14:paraId="0F805C02" w14:textId="77777777" w:rsidR="008D7AEC" w:rsidRDefault="00000000">
            <w:r>
              <w:t>Sí</w:t>
            </w:r>
          </w:p>
        </w:tc>
      </w:tr>
      <w:tr w:rsidR="008D7AEC" w14:paraId="78D241FE" w14:textId="77777777">
        <w:tc>
          <w:tcPr>
            <w:tcW w:w="2340" w:type="dxa"/>
          </w:tcPr>
          <w:p w14:paraId="7164F9D8" w14:textId="77777777" w:rsidR="008D7AEC" w:rsidRDefault="00000000">
            <w:r>
              <w:lastRenderedPageBreak/>
              <w:t>TLT</w:t>
            </w:r>
          </w:p>
        </w:tc>
        <w:tc>
          <w:tcPr>
            <w:tcW w:w="2340" w:type="dxa"/>
          </w:tcPr>
          <w:p w14:paraId="49D1CF40" w14:textId="77777777" w:rsidR="008D7AEC" w:rsidRDefault="00000000">
            <w:r>
              <w:t>iShares 20+ Year Treasury Bond</w:t>
            </w:r>
          </w:p>
        </w:tc>
        <w:tc>
          <w:tcPr>
            <w:tcW w:w="2340" w:type="dxa"/>
          </w:tcPr>
          <w:p w14:paraId="1108A6CA" w14:textId="77777777" w:rsidR="008D7AEC" w:rsidRDefault="00000000">
            <w:r>
              <w:t>Renta fija</w:t>
            </w:r>
          </w:p>
        </w:tc>
        <w:tc>
          <w:tcPr>
            <w:tcW w:w="2340" w:type="dxa"/>
          </w:tcPr>
          <w:p w14:paraId="13F35360" w14:textId="77777777" w:rsidR="008D7AEC" w:rsidRDefault="00000000">
            <w:r>
              <w:t>Sí</w:t>
            </w:r>
          </w:p>
        </w:tc>
      </w:tr>
      <w:tr w:rsidR="008D7AEC" w14:paraId="32FD0D87" w14:textId="77777777">
        <w:tc>
          <w:tcPr>
            <w:tcW w:w="2340" w:type="dxa"/>
          </w:tcPr>
          <w:p w14:paraId="353AAF5A" w14:textId="77777777" w:rsidR="008D7AEC" w:rsidRDefault="00000000">
            <w:r>
              <w:t>TIP</w:t>
            </w:r>
          </w:p>
        </w:tc>
        <w:tc>
          <w:tcPr>
            <w:tcW w:w="2340" w:type="dxa"/>
          </w:tcPr>
          <w:p w14:paraId="2765CFC3" w14:textId="77777777" w:rsidR="008D7AEC" w:rsidRDefault="00000000">
            <w:r>
              <w:t>iShares TIPS Bond</w:t>
            </w:r>
          </w:p>
        </w:tc>
        <w:tc>
          <w:tcPr>
            <w:tcW w:w="2340" w:type="dxa"/>
          </w:tcPr>
          <w:p w14:paraId="07E02AEF" w14:textId="77777777" w:rsidR="008D7AEC" w:rsidRDefault="00000000">
            <w:r>
              <w:t>Renta fija</w:t>
            </w:r>
          </w:p>
        </w:tc>
        <w:tc>
          <w:tcPr>
            <w:tcW w:w="2340" w:type="dxa"/>
          </w:tcPr>
          <w:p w14:paraId="3DDBC40D" w14:textId="77777777" w:rsidR="008D7AEC" w:rsidRDefault="00000000">
            <w:r>
              <w:t>Sí</w:t>
            </w:r>
          </w:p>
        </w:tc>
      </w:tr>
      <w:tr w:rsidR="008D7AEC" w14:paraId="3CFA7122" w14:textId="77777777">
        <w:tc>
          <w:tcPr>
            <w:tcW w:w="2340" w:type="dxa"/>
          </w:tcPr>
          <w:p w14:paraId="30FCAF9D" w14:textId="77777777" w:rsidR="008D7AEC" w:rsidRDefault="00000000">
            <w:r>
              <w:t>LQD</w:t>
            </w:r>
          </w:p>
        </w:tc>
        <w:tc>
          <w:tcPr>
            <w:tcW w:w="2340" w:type="dxa"/>
          </w:tcPr>
          <w:p w14:paraId="68E9DD05" w14:textId="77777777" w:rsidR="008D7AEC" w:rsidRDefault="00000000">
            <w:r>
              <w:t>iShares iBoxx Investment Grade Corp.</w:t>
            </w:r>
          </w:p>
        </w:tc>
        <w:tc>
          <w:tcPr>
            <w:tcW w:w="2340" w:type="dxa"/>
          </w:tcPr>
          <w:p w14:paraId="6ED0F17D" w14:textId="77777777" w:rsidR="008D7AEC" w:rsidRDefault="00000000">
            <w:r>
              <w:t>Renta fija</w:t>
            </w:r>
          </w:p>
        </w:tc>
        <w:tc>
          <w:tcPr>
            <w:tcW w:w="2340" w:type="dxa"/>
          </w:tcPr>
          <w:p w14:paraId="60CD3F18" w14:textId="77777777" w:rsidR="008D7AEC" w:rsidRDefault="00000000">
            <w:r>
              <w:t>Sí</w:t>
            </w:r>
          </w:p>
        </w:tc>
      </w:tr>
      <w:tr w:rsidR="008D7AEC" w14:paraId="1F6AC5DB" w14:textId="77777777">
        <w:tc>
          <w:tcPr>
            <w:tcW w:w="2340" w:type="dxa"/>
          </w:tcPr>
          <w:p w14:paraId="6ED2F107" w14:textId="77777777" w:rsidR="008D7AEC" w:rsidRDefault="00000000">
            <w:r>
              <w:t>HYG</w:t>
            </w:r>
          </w:p>
        </w:tc>
        <w:tc>
          <w:tcPr>
            <w:tcW w:w="2340" w:type="dxa"/>
          </w:tcPr>
          <w:p w14:paraId="2D7584EB" w14:textId="77777777" w:rsidR="008D7AEC" w:rsidRDefault="00000000">
            <w:r>
              <w:t>iShares iBoxx High Yield Corp.</w:t>
            </w:r>
          </w:p>
        </w:tc>
        <w:tc>
          <w:tcPr>
            <w:tcW w:w="2340" w:type="dxa"/>
          </w:tcPr>
          <w:p w14:paraId="1078EA17" w14:textId="77777777" w:rsidR="008D7AEC" w:rsidRDefault="00000000">
            <w:r>
              <w:t>Renta fija</w:t>
            </w:r>
          </w:p>
        </w:tc>
        <w:tc>
          <w:tcPr>
            <w:tcW w:w="2340" w:type="dxa"/>
          </w:tcPr>
          <w:p w14:paraId="09B9291C" w14:textId="77777777" w:rsidR="008D7AEC" w:rsidRDefault="00000000">
            <w:r>
              <w:t>Sí</w:t>
            </w:r>
          </w:p>
        </w:tc>
      </w:tr>
      <w:tr w:rsidR="008D7AEC" w14:paraId="294EBEAC" w14:textId="77777777">
        <w:tc>
          <w:tcPr>
            <w:tcW w:w="2340" w:type="dxa"/>
          </w:tcPr>
          <w:p w14:paraId="5E351C40" w14:textId="77777777" w:rsidR="008D7AEC" w:rsidRDefault="00000000">
            <w:r>
              <w:t>JNK</w:t>
            </w:r>
          </w:p>
        </w:tc>
        <w:tc>
          <w:tcPr>
            <w:tcW w:w="2340" w:type="dxa"/>
          </w:tcPr>
          <w:p w14:paraId="3689BE35" w14:textId="77777777" w:rsidR="008D7AEC" w:rsidRDefault="00000000">
            <w:r>
              <w:t>SPDR Bloomberg High Yield Bond</w:t>
            </w:r>
          </w:p>
        </w:tc>
        <w:tc>
          <w:tcPr>
            <w:tcW w:w="2340" w:type="dxa"/>
          </w:tcPr>
          <w:p w14:paraId="5D52D3DD" w14:textId="77777777" w:rsidR="008D7AEC" w:rsidRDefault="00000000">
            <w:r>
              <w:t>Renta fija</w:t>
            </w:r>
          </w:p>
        </w:tc>
        <w:tc>
          <w:tcPr>
            <w:tcW w:w="2340" w:type="dxa"/>
          </w:tcPr>
          <w:p w14:paraId="4D96B29B" w14:textId="77777777" w:rsidR="008D7AEC" w:rsidRDefault="00000000">
            <w:r>
              <w:t>Sí</w:t>
            </w:r>
          </w:p>
        </w:tc>
      </w:tr>
      <w:tr w:rsidR="008D7AEC" w14:paraId="4D85BA87" w14:textId="77777777">
        <w:tc>
          <w:tcPr>
            <w:tcW w:w="2340" w:type="dxa"/>
          </w:tcPr>
          <w:p w14:paraId="4CF5A892" w14:textId="77777777" w:rsidR="008D7AEC" w:rsidRDefault="00000000">
            <w:r>
              <w:t>SLV</w:t>
            </w:r>
          </w:p>
        </w:tc>
        <w:tc>
          <w:tcPr>
            <w:tcW w:w="2340" w:type="dxa"/>
          </w:tcPr>
          <w:p w14:paraId="0750CBF3" w14:textId="77777777" w:rsidR="008D7AEC" w:rsidRDefault="00000000">
            <w:r>
              <w:t>iShares Silver Trust</w:t>
            </w:r>
          </w:p>
        </w:tc>
        <w:tc>
          <w:tcPr>
            <w:tcW w:w="2340" w:type="dxa"/>
          </w:tcPr>
          <w:p w14:paraId="41ACD3C3" w14:textId="77777777" w:rsidR="008D7AEC" w:rsidRDefault="00000000">
            <w:r>
              <w:t>Materias primas</w:t>
            </w:r>
          </w:p>
        </w:tc>
        <w:tc>
          <w:tcPr>
            <w:tcW w:w="2340" w:type="dxa"/>
          </w:tcPr>
          <w:p w14:paraId="1E44B94E" w14:textId="77777777" w:rsidR="008D7AEC" w:rsidRDefault="00000000">
            <w:r>
              <w:t>Sí</w:t>
            </w:r>
          </w:p>
        </w:tc>
      </w:tr>
      <w:tr w:rsidR="008D7AEC" w14:paraId="2F64C978" w14:textId="77777777">
        <w:tc>
          <w:tcPr>
            <w:tcW w:w="2340" w:type="dxa"/>
          </w:tcPr>
          <w:p w14:paraId="1E51BB0A" w14:textId="77777777" w:rsidR="008D7AEC" w:rsidRDefault="00000000">
            <w:r>
              <w:t>USO</w:t>
            </w:r>
          </w:p>
        </w:tc>
        <w:tc>
          <w:tcPr>
            <w:tcW w:w="2340" w:type="dxa"/>
          </w:tcPr>
          <w:p w14:paraId="40813AFC" w14:textId="77777777" w:rsidR="008D7AEC" w:rsidRDefault="00000000">
            <w:r>
              <w:t>United States Oil Fund</w:t>
            </w:r>
          </w:p>
        </w:tc>
        <w:tc>
          <w:tcPr>
            <w:tcW w:w="2340" w:type="dxa"/>
          </w:tcPr>
          <w:p w14:paraId="38C0B2E9" w14:textId="77777777" w:rsidR="008D7AEC" w:rsidRDefault="00000000">
            <w:r>
              <w:t>Materias primas</w:t>
            </w:r>
          </w:p>
        </w:tc>
        <w:tc>
          <w:tcPr>
            <w:tcW w:w="2340" w:type="dxa"/>
          </w:tcPr>
          <w:p w14:paraId="539C548F" w14:textId="77777777" w:rsidR="008D7AEC" w:rsidRDefault="00000000">
            <w:r>
              <w:t>Sí</w:t>
            </w:r>
          </w:p>
        </w:tc>
      </w:tr>
      <w:tr w:rsidR="008D7AEC" w14:paraId="4C3EDCEA" w14:textId="77777777">
        <w:tc>
          <w:tcPr>
            <w:tcW w:w="2340" w:type="dxa"/>
          </w:tcPr>
          <w:p w14:paraId="4891BA10" w14:textId="77777777" w:rsidR="008D7AEC" w:rsidRDefault="00000000">
            <w:r>
              <w:t>DBC</w:t>
            </w:r>
          </w:p>
        </w:tc>
        <w:tc>
          <w:tcPr>
            <w:tcW w:w="2340" w:type="dxa"/>
          </w:tcPr>
          <w:p w14:paraId="199BDDDE" w14:textId="77777777" w:rsidR="008D7AEC" w:rsidRDefault="00000000">
            <w:r>
              <w:t>Invesco DB Commodity Index</w:t>
            </w:r>
          </w:p>
        </w:tc>
        <w:tc>
          <w:tcPr>
            <w:tcW w:w="2340" w:type="dxa"/>
          </w:tcPr>
          <w:p w14:paraId="0B9B5043" w14:textId="77777777" w:rsidR="008D7AEC" w:rsidRDefault="00000000">
            <w:r>
              <w:t>Materias primas</w:t>
            </w:r>
          </w:p>
        </w:tc>
        <w:tc>
          <w:tcPr>
            <w:tcW w:w="2340" w:type="dxa"/>
          </w:tcPr>
          <w:p w14:paraId="6062E02C" w14:textId="77777777" w:rsidR="008D7AEC" w:rsidRDefault="00000000">
            <w:r>
              <w:t>Sí</w:t>
            </w:r>
          </w:p>
        </w:tc>
      </w:tr>
      <w:tr w:rsidR="008D7AEC" w14:paraId="2123E5E3" w14:textId="77777777">
        <w:tc>
          <w:tcPr>
            <w:tcW w:w="2340" w:type="dxa"/>
          </w:tcPr>
          <w:p w14:paraId="22ADCA30" w14:textId="77777777" w:rsidR="008D7AEC" w:rsidRDefault="00000000">
            <w:r>
              <w:t>VNQ</w:t>
            </w:r>
          </w:p>
        </w:tc>
        <w:tc>
          <w:tcPr>
            <w:tcW w:w="2340" w:type="dxa"/>
          </w:tcPr>
          <w:p w14:paraId="00324A5D" w14:textId="77777777" w:rsidR="008D7AEC" w:rsidRDefault="00000000">
            <w:r>
              <w:t>Vanguard Real Estate</w:t>
            </w:r>
          </w:p>
        </w:tc>
        <w:tc>
          <w:tcPr>
            <w:tcW w:w="2340" w:type="dxa"/>
          </w:tcPr>
          <w:p w14:paraId="245B8ABC" w14:textId="77777777" w:rsidR="008D7AEC" w:rsidRDefault="00000000">
            <w:r>
              <w:t>Materias primas</w:t>
            </w:r>
          </w:p>
        </w:tc>
        <w:tc>
          <w:tcPr>
            <w:tcW w:w="2340" w:type="dxa"/>
          </w:tcPr>
          <w:p w14:paraId="66E60392" w14:textId="77777777" w:rsidR="008D7AEC" w:rsidRDefault="00000000">
            <w:r>
              <w:t>Sí</w:t>
            </w:r>
          </w:p>
        </w:tc>
      </w:tr>
      <w:tr w:rsidR="008D7AEC" w14:paraId="243C467A" w14:textId="77777777">
        <w:tc>
          <w:tcPr>
            <w:tcW w:w="2340" w:type="dxa"/>
          </w:tcPr>
          <w:p w14:paraId="7936F3E0" w14:textId="77777777" w:rsidR="008D7AEC" w:rsidRDefault="00000000">
            <w:r>
              <w:t>BIL</w:t>
            </w:r>
          </w:p>
        </w:tc>
        <w:tc>
          <w:tcPr>
            <w:tcW w:w="2340" w:type="dxa"/>
          </w:tcPr>
          <w:p w14:paraId="4C36E457" w14:textId="77777777" w:rsidR="008D7AEC" w:rsidRDefault="00000000">
            <w:r>
              <w:t>SPDR Bloomberg 1-3 Month T-Bill</w:t>
            </w:r>
          </w:p>
        </w:tc>
        <w:tc>
          <w:tcPr>
            <w:tcW w:w="2340" w:type="dxa"/>
          </w:tcPr>
          <w:p w14:paraId="70E2C321" w14:textId="77777777" w:rsidR="008D7AEC" w:rsidRDefault="00000000">
            <w:r>
              <w:t>Renta fija</w:t>
            </w:r>
          </w:p>
        </w:tc>
        <w:tc>
          <w:tcPr>
            <w:tcW w:w="2340" w:type="dxa"/>
          </w:tcPr>
          <w:p w14:paraId="4664CDE9" w14:textId="77777777" w:rsidR="008D7AEC" w:rsidRDefault="00000000">
            <w:r>
              <w:t>No — test estac.</w:t>
            </w:r>
          </w:p>
        </w:tc>
      </w:tr>
      <w:tr w:rsidR="008D7AEC" w14:paraId="5C7F4D93" w14:textId="77777777">
        <w:tc>
          <w:tcPr>
            <w:tcW w:w="2340" w:type="dxa"/>
          </w:tcPr>
          <w:p w14:paraId="37688033" w14:textId="77777777" w:rsidR="008D7AEC" w:rsidRDefault="00000000">
            <w:r>
              <w:t>EWY</w:t>
            </w:r>
          </w:p>
        </w:tc>
        <w:tc>
          <w:tcPr>
            <w:tcW w:w="2340" w:type="dxa"/>
          </w:tcPr>
          <w:p w14:paraId="3F0B021D" w14:textId="77777777" w:rsidR="008D7AEC" w:rsidRDefault="00000000">
            <w:r>
              <w:t>iShares MSCI South Korea</w:t>
            </w:r>
          </w:p>
        </w:tc>
        <w:tc>
          <w:tcPr>
            <w:tcW w:w="2340" w:type="dxa"/>
          </w:tcPr>
          <w:p w14:paraId="245CE75B" w14:textId="77777777" w:rsidR="008D7AEC" w:rsidRDefault="00000000">
            <w:r>
              <w:t>Internacionales</w:t>
            </w:r>
          </w:p>
        </w:tc>
        <w:tc>
          <w:tcPr>
            <w:tcW w:w="2340" w:type="dxa"/>
          </w:tcPr>
          <w:p w14:paraId="1B245937" w14:textId="77777777" w:rsidR="008D7AEC" w:rsidRDefault="00000000">
            <w:r>
              <w:t>No — test estac.</w:t>
            </w:r>
          </w:p>
        </w:tc>
      </w:tr>
      <w:tr w:rsidR="008D7AEC" w14:paraId="6D66EF6E" w14:textId="77777777">
        <w:tc>
          <w:tcPr>
            <w:tcW w:w="2340" w:type="dxa"/>
          </w:tcPr>
          <w:p w14:paraId="1ACFDBE4" w14:textId="77777777" w:rsidR="008D7AEC" w:rsidRDefault="00000000">
            <w:r>
              <w:t>GLD</w:t>
            </w:r>
          </w:p>
        </w:tc>
        <w:tc>
          <w:tcPr>
            <w:tcW w:w="2340" w:type="dxa"/>
          </w:tcPr>
          <w:p w14:paraId="33338B5A" w14:textId="77777777" w:rsidR="008D7AEC" w:rsidRDefault="00000000">
            <w:r>
              <w:t>SPDR Gold Shares</w:t>
            </w:r>
          </w:p>
        </w:tc>
        <w:tc>
          <w:tcPr>
            <w:tcW w:w="2340" w:type="dxa"/>
          </w:tcPr>
          <w:p w14:paraId="5B75C726" w14:textId="77777777" w:rsidR="008D7AEC" w:rsidRDefault="00000000">
            <w:r>
              <w:t>Materias primas</w:t>
            </w:r>
          </w:p>
        </w:tc>
        <w:tc>
          <w:tcPr>
            <w:tcW w:w="2340" w:type="dxa"/>
          </w:tcPr>
          <w:p w14:paraId="5065D345" w14:textId="77777777" w:rsidR="008D7AEC" w:rsidRDefault="00000000">
            <w:r>
              <w:t>No — test estac.</w:t>
            </w:r>
          </w:p>
        </w:tc>
      </w:tr>
      <w:tr w:rsidR="008D7AEC" w14:paraId="213E4769" w14:textId="77777777">
        <w:tc>
          <w:tcPr>
            <w:tcW w:w="2340" w:type="dxa"/>
          </w:tcPr>
          <w:p w14:paraId="20FC4859" w14:textId="77777777" w:rsidR="008D7AEC" w:rsidRDefault="00000000">
            <w:r>
              <w:lastRenderedPageBreak/>
              <w:t>IAU</w:t>
            </w:r>
          </w:p>
        </w:tc>
        <w:tc>
          <w:tcPr>
            <w:tcW w:w="2340" w:type="dxa"/>
          </w:tcPr>
          <w:p w14:paraId="09703BB4" w14:textId="77777777" w:rsidR="008D7AEC" w:rsidRDefault="00000000">
            <w:r>
              <w:t>iShares Gold Trust</w:t>
            </w:r>
          </w:p>
        </w:tc>
        <w:tc>
          <w:tcPr>
            <w:tcW w:w="2340" w:type="dxa"/>
          </w:tcPr>
          <w:p w14:paraId="31AF12CD" w14:textId="77777777" w:rsidR="008D7AEC" w:rsidRDefault="00000000">
            <w:r>
              <w:t>Materias primas</w:t>
            </w:r>
          </w:p>
        </w:tc>
        <w:tc>
          <w:tcPr>
            <w:tcW w:w="2340" w:type="dxa"/>
          </w:tcPr>
          <w:p w14:paraId="247114F9" w14:textId="77777777" w:rsidR="008D7AEC" w:rsidRDefault="00000000">
            <w:r>
              <w:t>No — test estac.</w:t>
            </w:r>
          </w:p>
        </w:tc>
      </w:tr>
      <w:tr w:rsidR="008D7AEC" w14:paraId="560B10B4" w14:textId="77777777">
        <w:tc>
          <w:tcPr>
            <w:tcW w:w="2340" w:type="dxa"/>
          </w:tcPr>
          <w:p w14:paraId="6D464E66" w14:textId="77777777" w:rsidR="008D7AEC" w:rsidRDefault="00000000">
            <w:r>
              <w:t>SHY</w:t>
            </w:r>
          </w:p>
        </w:tc>
        <w:tc>
          <w:tcPr>
            <w:tcW w:w="2340" w:type="dxa"/>
          </w:tcPr>
          <w:p w14:paraId="3D3A954B" w14:textId="77777777" w:rsidR="008D7AEC" w:rsidRDefault="00000000">
            <w:r>
              <w:t>iShares 1-3 Year Treasury Bond</w:t>
            </w:r>
          </w:p>
        </w:tc>
        <w:tc>
          <w:tcPr>
            <w:tcW w:w="2340" w:type="dxa"/>
          </w:tcPr>
          <w:p w14:paraId="0B7E2A01" w14:textId="77777777" w:rsidR="008D7AEC" w:rsidRDefault="00000000">
            <w:r>
              <w:t>Renta fija</w:t>
            </w:r>
          </w:p>
        </w:tc>
        <w:tc>
          <w:tcPr>
            <w:tcW w:w="2340" w:type="dxa"/>
          </w:tcPr>
          <w:p w14:paraId="021E0DFB" w14:textId="77777777" w:rsidR="008D7AEC" w:rsidRDefault="00000000">
            <w:r>
              <w:t>No — test estac.</w:t>
            </w:r>
          </w:p>
        </w:tc>
      </w:tr>
    </w:tbl>
    <w:p w14:paraId="018C9DEB" w14:textId="77777777" w:rsidR="008D7AEC" w:rsidRDefault="00000000">
      <w:pPr>
        <w:pStyle w:val="Textoindependiente"/>
        <w:jc w:val="center"/>
      </w:pPr>
      <w:r>
        <w:t>Tabla A-1. Listado completo de 63 ETFs analizados. Fuente: elaboración propia.</w:t>
      </w:r>
    </w:p>
    <w:p w14:paraId="0A92E04B" w14:textId="77777777" w:rsidR="008D7AEC" w:rsidRDefault="00000000">
      <w:pPr>
        <w:pStyle w:val="Ttulo6"/>
      </w:pPr>
      <w:r>
        <w:t>Apéndice B — Resultados completos ARIMA semanal</w:t>
      </w:r>
    </w:p>
    <w:p w14:paraId="3FB35F42" w14:textId="77777777" w:rsidR="008D7AEC" w:rsidRDefault="00000000">
      <w:pPr>
        <w:pStyle w:val="Textoindependiente"/>
      </w:pPr>
      <w:r>
        <w:t>La Tabla B-1 recoge los resultados completos del modelo ARIMA semanal para los 58 ETFs en el periodo de test (2024-W30 a 2026-W06, 81 semanas).</w:t>
      </w:r>
    </w:p>
    <w:p w14:paraId="5F5A4D4A" w14:textId="77777777" w:rsidR="008D7AEC" w:rsidRDefault="00000000">
      <w:pPr>
        <w:pStyle w:val="Textoindependiente"/>
      </w:pPr>
      <w:r>
        <w:rPr>
          <w:b/>
          <w:color w:val="C00000"/>
        </w:rPr>
        <w:t>[TODO: insertar Tabla B-1 con resultados ARIMA semanal completos por ETF]</w:t>
      </w:r>
    </w:p>
    <w:p w14:paraId="2653FE07" w14:textId="77777777" w:rsidR="008D7AEC" w:rsidRDefault="00000000">
      <w:pPr>
        <w:pStyle w:val="Ttulo6"/>
      </w:pPr>
      <w:r>
        <w:t>Apéndice C — Estructura de los archivos Excel de resultados</w:t>
      </w:r>
    </w:p>
    <w:p w14:paraId="7F452CD4" w14:textId="77777777" w:rsidR="008D7AEC" w:rsidRDefault="00000000">
      <w:pPr>
        <w:pStyle w:val="Textoindependiente"/>
      </w:pPr>
      <w:r>
        <w:t>El archivo resultados_markowitz.xlsx contiene tres hojas:</w:t>
      </w:r>
    </w:p>
    <w:p w14:paraId="1BD5BC80" w14:textId="77777777" w:rsidR="008D7AEC" w:rsidRDefault="00000000">
      <w:pPr>
        <w:pStyle w:val="Textoindependiente"/>
      </w:pPr>
      <w:r>
        <w:t>Hoja resumen_backtest: una fila por estrategia. Columnas: ID (BT_001, BT_002, BT_003), Estrategia, Frecuencia, FechaTrainIni, FechaTrainFin, FechaTestIni, FechaTestFin, CapitalInicial, CapitalFinal, RentabilidadAcumulada, Volatilidad, Sharpe, MaxDrawdown, SemanasPositivas, Estado.</w:t>
      </w:r>
    </w:p>
    <w:p w14:paraId="71AD3B29" w14:textId="77777777" w:rsidR="008D7AEC" w:rsidRDefault="00000000">
      <w:pPr>
        <w:pStyle w:val="Textoindependiente"/>
      </w:pPr>
      <w:r>
        <w:t>Hoja detalle_semanal: una fila por semana y estrategia (237 filas). Columnas base: ID_Backtest, FechaDecision, FechaInversion, Estrategia, CapitalInicio, RetornoCarteraReal, CapitalFinal, RentabilidadAcumulada, Drawdown, SumaPesos, Estado. Columnas por ETF (x58): ETF_peso (peso asignado), ETF_rentexp (rentabilidad esperada usada como input), ETF_real (rentabilidad real observada esa semana).</w:t>
      </w:r>
    </w:p>
    <w:p w14:paraId="1DC38ABC" w14:textId="77777777" w:rsidR="008D7AEC" w:rsidRDefault="00000000">
      <w:pPr>
        <w:pStyle w:val="Textoindependiente"/>
      </w:pPr>
      <w:r>
        <w:t>Hoja configuracion: parámetros del experimento (capital inicial, periodo de train y test, lambda, restricciones de peso, método de estimación de covarianzas).</w:t>
      </w:r>
    </w:p>
    <w:sectPr w:rsidR="008D7AEC" w:rsidSect="00115EB2">
      <w:type w:val="odd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926D" w14:textId="77777777" w:rsidR="00AA1DFF" w:rsidRDefault="00AA1DFF">
      <w:r>
        <w:separator/>
      </w:r>
    </w:p>
  </w:endnote>
  <w:endnote w:type="continuationSeparator" w:id="0">
    <w:p w14:paraId="51459CF4" w14:textId="77777777" w:rsidR="00AA1DFF" w:rsidRDefault="00AA1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4132" w14:textId="77777777" w:rsidR="00DA19F1" w:rsidRDefault="00DA19F1" w:rsidP="00B227BB">
    <w:pPr>
      <w:pStyle w:val="Piedepgina"/>
      <w:framePr w:wrap="none"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2DD0EEDC" w14:textId="77777777" w:rsidR="00DA19F1" w:rsidRDefault="00DA19F1" w:rsidP="00115EB2">
    <w:pPr>
      <w:pStyle w:val="Piedepgina"/>
      <w:framePr w:wrap="none" w:vAnchor="text" w:hAnchor="margin" w:xAlign="center" w:y="1"/>
      <w:ind w:right="360"/>
      <w:rPr>
        <w:rStyle w:val="Nmerodepgina"/>
      </w:rPr>
    </w:pPr>
    <w:r>
      <w:rPr>
        <w:rStyle w:val="Nmerodepgina"/>
      </w:rPr>
      <w:fldChar w:fldCharType="begin"/>
    </w:r>
    <w:r>
      <w:rPr>
        <w:rStyle w:val="Nmerodepgina"/>
      </w:rPr>
      <w:instrText xml:space="preserve">PAGE  </w:instrText>
    </w:r>
    <w:r>
      <w:rPr>
        <w:rStyle w:val="Nmerodepgina"/>
      </w:rPr>
      <w:fldChar w:fldCharType="end"/>
    </w:r>
  </w:p>
  <w:p w14:paraId="436843A4"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1F7BCA1" w14:textId="77777777" w:rsidR="00DA19F1" w:rsidRDefault="00DA19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BF42" w14:textId="77777777" w:rsidR="00DA19F1" w:rsidRDefault="00DA19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38AE" w14:textId="77777777" w:rsidR="00DA19F1" w:rsidRDefault="00DA19F1" w:rsidP="00B227BB">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E4710">
      <w:rPr>
        <w:rStyle w:val="Nmerodepgina"/>
        <w:noProof/>
      </w:rPr>
      <w:t>III</w:t>
    </w:r>
    <w:r>
      <w:rPr>
        <w:rStyle w:val="Nmerodepgina"/>
      </w:rPr>
      <w:fldChar w:fldCharType="end"/>
    </w:r>
  </w:p>
  <w:p w14:paraId="362A31CB" w14:textId="77777777" w:rsidR="00DA19F1" w:rsidRDefault="00DA19F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21E4" w14:textId="77777777" w:rsidR="00AA1DFF" w:rsidRDefault="00AA1DFF">
      <w:r>
        <w:separator/>
      </w:r>
    </w:p>
  </w:footnote>
  <w:footnote w:type="continuationSeparator" w:id="0">
    <w:p w14:paraId="1605B51E" w14:textId="77777777" w:rsidR="00AA1DFF" w:rsidRDefault="00AA1D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84C39A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DC5F47"/>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C25EF"/>
    <w:multiLevelType w:val="multilevel"/>
    <w:tmpl w:val="01B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360BA"/>
    <w:multiLevelType w:val="multilevel"/>
    <w:tmpl w:val="EF9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34AB8"/>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A6B8E"/>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601EE"/>
    <w:multiLevelType w:val="multilevel"/>
    <w:tmpl w:val="521428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B27E3"/>
    <w:multiLevelType w:val="multilevel"/>
    <w:tmpl w:val="DCCE722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Theme="minorHAnsi" w:hAnsiTheme="minorHAnsi" w:cstheme="minorHAnsi"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1A8C2266"/>
    <w:multiLevelType w:val="multilevel"/>
    <w:tmpl w:val="C27C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B21B9"/>
    <w:multiLevelType w:val="multilevel"/>
    <w:tmpl w:val="E48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C0D15"/>
    <w:multiLevelType w:val="multilevel"/>
    <w:tmpl w:val="10C0183C"/>
    <w:lvl w:ilvl="0">
      <w:start w:val="1"/>
      <w:numFmt w:val="decimal"/>
      <w:pStyle w:val="Ttulo1"/>
      <w:suff w:val="nothing"/>
      <w:lvlText w:val="Capítulo %1 - "/>
      <w:lvlJc w:val="left"/>
      <w:pPr>
        <w:ind w:left="283" w:firstLine="0"/>
      </w:pPr>
      <w:rPr>
        <w:rFonts w:asciiTheme="minorHAnsi" w:hAnsiTheme="minorHAnsi" w:cstheme="minorHAnsi" w:hint="default"/>
        <w:b/>
        <w:i w:val="0"/>
        <w:sz w:val="36"/>
      </w:rPr>
    </w:lvl>
    <w:lvl w:ilvl="1">
      <w:start w:val="1"/>
      <w:numFmt w:val="decimal"/>
      <w:pStyle w:val="Ttulo2"/>
      <w:suff w:val="space"/>
      <w:lvlText w:val="%1.%2"/>
      <w:lvlJc w:val="left"/>
      <w:pPr>
        <w:ind w:left="0"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pStyle w:val="Ttulo4"/>
      <w:suff w:val="space"/>
      <w:lvlText w:val="%1.%2.%3.%4"/>
      <w:lvlJc w:val="left"/>
      <w:pPr>
        <w:ind w:left="0" w:firstLine="0"/>
      </w:pPr>
      <w:rPr>
        <w:rFonts w:hint="default"/>
      </w:rPr>
    </w:lvl>
    <w:lvl w:ilvl="4">
      <w:start w:val="1"/>
      <w:numFmt w:val="none"/>
      <w:lvlRestart w:val="0"/>
      <w:pStyle w:val="Ttulo5"/>
      <w:suff w:val="space"/>
      <w:lvlText w:val="Chapter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0" w15:restartNumberingAfterBreak="0">
    <w:nsid w:val="32632DEB"/>
    <w:multiLevelType w:val="multilevel"/>
    <w:tmpl w:val="9C1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03A2A"/>
    <w:multiLevelType w:val="multilevel"/>
    <w:tmpl w:val="5D502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92F88"/>
    <w:multiLevelType w:val="multilevel"/>
    <w:tmpl w:val="49B2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137A3D"/>
    <w:multiLevelType w:val="multilevel"/>
    <w:tmpl w:val="B6F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766B7"/>
    <w:multiLevelType w:val="multilevel"/>
    <w:tmpl w:val="8306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9591C"/>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65B18"/>
    <w:multiLevelType w:val="multilevel"/>
    <w:tmpl w:val="D1D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8464C"/>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A6FF1"/>
    <w:multiLevelType w:val="multilevel"/>
    <w:tmpl w:val="92F6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EE4D89"/>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75898"/>
    <w:multiLevelType w:val="multilevel"/>
    <w:tmpl w:val="2FD460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280BAE"/>
    <w:multiLevelType w:val="multilevel"/>
    <w:tmpl w:val="A934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C6E87"/>
    <w:multiLevelType w:val="multilevel"/>
    <w:tmpl w:val="0C8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27972"/>
    <w:multiLevelType w:val="hybridMultilevel"/>
    <w:tmpl w:val="5D2A77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737049A"/>
    <w:multiLevelType w:val="multilevel"/>
    <w:tmpl w:val="79D6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1751D"/>
    <w:multiLevelType w:val="multilevel"/>
    <w:tmpl w:val="59A6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024CB5"/>
    <w:multiLevelType w:val="multilevel"/>
    <w:tmpl w:val="DCD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F647A"/>
    <w:multiLevelType w:val="multilevel"/>
    <w:tmpl w:val="EB4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C10AD9"/>
    <w:multiLevelType w:val="multilevel"/>
    <w:tmpl w:val="9028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52DD0"/>
    <w:multiLevelType w:val="multilevel"/>
    <w:tmpl w:val="6FD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79272">
    <w:abstractNumId w:val="9"/>
  </w:num>
  <w:num w:numId="2" w16cid:durableId="1266840002">
    <w:abstractNumId w:val="7"/>
  </w:num>
  <w:num w:numId="3" w16cid:durableId="346179871">
    <w:abstractNumId w:val="6"/>
  </w:num>
  <w:num w:numId="4" w16cid:durableId="1345671700">
    <w:abstractNumId w:val="5"/>
  </w:num>
  <w:num w:numId="5" w16cid:durableId="2110923521">
    <w:abstractNumId w:val="4"/>
  </w:num>
  <w:num w:numId="6" w16cid:durableId="940572847">
    <w:abstractNumId w:val="8"/>
  </w:num>
  <w:num w:numId="7" w16cid:durableId="815340536">
    <w:abstractNumId w:val="3"/>
  </w:num>
  <w:num w:numId="8" w16cid:durableId="2007516681">
    <w:abstractNumId w:val="2"/>
  </w:num>
  <w:num w:numId="9" w16cid:durableId="1719042001">
    <w:abstractNumId w:val="1"/>
  </w:num>
  <w:num w:numId="10" w16cid:durableId="1954897411">
    <w:abstractNumId w:val="0"/>
  </w:num>
  <w:num w:numId="11" w16cid:durableId="2111781406">
    <w:abstractNumId w:val="16"/>
  </w:num>
  <w:num w:numId="12" w16cid:durableId="1181358284">
    <w:abstractNumId w:val="19"/>
  </w:num>
  <w:num w:numId="13" w16cid:durableId="1845320026">
    <w:abstractNumId w:val="17"/>
  </w:num>
  <w:num w:numId="14" w16cid:durableId="1270891299">
    <w:abstractNumId w:val="33"/>
  </w:num>
  <w:num w:numId="15" w16cid:durableId="1086927595">
    <w:abstractNumId w:val="18"/>
  </w:num>
  <w:num w:numId="16" w16cid:durableId="1243486743">
    <w:abstractNumId w:val="36"/>
  </w:num>
  <w:num w:numId="17" w16cid:durableId="1064523346">
    <w:abstractNumId w:val="32"/>
  </w:num>
  <w:num w:numId="18" w16cid:durableId="440342359">
    <w:abstractNumId w:val="27"/>
  </w:num>
  <w:num w:numId="19" w16cid:durableId="1759862855">
    <w:abstractNumId w:val="14"/>
  </w:num>
  <w:num w:numId="20" w16cid:durableId="1100561251">
    <w:abstractNumId w:val="29"/>
  </w:num>
  <w:num w:numId="21" w16cid:durableId="1771388127">
    <w:abstractNumId w:val="10"/>
  </w:num>
  <w:num w:numId="22" w16cid:durableId="1231966592">
    <w:abstractNumId w:val="39"/>
  </w:num>
  <w:num w:numId="23" w16cid:durableId="964656145">
    <w:abstractNumId w:val="13"/>
  </w:num>
  <w:num w:numId="24" w16cid:durableId="1473328608">
    <w:abstractNumId w:val="25"/>
  </w:num>
  <w:num w:numId="25" w16cid:durableId="1955364289">
    <w:abstractNumId w:val="35"/>
  </w:num>
  <w:num w:numId="26" w16cid:durableId="1511797449">
    <w:abstractNumId w:val="38"/>
  </w:num>
  <w:num w:numId="27" w16cid:durableId="236477535">
    <w:abstractNumId w:val="21"/>
  </w:num>
  <w:num w:numId="28" w16cid:durableId="2045519317">
    <w:abstractNumId w:val="23"/>
  </w:num>
  <w:num w:numId="29" w16cid:durableId="282465291">
    <w:abstractNumId w:val="28"/>
  </w:num>
  <w:num w:numId="30" w16cid:durableId="1185094364">
    <w:abstractNumId w:val="24"/>
  </w:num>
  <w:num w:numId="31" w16cid:durableId="553542324">
    <w:abstractNumId w:val="22"/>
  </w:num>
  <w:num w:numId="32" w16cid:durableId="1578517292">
    <w:abstractNumId w:val="30"/>
  </w:num>
  <w:num w:numId="33" w16cid:durableId="868491999">
    <w:abstractNumId w:val="15"/>
  </w:num>
  <w:num w:numId="34" w16cid:durableId="1257597752">
    <w:abstractNumId w:val="20"/>
  </w:num>
  <w:num w:numId="35" w16cid:durableId="666059658">
    <w:abstractNumId w:val="11"/>
  </w:num>
  <w:num w:numId="36" w16cid:durableId="1036732713">
    <w:abstractNumId w:val="31"/>
  </w:num>
  <w:num w:numId="37" w16cid:durableId="1927030140">
    <w:abstractNumId w:val="34"/>
  </w:num>
  <w:num w:numId="38" w16cid:durableId="1605381272">
    <w:abstractNumId w:val="26"/>
  </w:num>
  <w:num w:numId="39" w16cid:durableId="857038891">
    <w:abstractNumId w:val="37"/>
  </w:num>
  <w:num w:numId="40" w16cid:durableId="942687520">
    <w:abstractNumId w:val="1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n-US" w:vendorID="64" w:dllVersion="4096"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C0D"/>
    <w:rsid w:val="00030884"/>
    <w:rsid w:val="00042575"/>
    <w:rsid w:val="00074CAD"/>
    <w:rsid w:val="00080D19"/>
    <w:rsid w:val="00080FEA"/>
    <w:rsid w:val="000824EF"/>
    <w:rsid w:val="00083D7A"/>
    <w:rsid w:val="000852A0"/>
    <w:rsid w:val="000D47E2"/>
    <w:rsid w:val="000E3DD3"/>
    <w:rsid w:val="000F3EE3"/>
    <w:rsid w:val="000F6073"/>
    <w:rsid w:val="00111837"/>
    <w:rsid w:val="00115EB2"/>
    <w:rsid w:val="00117DF6"/>
    <w:rsid w:val="00123F1C"/>
    <w:rsid w:val="00147643"/>
    <w:rsid w:val="001658B9"/>
    <w:rsid w:val="001940DF"/>
    <w:rsid w:val="001A3936"/>
    <w:rsid w:val="001A7B8D"/>
    <w:rsid w:val="001C7A29"/>
    <w:rsid w:val="001C7BF4"/>
    <w:rsid w:val="001D330E"/>
    <w:rsid w:val="001D463B"/>
    <w:rsid w:val="001E0B5B"/>
    <w:rsid w:val="001E1788"/>
    <w:rsid w:val="001E1FDE"/>
    <w:rsid w:val="001E4710"/>
    <w:rsid w:val="001F5B98"/>
    <w:rsid w:val="001F67AF"/>
    <w:rsid w:val="002023FD"/>
    <w:rsid w:val="00212C47"/>
    <w:rsid w:val="00226EBD"/>
    <w:rsid w:val="00245D61"/>
    <w:rsid w:val="002616F8"/>
    <w:rsid w:val="00263DC7"/>
    <w:rsid w:val="0026443F"/>
    <w:rsid w:val="00275189"/>
    <w:rsid w:val="00295BE9"/>
    <w:rsid w:val="002A07BC"/>
    <w:rsid w:val="002A205B"/>
    <w:rsid w:val="002A5447"/>
    <w:rsid w:val="002A601C"/>
    <w:rsid w:val="002D4FA5"/>
    <w:rsid w:val="002E100D"/>
    <w:rsid w:val="002E2175"/>
    <w:rsid w:val="002E2D75"/>
    <w:rsid w:val="00310767"/>
    <w:rsid w:val="00310A7E"/>
    <w:rsid w:val="0034634D"/>
    <w:rsid w:val="00352FE0"/>
    <w:rsid w:val="00364AE4"/>
    <w:rsid w:val="003651BC"/>
    <w:rsid w:val="00373EB9"/>
    <w:rsid w:val="00374592"/>
    <w:rsid w:val="003860DD"/>
    <w:rsid w:val="003A0B19"/>
    <w:rsid w:val="003C26ED"/>
    <w:rsid w:val="003C4EB7"/>
    <w:rsid w:val="003D129D"/>
    <w:rsid w:val="003D4465"/>
    <w:rsid w:val="003D543E"/>
    <w:rsid w:val="00402AB6"/>
    <w:rsid w:val="00411DEC"/>
    <w:rsid w:val="00414E05"/>
    <w:rsid w:val="00427DEF"/>
    <w:rsid w:val="00436C34"/>
    <w:rsid w:val="004542DB"/>
    <w:rsid w:val="00460948"/>
    <w:rsid w:val="00462579"/>
    <w:rsid w:val="0046775A"/>
    <w:rsid w:val="00467F8B"/>
    <w:rsid w:val="004714D7"/>
    <w:rsid w:val="00472EFF"/>
    <w:rsid w:val="004736A6"/>
    <w:rsid w:val="00490ABE"/>
    <w:rsid w:val="004927E0"/>
    <w:rsid w:val="004939E0"/>
    <w:rsid w:val="00496D25"/>
    <w:rsid w:val="004977AB"/>
    <w:rsid w:val="004A049D"/>
    <w:rsid w:val="004A28F2"/>
    <w:rsid w:val="004A3577"/>
    <w:rsid w:val="004D64A4"/>
    <w:rsid w:val="004E1A13"/>
    <w:rsid w:val="004E1B40"/>
    <w:rsid w:val="004E5511"/>
    <w:rsid w:val="004E7BFE"/>
    <w:rsid w:val="0050728E"/>
    <w:rsid w:val="005178E8"/>
    <w:rsid w:val="00521B77"/>
    <w:rsid w:val="0053370D"/>
    <w:rsid w:val="00533B0D"/>
    <w:rsid w:val="005461E9"/>
    <w:rsid w:val="005556F4"/>
    <w:rsid w:val="00555BEE"/>
    <w:rsid w:val="00555F43"/>
    <w:rsid w:val="00556D5A"/>
    <w:rsid w:val="005716FE"/>
    <w:rsid w:val="00584426"/>
    <w:rsid w:val="005A1A75"/>
    <w:rsid w:val="005B0154"/>
    <w:rsid w:val="005B2132"/>
    <w:rsid w:val="005B4B2C"/>
    <w:rsid w:val="005C7499"/>
    <w:rsid w:val="005D2EC9"/>
    <w:rsid w:val="005F4572"/>
    <w:rsid w:val="005F6988"/>
    <w:rsid w:val="00635F60"/>
    <w:rsid w:val="00640AF2"/>
    <w:rsid w:val="00646A20"/>
    <w:rsid w:val="00660953"/>
    <w:rsid w:val="00663235"/>
    <w:rsid w:val="006671FA"/>
    <w:rsid w:val="00667A00"/>
    <w:rsid w:val="00693787"/>
    <w:rsid w:val="00695507"/>
    <w:rsid w:val="006B50F3"/>
    <w:rsid w:val="006C563D"/>
    <w:rsid w:val="006D3EA5"/>
    <w:rsid w:val="006D4A0F"/>
    <w:rsid w:val="006D5464"/>
    <w:rsid w:val="006D54E2"/>
    <w:rsid w:val="006E3808"/>
    <w:rsid w:val="006F7AAD"/>
    <w:rsid w:val="007022E1"/>
    <w:rsid w:val="0073220F"/>
    <w:rsid w:val="00732E07"/>
    <w:rsid w:val="0075244A"/>
    <w:rsid w:val="00773745"/>
    <w:rsid w:val="00776555"/>
    <w:rsid w:val="007A447C"/>
    <w:rsid w:val="007A7231"/>
    <w:rsid w:val="007B2C65"/>
    <w:rsid w:val="007C5DD2"/>
    <w:rsid w:val="007D1288"/>
    <w:rsid w:val="007D3CAC"/>
    <w:rsid w:val="00800533"/>
    <w:rsid w:val="00805C4A"/>
    <w:rsid w:val="00824257"/>
    <w:rsid w:val="00833BB9"/>
    <w:rsid w:val="008360E1"/>
    <w:rsid w:val="008411C8"/>
    <w:rsid w:val="00851FCB"/>
    <w:rsid w:val="008546D3"/>
    <w:rsid w:val="0086074A"/>
    <w:rsid w:val="00861B03"/>
    <w:rsid w:val="00870961"/>
    <w:rsid w:val="00870EC6"/>
    <w:rsid w:val="00873814"/>
    <w:rsid w:val="008834A4"/>
    <w:rsid w:val="0088775E"/>
    <w:rsid w:val="00894DE2"/>
    <w:rsid w:val="008A0ABD"/>
    <w:rsid w:val="008A6BFA"/>
    <w:rsid w:val="008B51A8"/>
    <w:rsid w:val="008C4756"/>
    <w:rsid w:val="008D033E"/>
    <w:rsid w:val="008D7AEC"/>
    <w:rsid w:val="008E2A0C"/>
    <w:rsid w:val="008E36E4"/>
    <w:rsid w:val="008E5262"/>
    <w:rsid w:val="008E5C64"/>
    <w:rsid w:val="008F08E7"/>
    <w:rsid w:val="0090062E"/>
    <w:rsid w:val="0090444C"/>
    <w:rsid w:val="0090451D"/>
    <w:rsid w:val="00913EDA"/>
    <w:rsid w:val="00923729"/>
    <w:rsid w:val="009279AE"/>
    <w:rsid w:val="00943ED5"/>
    <w:rsid w:val="009539A6"/>
    <w:rsid w:val="009545F1"/>
    <w:rsid w:val="00963257"/>
    <w:rsid w:val="00965680"/>
    <w:rsid w:val="009A1232"/>
    <w:rsid w:val="009A157F"/>
    <w:rsid w:val="009C490E"/>
    <w:rsid w:val="009E37D7"/>
    <w:rsid w:val="009E4630"/>
    <w:rsid w:val="009F0083"/>
    <w:rsid w:val="009F1EA4"/>
    <w:rsid w:val="00A01489"/>
    <w:rsid w:val="00A14FBA"/>
    <w:rsid w:val="00A16C07"/>
    <w:rsid w:val="00A20B78"/>
    <w:rsid w:val="00A20F02"/>
    <w:rsid w:val="00A21623"/>
    <w:rsid w:val="00A30340"/>
    <w:rsid w:val="00A34CB9"/>
    <w:rsid w:val="00A35259"/>
    <w:rsid w:val="00A35C15"/>
    <w:rsid w:val="00A36EC1"/>
    <w:rsid w:val="00A407B1"/>
    <w:rsid w:val="00A43AEE"/>
    <w:rsid w:val="00A61B98"/>
    <w:rsid w:val="00A71FB4"/>
    <w:rsid w:val="00A7374A"/>
    <w:rsid w:val="00A77C24"/>
    <w:rsid w:val="00A83E56"/>
    <w:rsid w:val="00A979B6"/>
    <w:rsid w:val="00AA14E6"/>
    <w:rsid w:val="00AA1A72"/>
    <w:rsid w:val="00AA1DFF"/>
    <w:rsid w:val="00AA3176"/>
    <w:rsid w:val="00AC5CD5"/>
    <w:rsid w:val="00AD1B4E"/>
    <w:rsid w:val="00AD27FB"/>
    <w:rsid w:val="00AE5832"/>
    <w:rsid w:val="00AE7FC7"/>
    <w:rsid w:val="00AF3F71"/>
    <w:rsid w:val="00B05FF7"/>
    <w:rsid w:val="00B227BB"/>
    <w:rsid w:val="00B419C2"/>
    <w:rsid w:val="00B5323D"/>
    <w:rsid w:val="00B60224"/>
    <w:rsid w:val="00B6318B"/>
    <w:rsid w:val="00B6516C"/>
    <w:rsid w:val="00B755B7"/>
    <w:rsid w:val="00BC2EE4"/>
    <w:rsid w:val="00BC6A9E"/>
    <w:rsid w:val="00BE2360"/>
    <w:rsid w:val="00BE300F"/>
    <w:rsid w:val="00BE479A"/>
    <w:rsid w:val="00BE63C8"/>
    <w:rsid w:val="00BF3AC4"/>
    <w:rsid w:val="00C007F1"/>
    <w:rsid w:val="00C07D5E"/>
    <w:rsid w:val="00C36C16"/>
    <w:rsid w:val="00C50BC8"/>
    <w:rsid w:val="00C50BCF"/>
    <w:rsid w:val="00C54004"/>
    <w:rsid w:val="00C55BC4"/>
    <w:rsid w:val="00C5692F"/>
    <w:rsid w:val="00C60031"/>
    <w:rsid w:val="00C62365"/>
    <w:rsid w:val="00C62B66"/>
    <w:rsid w:val="00C66320"/>
    <w:rsid w:val="00C71049"/>
    <w:rsid w:val="00C73C24"/>
    <w:rsid w:val="00C74424"/>
    <w:rsid w:val="00C80942"/>
    <w:rsid w:val="00C827B1"/>
    <w:rsid w:val="00C836AA"/>
    <w:rsid w:val="00C9624B"/>
    <w:rsid w:val="00C96E8E"/>
    <w:rsid w:val="00CB1E0E"/>
    <w:rsid w:val="00CB3355"/>
    <w:rsid w:val="00CB5E4C"/>
    <w:rsid w:val="00CB7884"/>
    <w:rsid w:val="00CC095F"/>
    <w:rsid w:val="00CC5197"/>
    <w:rsid w:val="00CD05B6"/>
    <w:rsid w:val="00CE088B"/>
    <w:rsid w:val="00CF0AA0"/>
    <w:rsid w:val="00D04845"/>
    <w:rsid w:val="00D15736"/>
    <w:rsid w:val="00D16400"/>
    <w:rsid w:val="00D7420C"/>
    <w:rsid w:val="00D8371F"/>
    <w:rsid w:val="00D862DB"/>
    <w:rsid w:val="00DA19F1"/>
    <w:rsid w:val="00DA3711"/>
    <w:rsid w:val="00DA515B"/>
    <w:rsid w:val="00DA54EB"/>
    <w:rsid w:val="00DB1E47"/>
    <w:rsid w:val="00DB2EAA"/>
    <w:rsid w:val="00DC182E"/>
    <w:rsid w:val="00DF46DF"/>
    <w:rsid w:val="00E02C73"/>
    <w:rsid w:val="00E12E93"/>
    <w:rsid w:val="00E13D4B"/>
    <w:rsid w:val="00E140EA"/>
    <w:rsid w:val="00E23EDE"/>
    <w:rsid w:val="00E3017A"/>
    <w:rsid w:val="00E36AE8"/>
    <w:rsid w:val="00E440F4"/>
    <w:rsid w:val="00E446F0"/>
    <w:rsid w:val="00E53A9B"/>
    <w:rsid w:val="00E545BC"/>
    <w:rsid w:val="00E63C01"/>
    <w:rsid w:val="00E66475"/>
    <w:rsid w:val="00E736EB"/>
    <w:rsid w:val="00E83394"/>
    <w:rsid w:val="00E96B70"/>
    <w:rsid w:val="00E97B4D"/>
    <w:rsid w:val="00EA12EF"/>
    <w:rsid w:val="00EA3D10"/>
    <w:rsid w:val="00ED0DBD"/>
    <w:rsid w:val="00EE1AF8"/>
    <w:rsid w:val="00EF05DF"/>
    <w:rsid w:val="00F0212A"/>
    <w:rsid w:val="00F0410F"/>
    <w:rsid w:val="00F22CC9"/>
    <w:rsid w:val="00F333C0"/>
    <w:rsid w:val="00F37D93"/>
    <w:rsid w:val="00F41FF7"/>
    <w:rsid w:val="00F43FCD"/>
    <w:rsid w:val="00F50551"/>
    <w:rsid w:val="00F65C8D"/>
    <w:rsid w:val="00F73C10"/>
    <w:rsid w:val="00F77DDB"/>
    <w:rsid w:val="00F822C8"/>
    <w:rsid w:val="00FA2E97"/>
    <w:rsid w:val="00FA74B3"/>
    <w:rsid w:val="00FB0FB4"/>
    <w:rsid w:val="00FC3A5D"/>
    <w:rsid w:val="00FD01C4"/>
    <w:rsid w:val="00FD5A41"/>
    <w:rsid w:val="00FE5858"/>
    <w:rsid w:val="00FE5EAA"/>
    <w:rsid w:val="00FF3E5A"/>
    <w:rsid w:val="00FF63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6B37B"/>
  <w14:defaultImageDpi w14:val="32767"/>
  <w15:chartTrackingRefBased/>
  <w15:docId w15:val="{6F9F68CD-5867-46F1-BF09-255D6BA57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semiHidden="1" w:uiPriority="99"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4D64A4"/>
    <w:pPr>
      <w:spacing w:before="120" w:line="360" w:lineRule="auto"/>
      <w:ind w:firstLine="720"/>
      <w:jc w:val="both"/>
    </w:pPr>
    <w:rPr>
      <w:rFonts w:asciiTheme="minorHAnsi" w:hAnsiTheme="minorHAnsi"/>
      <w:sz w:val="22"/>
      <w:szCs w:val="24"/>
      <w:lang w:val="es-ES_tradnl" w:eastAsia="en-US"/>
    </w:rPr>
  </w:style>
  <w:style w:type="paragraph" w:styleId="Ttulo1">
    <w:name w:val="heading 1"/>
    <w:basedOn w:val="Normal"/>
    <w:next w:val="Textoindependiente"/>
    <w:link w:val="Ttulo1Car"/>
    <w:qFormat/>
    <w:rsid w:val="007D3CAC"/>
    <w:pPr>
      <w:keepNext/>
      <w:numPr>
        <w:numId w:val="12"/>
      </w:numPr>
      <w:spacing w:after="240"/>
      <w:outlineLvl w:val="0"/>
    </w:pPr>
    <w:rPr>
      <w:rFonts w:cs="Arial"/>
      <w:b/>
      <w:bCs/>
      <w:kern w:val="32"/>
      <w:sz w:val="36"/>
      <w:szCs w:val="32"/>
    </w:rPr>
  </w:style>
  <w:style w:type="paragraph" w:styleId="Ttulo2">
    <w:name w:val="heading 2"/>
    <w:basedOn w:val="Normal"/>
    <w:next w:val="Textoindependiente"/>
    <w:link w:val="Ttulo2Car"/>
    <w:qFormat/>
    <w:rsid w:val="007D3CAC"/>
    <w:pPr>
      <w:keepNext/>
      <w:numPr>
        <w:ilvl w:val="1"/>
        <w:numId w:val="12"/>
      </w:numPr>
      <w:spacing w:before="240"/>
      <w:outlineLvl w:val="1"/>
    </w:pPr>
    <w:rPr>
      <w:b/>
      <w:bCs/>
      <w:iCs/>
      <w:sz w:val="26"/>
      <w:szCs w:val="28"/>
    </w:rPr>
  </w:style>
  <w:style w:type="paragraph" w:styleId="Ttulo3">
    <w:name w:val="heading 3"/>
    <w:basedOn w:val="Normal"/>
    <w:next w:val="Textoindependiente"/>
    <w:link w:val="Ttulo3Car"/>
    <w:qFormat/>
    <w:rsid w:val="007D3CAC"/>
    <w:pPr>
      <w:keepNext/>
      <w:numPr>
        <w:ilvl w:val="2"/>
        <w:numId w:val="12"/>
      </w:numPr>
      <w:spacing w:before="240"/>
      <w:outlineLvl w:val="2"/>
    </w:pPr>
    <w:rPr>
      <w:rFonts w:cs="Arial"/>
      <w:b/>
      <w:i/>
      <w:kern w:val="32"/>
      <w:sz w:val="26"/>
      <w:szCs w:val="26"/>
    </w:rPr>
  </w:style>
  <w:style w:type="paragraph" w:styleId="Ttulo4">
    <w:name w:val="heading 4"/>
    <w:basedOn w:val="Normal"/>
    <w:next w:val="Textoindependiente"/>
    <w:qFormat/>
    <w:rsid w:val="00963257"/>
    <w:pPr>
      <w:numPr>
        <w:ilvl w:val="3"/>
        <w:numId w:val="12"/>
      </w:numPr>
      <w:spacing w:before="240"/>
      <w:outlineLvl w:val="3"/>
    </w:pPr>
    <w:rPr>
      <w:b/>
      <w:bCs/>
      <w:i/>
      <w:szCs w:val="28"/>
    </w:rPr>
  </w:style>
  <w:style w:type="paragraph" w:styleId="Ttulo5">
    <w:name w:val="heading 5"/>
    <w:basedOn w:val="Normal"/>
    <w:next w:val="Textoindependiente"/>
    <w:qFormat/>
    <w:rsid w:val="00963257"/>
    <w:pPr>
      <w:keepNext/>
      <w:numPr>
        <w:ilvl w:val="4"/>
        <w:numId w:val="12"/>
      </w:numPr>
      <w:spacing w:before="240"/>
      <w:outlineLvl w:val="4"/>
    </w:pPr>
    <w:rPr>
      <w:rFonts w:cs="Arial"/>
      <w:b/>
      <w:bCs/>
      <w:iCs/>
      <w:kern w:val="32"/>
      <w:sz w:val="36"/>
      <w:szCs w:val="26"/>
    </w:rPr>
  </w:style>
  <w:style w:type="paragraph" w:styleId="Ttulo6">
    <w:name w:val="heading 6"/>
    <w:basedOn w:val="Ttulo1"/>
    <w:next w:val="Textoindependiente"/>
    <w:qFormat/>
    <w:rsid w:val="00074CAD"/>
    <w:pPr>
      <w:numPr>
        <w:ilvl w:val="5"/>
        <w:numId w:val="11"/>
      </w:numPr>
      <w:jc w:val="left"/>
      <w:outlineLvl w:val="5"/>
    </w:pPr>
    <w:rPr>
      <w:bCs w:val="0"/>
      <w:szCs w:val="22"/>
    </w:rPr>
  </w:style>
  <w:style w:type="paragraph" w:styleId="Ttulo7">
    <w:name w:val="heading 7"/>
    <w:basedOn w:val="Normal"/>
    <w:next w:val="Textoindependiente"/>
    <w:qFormat/>
    <w:rsid w:val="00E63C01"/>
    <w:pPr>
      <w:spacing w:before="240"/>
      <w:ind w:firstLine="0"/>
      <w:outlineLvl w:val="6"/>
    </w:pPr>
    <w:rPr>
      <w:b/>
      <w:sz w:val="28"/>
    </w:rPr>
  </w:style>
  <w:style w:type="paragraph" w:styleId="Ttulo8">
    <w:name w:val="heading 8"/>
    <w:basedOn w:val="Normal"/>
    <w:next w:val="Textoindependiente"/>
    <w:qFormat/>
    <w:rsid w:val="00E63C01"/>
    <w:pPr>
      <w:spacing w:before="240"/>
      <w:ind w:firstLine="0"/>
      <w:outlineLvl w:val="7"/>
    </w:pPr>
    <w:rPr>
      <w:b/>
      <w:i/>
      <w:iCs/>
      <w:sz w:val="26"/>
    </w:rPr>
  </w:style>
  <w:style w:type="paragraph" w:styleId="Ttulo9">
    <w:name w:val="heading 9"/>
    <w:basedOn w:val="Normal"/>
    <w:next w:val="Textoindependiente"/>
    <w:qFormat/>
    <w:rsid w:val="00E63C01"/>
    <w:pPr>
      <w:spacing w:before="240"/>
      <w:ind w:firstLine="0"/>
      <w:outlineLvl w:val="8"/>
    </w:pPr>
    <w:rPr>
      <w:rFonts w:cs="Arial"/>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ind w:firstLine="0"/>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firstLine="0"/>
    </w:pPr>
  </w:style>
  <w:style w:type="paragraph" w:styleId="TDC3">
    <w:name w:val="toc 3"/>
    <w:basedOn w:val="Normal"/>
    <w:next w:val="Normal"/>
    <w:autoRedefine/>
    <w:uiPriority w:val="39"/>
    <w:pPr>
      <w:ind w:left="475" w:firstLine="0"/>
    </w:pPr>
  </w:style>
  <w:style w:type="paragraph" w:styleId="TDC4">
    <w:name w:val="toc 4"/>
    <w:basedOn w:val="Normal"/>
    <w:next w:val="Normal"/>
    <w:autoRedefine/>
    <w:uiPriority w:val="39"/>
    <w:rsid w:val="00913EDA"/>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ind w:firstLine="0"/>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spacing w:after="120"/>
      <w:ind w:left="1440" w:right="1440"/>
    </w:pPr>
  </w:style>
  <w:style w:type="paragraph" w:styleId="Textoindependiente2">
    <w:name w:val="Body Text 2"/>
    <w:basedOn w:val="Normal"/>
    <w:link w:val="Textoindependiente2Car"/>
    <w:rsid w:val="00373EB9"/>
    <w:pPr>
      <w:spacing w:after="120"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pPr>
      <w:spacing w:after="120"/>
    </w:pPr>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spacing w:after="120"/>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spacing w:after="120"/>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after="120"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spacing w:after="120"/>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uiPriority w:val="99"/>
    <w:rsid w:val="00373EB9"/>
    <w:rPr>
      <w:rFonts w:ascii="Courier New" w:hAnsi="Courier New" w:cs="Courier New"/>
      <w:sz w:val="20"/>
      <w:szCs w:val="20"/>
    </w:rPr>
  </w:style>
  <w:style w:type="character" w:customStyle="1" w:styleId="HTMLconformatoprevioCar">
    <w:name w:val="HTML con formato previo Car"/>
    <w:link w:val="HTMLconformatoprevio"/>
    <w:uiPriority w:val="99"/>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1"/>
      </w:numPr>
      <w:contextualSpacing/>
    </w:pPr>
  </w:style>
  <w:style w:type="paragraph" w:styleId="Listaconvietas2">
    <w:name w:val="List Bullet 2"/>
    <w:basedOn w:val="Normal"/>
    <w:rsid w:val="00373EB9"/>
    <w:pPr>
      <w:numPr>
        <w:numId w:val="2"/>
      </w:numPr>
      <w:contextualSpacing/>
    </w:pPr>
  </w:style>
  <w:style w:type="paragraph" w:styleId="Listaconvietas3">
    <w:name w:val="List Bullet 3"/>
    <w:basedOn w:val="Normal"/>
    <w:rsid w:val="00373EB9"/>
    <w:pPr>
      <w:numPr>
        <w:numId w:val="3"/>
      </w:numPr>
      <w:contextualSpacing/>
    </w:pPr>
  </w:style>
  <w:style w:type="paragraph" w:styleId="Listaconvietas4">
    <w:name w:val="List Bullet 4"/>
    <w:basedOn w:val="Normal"/>
    <w:rsid w:val="00373EB9"/>
    <w:pPr>
      <w:numPr>
        <w:numId w:val="4"/>
      </w:numPr>
      <w:contextualSpacing/>
    </w:pPr>
  </w:style>
  <w:style w:type="paragraph" w:styleId="Listaconvietas5">
    <w:name w:val="List Bullet 5"/>
    <w:basedOn w:val="Normal"/>
    <w:rsid w:val="00373EB9"/>
    <w:pPr>
      <w:numPr>
        <w:numId w:val="5"/>
      </w:numPr>
      <w:contextualSpacing/>
    </w:pPr>
  </w:style>
  <w:style w:type="paragraph" w:styleId="Continuarlista">
    <w:name w:val="List Continue"/>
    <w:basedOn w:val="Normal"/>
    <w:rsid w:val="00373EB9"/>
    <w:pPr>
      <w:spacing w:after="120"/>
      <w:ind w:left="360"/>
      <w:contextualSpacing/>
    </w:pPr>
  </w:style>
  <w:style w:type="paragraph" w:styleId="Continuarlista2">
    <w:name w:val="List Continue 2"/>
    <w:basedOn w:val="Normal"/>
    <w:rsid w:val="00373EB9"/>
    <w:pPr>
      <w:spacing w:after="120"/>
      <w:ind w:left="720"/>
      <w:contextualSpacing/>
    </w:pPr>
  </w:style>
  <w:style w:type="paragraph" w:styleId="Continuarlista3">
    <w:name w:val="List Continue 3"/>
    <w:basedOn w:val="Normal"/>
    <w:rsid w:val="00373EB9"/>
    <w:pPr>
      <w:spacing w:after="120"/>
      <w:ind w:left="1080"/>
      <w:contextualSpacing/>
    </w:pPr>
  </w:style>
  <w:style w:type="paragraph" w:styleId="Continuarlista4">
    <w:name w:val="List Continue 4"/>
    <w:basedOn w:val="Normal"/>
    <w:rsid w:val="00373EB9"/>
    <w:pPr>
      <w:spacing w:after="120"/>
      <w:ind w:left="1440"/>
      <w:contextualSpacing/>
    </w:pPr>
  </w:style>
  <w:style w:type="paragraph" w:styleId="Continuarlista5">
    <w:name w:val="List Continue 5"/>
    <w:basedOn w:val="Normal"/>
    <w:rsid w:val="00373EB9"/>
    <w:pPr>
      <w:spacing w:after="120"/>
      <w:ind w:left="1800"/>
      <w:contextualSpacing/>
    </w:pPr>
  </w:style>
  <w:style w:type="paragraph" w:styleId="Listaconnmeros">
    <w:name w:val="List Number"/>
    <w:basedOn w:val="Normal"/>
    <w:rsid w:val="00373EB9"/>
    <w:pPr>
      <w:numPr>
        <w:numId w:val="6"/>
      </w:numPr>
      <w:contextualSpacing/>
    </w:pPr>
  </w:style>
  <w:style w:type="paragraph" w:styleId="Listaconnmeros2">
    <w:name w:val="List Number 2"/>
    <w:basedOn w:val="Normal"/>
    <w:rsid w:val="00373EB9"/>
    <w:pPr>
      <w:numPr>
        <w:numId w:val="7"/>
      </w:numPr>
      <w:contextualSpacing/>
    </w:pPr>
  </w:style>
  <w:style w:type="paragraph" w:styleId="Listaconnmeros3">
    <w:name w:val="List Number 3"/>
    <w:basedOn w:val="Normal"/>
    <w:rsid w:val="00373EB9"/>
    <w:pPr>
      <w:numPr>
        <w:numId w:val="8"/>
      </w:numPr>
      <w:contextualSpacing/>
    </w:pPr>
  </w:style>
  <w:style w:type="paragraph" w:styleId="Listaconnmeros4">
    <w:name w:val="List Number 4"/>
    <w:basedOn w:val="Normal"/>
    <w:rsid w:val="00373EB9"/>
    <w:pPr>
      <w:numPr>
        <w:numId w:val="9"/>
      </w:numPr>
      <w:contextualSpacing/>
    </w:pPr>
  </w:style>
  <w:style w:type="paragraph" w:styleId="Listaconnmeros5">
    <w:name w:val="List Number 5"/>
    <w:basedOn w:val="Normal"/>
    <w:rsid w:val="00373EB9"/>
    <w:pPr>
      <w:numPr>
        <w:numId w:val="10"/>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uiPriority w:val="99"/>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qFormat/>
    <w:rsid w:val="00373EB9"/>
    <w:pPr>
      <w:spacing w:after="60"/>
      <w:jc w:val="center"/>
      <w:outlineLvl w:val="1"/>
    </w:pPr>
    <w:rPr>
      <w:rFonts w:ascii="Cambria" w:hAnsi="Cambria"/>
    </w:rPr>
  </w:style>
  <w:style w:type="character" w:customStyle="1" w:styleId="SubttuloCar">
    <w:name w:val="Subtítulo Car"/>
    <w:link w:val="Subttulo"/>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uiPriority w:val="22"/>
    <w:qFormat/>
    <w:rsid w:val="00E66475"/>
    <w:rPr>
      <w:b/>
      <w:bCs/>
    </w:rPr>
  </w:style>
  <w:style w:type="paragraph" w:styleId="Bibliografa">
    <w:name w:val="Bibliography"/>
    <w:basedOn w:val="Normal"/>
    <w:next w:val="Normal"/>
    <w:uiPriority w:val="70"/>
    <w:rsid w:val="005556F4"/>
    <w:pPr>
      <w:ind w:firstLine="0"/>
    </w:pPr>
  </w:style>
  <w:style w:type="paragraph" w:styleId="Descripcin">
    <w:name w:val="caption"/>
    <w:basedOn w:val="Normal"/>
    <w:next w:val="Normal"/>
    <w:qFormat/>
    <w:rsid w:val="007D3CAC"/>
    <w:pPr>
      <w:spacing w:before="60" w:after="240" w:line="240" w:lineRule="auto"/>
      <w:ind w:firstLine="0"/>
      <w:jc w:val="center"/>
    </w:pPr>
    <w:rPr>
      <w:i/>
      <w:iCs/>
      <w:sz w:val="18"/>
      <w:szCs w:val="18"/>
    </w:rPr>
  </w:style>
  <w:style w:type="paragraph" w:customStyle="1" w:styleId="Textotabla">
    <w:name w:val="Texto tabla"/>
    <w:basedOn w:val="Normal"/>
    <w:qFormat/>
    <w:rsid w:val="007D3CAC"/>
    <w:rPr>
      <w:sz w:val="18"/>
    </w:rPr>
  </w:style>
  <w:style w:type="character" w:customStyle="1" w:styleId="Ttulo2Car">
    <w:name w:val="Título 2 Car"/>
    <w:basedOn w:val="Fuentedeprrafopredeter"/>
    <w:link w:val="Ttulo2"/>
    <w:rsid w:val="007D3CAC"/>
    <w:rPr>
      <w:rFonts w:asciiTheme="minorHAnsi" w:hAnsiTheme="minorHAnsi"/>
      <w:b/>
      <w:bCs/>
      <w:iCs/>
      <w:sz w:val="26"/>
      <w:szCs w:val="28"/>
      <w:lang w:val="es-ES_tradnl" w:eastAsia="en-US"/>
    </w:rPr>
  </w:style>
  <w:style w:type="character" w:customStyle="1" w:styleId="Ttulo1Car">
    <w:name w:val="Título 1 Car"/>
    <w:basedOn w:val="Fuentedeprrafopredeter"/>
    <w:link w:val="Ttulo1"/>
    <w:rsid w:val="007D3CAC"/>
    <w:rPr>
      <w:rFonts w:asciiTheme="minorHAnsi" w:hAnsiTheme="minorHAnsi" w:cs="Arial"/>
      <w:b/>
      <w:bCs/>
      <w:kern w:val="32"/>
      <w:sz w:val="36"/>
      <w:szCs w:val="32"/>
      <w:lang w:val="es-ES_tradnl" w:eastAsia="en-US"/>
    </w:rPr>
  </w:style>
  <w:style w:type="table" w:styleId="Tablaconcuadrcula">
    <w:name w:val="Table Grid"/>
    <w:basedOn w:val="Tablanormal"/>
    <w:rsid w:val="00CC5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72"/>
    <w:qFormat/>
    <w:rsid w:val="00584426"/>
    <w:pPr>
      <w:ind w:left="720"/>
      <w:contextualSpacing/>
    </w:pPr>
  </w:style>
  <w:style w:type="character" w:styleId="Textodelmarcadordeposicin">
    <w:name w:val="Placeholder Text"/>
    <w:basedOn w:val="Fuentedeprrafopredeter"/>
    <w:uiPriority w:val="99"/>
    <w:unhideWhenUsed/>
    <w:rsid w:val="00584426"/>
    <w:rPr>
      <w:color w:val="666666"/>
    </w:rPr>
  </w:style>
  <w:style w:type="paragraph" w:customStyle="1" w:styleId="FirstParagraph">
    <w:name w:val="First Paragraph"/>
    <w:basedOn w:val="Textoindependiente"/>
    <w:next w:val="Textoindependiente"/>
    <w:qFormat/>
    <w:rsid w:val="00584426"/>
    <w:pPr>
      <w:spacing w:before="180" w:after="180" w:line="240" w:lineRule="auto"/>
      <w:ind w:firstLine="0"/>
      <w:jc w:val="left"/>
    </w:pPr>
    <w:rPr>
      <w:rFonts w:eastAsiaTheme="minorHAnsi" w:cstheme="minorBidi"/>
      <w:sz w:val="24"/>
      <w:lang w:val="en-US"/>
    </w:rPr>
  </w:style>
  <w:style w:type="character" w:customStyle="1" w:styleId="Ttulo3Car">
    <w:name w:val="Título 3 Car"/>
    <w:basedOn w:val="Fuentedeprrafopredeter"/>
    <w:link w:val="Ttulo3"/>
    <w:rsid w:val="007D3CAC"/>
    <w:rPr>
      <w:rFonts w:asciiTheme="minorHAnsi" w:hAnsiTheme="minorHAnsi" w:cs="Arial"/>
      <w:b/>
      <w:i/>
      <w:kern w:val="32"/>
      <w:sz w:val="26"/>
      <w:szCs w:val="26"/>
      <w:lang w:val="es-ES_tradnl" w:eastAsia="en-US"/>
    </w:rPr>
  </w:style>
  <w:style w:type="paragraph" w:customStyle="1" w:styleId="font-claude-response-body">
    <w:name w:val="font-claude-response-body"/>
    <w:basedOn w:val="Normal"/>
    <w:rsid w:val="00521B77"/>
    <w:pPr>
      <w:spacing w:before="100" w:beforeAutospacing="1" w:after="100" w:afterAutospacing="1" w:line="240" w:lineRule="auto"/>
      <w:ind w:firstLine="0"/>
      <w:jc w:val="left"/>
    </w:pPr>
    <w:rPr>
      <w:rFonts w:ascii="Times New Roman" w:hAnsi="Times New Roman"/>
      <w:sz w:val="24"/>
      <w:lang w:val="es-ES" w:eastAsia="es-ES"/>
    </w:rPr>
  </w:style>
  <w:style w:type="character" w:styleId="CdigoHTML">
    <w:name w:val="HTML Code"/>
    <w:basedOn w:val="Fuentedeprrafopredeter"/>
    <w:uiPriority w:val="99"/>
    <w:unhideWhenUsed/>
    <w:rsid w:val="00521B77"/>
    <w:rPr>
      <w:rFonts w:ascii="Courier New" w:eastAsia="Times New Roman" w:hAnsi="Courier New" w:cs="Courier New"/>
      <w:sz w:val="20"/>
      <w:szCs w:val="20"/>
    </w:rPr>
  </w:style>
  <w:style w:type="character" w:styleId="nfasis">
    <w:name w:val="Emphasis"/>
    <w:basedOn w:val="Fuentedeprrafopredeter"/>
    <w:uiPriority w:val="20"/>
    <w:qFormat/>
    <w:rsid w:val="00521B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18331</TotalTime>
  <Pages>66</Pages>
  <Words>13829</Words>
  <Characters>76065</Characters>
  <Application>Microsoft Office Word</Application>
  <DocSecurity>0</DocSecurity>
  <Lines>633</Lines>
  <Paragraphs>179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Memoria TFM - FDI-UCM</vt:lpstr>
      <vt:lpstr>Memoria TFM - FDI-UCM</vt:lpstr>
    </vt:vector>
  </TitlesOfParts>
  <Company/>
  <LinksUpToDate>false</LinksUpToDate>
  <CharactersWithSpaces>89715</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TFM - FDI-UCM</dc:title>
  <dc:subject/>
  <dc:creator>KSU</dc:creator>
  <cp:keywords/>
  <dc:description/>
  <cp:lastModifiedBy>Ale llord</cp:lastModifiedBy>
  <cp:revision>33</cp:revision>
  <cp:lastPrinted>2018-10-09T14:28:00Z</cp:lastPrinted>
  <dcterms:created xsi:type="dcterms:W3CDTF">2019-06-20T06:32:00Z</dcterms:created>
  <dcterms:modified xsi:type="dcterms:W3CDTF">2026-06-01T19:28:00Z</dcterms:modified>
</cp:coreProperties>
</file>