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40"/>
        </w:rPr>
        <w:t>Hunt, Detect and Analyse Attacks on a Smart-Home Network using Honeypots, an IDS and the ELK Stack</w:t>
      </w:r>
    </w:p>
    <w:p>
      <w:pPr>
        <w:spacing w:after="200"/>
        <w:jc w:val="center"/>
      </w:pPr>
      <w:r>
        <w:rPr>
          <w:i/>
          <w:sz w:val="22"/>
        </w:rPr>
        <w:t>A reproducible platform for smart-home network security · University of Jeddah (CCSE)</w:t>
      </w:r>
    </w:p>
    <w:p>
      <w:pPr>
        <w:spacing w:after="40"/>
        <w:jc w:val="center"/>
      </w:pPr>
      <w:r>
        <w:rPr>
          <w:sz w:val="22"/>
        </w:rPr>
        <w:t>Aleen Saleh Aljohani</w:t>
      </w:r>
      <w:r>
        <w:rPr>
          <w:sz w:val="18"/>
        </w:rPr>
        <w:br/>
        <w:t>aleensaljohani@gmail.com</w:t>
      </w:r>
    </w:p>
    <w:p>
      <w:pPr>
        <w:spacing w:after="200"/>
        <w:jc w:val="center"/>
      </w:pPr>
      <w:r>
        <w:rPr>
          <w:sz w:val="18"/>
        </w:rPr>
        <w:t>Cybersecurity Department, College of Computer Science and Engineering (CCSE), University of Jeddah, Jeddah, Saudi Arabia</w:t>
      </w:r>
    </w:p>
    <w:p>
      <w:pPr>
        <w:sectPr>
          <w:pgSz w:w="12240" w:h="15840"/>
          <w:pgMar w:top="1080" w:right="960" w:bottom="1080" w:left="960" w:header="720" w:footer="720" w:gutter="0"/>
          <w:cols w:space="360" w:num="1" w:equalWidth="1"/>
          <w:docGrid w:linePitch="360"/>
        </w:sectPr>
      </w:pPr>
    </w:p>
    <w:p>
      <w:pPr>
        <w:spacing w:after="120"/>
        <w:jc w:val="both"/>
      </w:pPr>
      <w:r>
        <w:rPr>
          <w:b/>
          <w:i/>
          <w:sz w:val="18"/>
        </w:rPr>
        <w:t>Abstract—</w:t>
      </w:r>
      <w:r>
        <w:rPr>
          <w:i/>
          <w:sz w:val="18"/>
        </w:rPr>
        <w:t>Smart homes are projected to reach roughly 312 million households by 2027, expanding a poorly-defended IoT attack surface that botnets such as Mirai exploit through default credentials and exposed telnet/HTTP interfaces. This paper presents SmartHoneyNet, a reproducible, tested and quantitatively evaluated platform that combines honeypots, an IDS and the ELK stack to hunt, detect and analyse these attacks on a single host. Two low-interaction honeypots emulate a Mirai-style telnet IoT hub and a smart-home device web panel; a hybrid signature-plus-anomaly detection engine classifies six attack categories and maps every alert to MITRE ATT&amp;CK; a pipeline persists all data to both SQLite and Elasticsearch for Kibana visualisation. The platform runs on a single host, ships with a 39-test automated suite and enforced security controls, and on a controlled labelled evaluation set the engine achieves 100% precision and recall with zero false positives on benign traffic.</w:t>
      </w:r>
    </w:p>
    <w:p>
      <w:pPr>
        <w:spacing w:after="160"/>
      </w:pPr>
      <w:r>
        <w:rPr>
          <w:b/>
          <w:i/>
          <w:sz w:val="18"/>
        </w:rPr>
        <w:t>Index Terms—</w:t>
      </w:r>
      <w:r>
        <w:rPr>
          <w:i/>
          <w:sz w:val="18"/>
        </w:rPr>
        <w:t>Honeypot, IoT security, Intrusion Detection, ELK Stack, Mirai, MITRE ATT&amp;CK, Smart Home, Threat Hunting.</w:t>
      </w:r>
    </w:p>
    <w:p>
      <w:pPr>
        <w:spacing w:before="160" w:after="80"/>
        <w:jc w:val="left"/>
      </w:pPr>
      <w:r>
        <w:rPr>
          <w:b/>
          <w:sz w:val="20"/>
        </w:rPr>
        <w:t>I. INTRODUCTION</w:t>
      </w:r>
    </w:p>
    <w:p>
      <w:pPr>
        <w:spacing w:after="120" w:before="0"/>
        <w:jc w:val="both"/>
      </w:pPr>
      <w:r>
        <w:rPr>
          <w:rFonts w:ascii="Times New Roman" w:hAnsi="Times New Roman"/>
          <w:b w:val="0"/>
          <w:i w:val="0"/>
          <w:sz w:val="20"/>
        </w:rPr>
        <w:t>Interconnected “smart” devices—thermostats, cameras, locks, plugs and hubs—have woven themselves into the modern home. Each device is a small networked computer, and collectively they form a network whose weakest member sets the security of the whole. The defensive problem is asymmetric: a homeowner has neither the tooling nor the expertise of an enterprise SOC, yet faces the same internet-wide automated adversaries.</w:t>
      </w:r>
    </w:p>
    <w:p>
      <w:pPr>
        <w:spacing w:after="120" w:before="0"/>
        <w:jc w:val="both"/>
      </w:pPr>
      <w:r>
        <w:rPr>
          <w:rFonts w:ascii="Times New Roman" w:hAnsi="Times New Roman"/>
          <w:b w:val="0"/>
          <w:i w:val="0"/>
          <w:sz w:val="20"/>
        </w:rPr>
        <w:t>The word “Hunt” captures the intended posture: not merely to block attacks reactively, but to attract, observe and understand them. A honeypot deliberately exposes an attractive, instrumented target; whatever an attacker does to it is malicious by definition and worth studying. Pairing honeypots with an IDS and a log-analytics stack turns those observations into detections and, ultimately, into intelligence.</w:t>
      </w:r>
    </w:p>
    <w:p>
      <w:pPr>
        <w:spacing w:before="80" w:after="40"/>
      </w:pPr>
      <w:r>
        <w:rPr>
          <w:i/>
          <w:sz w:val="20"/>
        </w:rPr>
        <w:t>A. Problem statement</w:t>
      </w:r>
    </w:p>
    <w:p>
      <w:pPr>
        <w:spacing w:after="120" w:before="0"/>
        <w:jc w:val="both"/>
      </w:pPr>
      <w:r>
        <w:rPr>
          <w:rFonts w:ascii="Times New Roman" w:hAnsi="Times New Roman"/>
          <w:b w:val="0"/>
          <w:i w:val="0"/>
          <w:sz w:val="20"/>
        </w:rPr>
        <w:t>Smart-home networks are attacked continuously by automated botnets and scanners, but homeowners lack visibility into these attacks and researchers lack reproducible platforms for studying them in a smart-home context.</w:t>
      </w:r>
    </w:p>
    <w:p>
      <w:pPr>
        <w:spacing w:before="80" w:after="40"/>
      </w:pPr>
      <w:r>
        <w:rPr>
          <w:i/>
          <w:sz w:val="20"/>
        </w:rPr>
        <w:t>B. Aim and objectives</w:t>
      </w:r>
    </w:p>
    <w:p>
      <w:pPr>
        <w:spacing w:after="120" w:before="0"/>
        <w:jc w:val="both"/>
      </w:pPr>
      <w:r>
        <w:rPr>
          <w:rFonts w:ascii="Times New Roman" w:hAnsi="Times New Roman"/>
          <w:b/>
          <w:i w:val="0"/>
          <w:sz w:val="20"/>
        </w:rPr>
        <w:t>Aim.</w:t>
      </w:r>
      <w:r>
        <w:rPr>
          <w:rFonts w:ascii="Times New Roman" w:hAnsi="Times New Roman"/>
          <w:b w:val="0"/>
          <w:i w:val="0"/>
          <w:sz w:val="20"/>
        </w:rPr>
        <w:t xml:space="preserve"> To build a reproducible platform that hunts, detects and analyses attacks against a smart-home network, and to evaluate its detection effectiveness. </w:t>
      </w:r>
      <w:r>
        <w:rPr>
          <w:rFonts w:ascii="Times New Roman" w:hAnsi="Times New Roman"/>
          <w:b/>
          <w:i w:val="0"/>
          <w:sz w:val="20"/>
        </w:rPr>
        <w:t>Objectives:</w:t>
      </w:r>
      <w:r>
        <w:rPr>
          <w:rFonts w:ascii="Times New Roman" w:hAnsi="Times New Roman"/>
          <w:b w:val="0"/>
          <w:i w:val="0"/>
          <w:sz w:val="20"/>
        </w:rPr>
        <w:t xml:space="preserve"> (1) emulate vulnerable devices with safe honeypots; (2) implement a real-time hybrid IDS; (3) integrate an ELK pipeline and an offline database; (4) measure detection performance quantitatively; and (5) enforce responsible-use controls in code.</w:t>
      </w:r>
    </w:p>
    <w:p>
      <w:pPr>
        <w:spacing w:before="80" w:after="40"/>
      </w:pPr>
      <w:r>
        <w:rPr>
          <w:i/>
          <w:sz w:val="20"/>
        </w:rPr>
        <w:t>C. Platform capabilities</w:t>
      </w:r>
    </w:p>
    <w:tbl>
      <w:tblPr>
        <w:tblStyle w:val="TableGrid"/>
        <w:tblW w:type="auto" w:w="0"/>
        <w:jc w:val="center"/>
        <w:tblLook w:firstColumn="1" w:firstRow="1" w:lastColumn="0" w:lastRow="0" w:noHBand="0" w:noVBand="1" w:val="04A0"/>
      </w:tblPr>
      <w:tblGrid>
        <w:gridCol w:w="3440"/>
        <w:gridCol w:w="3440"/>
        <w:gridCol w:w="3440"/>
      </w:tblGrid>
      <w:tr>
        <w:tc>
          <w:tcPr>
            <w:tcW w:type="dxa" w:w="3440"/>
          </w:tcPr>
          <w:p>
            <w:pPr>
              <w:jc w:val="center"/>
            </w:pPr>
            <w:r/>
            <w:r>
              <w:rPr>
                <w:b/>
                <w:sz w:val="16"/>
              </w:rPr>
              <w:t>#</w:t>
            </w:r>
          </w:p>
        </w:tc>
        <w:tc>
          <w:tcPr>
            <w:tcW w:type="dxa" w:w="3440"/>
          </w:tcPr>
          <w:p>
            <w:pPr>
              <w:jc w:val="center"/>
            </w:pPr>
            <w:r/>
            <w:r>
              <w:rPr>
                <w:b/>
                <w:sz w:val="16"/>
              </w:rPr>
              <w:t>Capability</w:t>
            </w:r>
          </w:p>
        </w:tc>
        <w:tc>
          <w:tcPr>
            <w:tcW w:type="dxa" w:w="3440"/>
          </w:tcPr>
          <w:p>
            <w:pPr>
              <w:jc w:val="center"/>
            </w:pPr>
            <w:r/>
            <w:r>
              <w:rPr>
                <w:b/>
                <w:sz w:val="16"/>
              </w:rPr>
              <w:t>What it delivers</w:t>
            </w:r>
          </w:p>
        </w:tc>
      </w:tr>
      <w:tr>
        <w:tc>
          <w:tcPr>
            <w:tcW w:type="dxa" w:w="3440"/>
          </w:tcPr>
          <w:p>
            <w:r/>
            <w:r>
              <w:rPr>
                <w:sz w:val="16"/>
              </w:rPr>
              <w:t>1</w:t>
            </w:r>
          </w:p>
        </w:tc>
        <w:tc>
          <w:tcPr>
            <w:tcW w:type="dxa" w:w="3440"/>
          </w:tcPr>
          <w:p>
            <w:r/>
            <w:r>
              <w:rPr>
                <w:sz w:val="16"/>
              </w:rPr>
              <w:t>Deployment</w:t>
            </w:r>
          </w:p>
        </w:tc>
        <w:tc>
          <w:tcPr>
            <w:tcW w:type="dxa" w:w="3440"/>
          </w:tcPr>
          <w:p>
            <w:r/>
            <w:r>
              <w:rPr>
                <w:sz w:val="16"/>
              </w:rPr>
              <w:t>One-command Docker + pure-Python mode</w:t>
            </w:r>
          </w:p>
        </w:tc>
      </w:tr>
      <w:tr>
        <w:tc>
          <w:tcPr>
            <w:tcW w:type="dxa" w:w="3440"/>
          </w:tcPr>
          <w:p>
            <w:r/>
            <w:r>
              <w:rPr>
                <w:sz w:val="16"/>
              </w:rPr>
              <w:t>2</w:t>
            </w:r>
          </w:p>
        </w:tc>
        <w:tc>
          <w:tcPr>
            <w:tcW w:type="dxa" w:w="3440"/>
          </w:tcPr>
          <w:p>
            <w:r/>
            <w:r>
              <w:rPr>
                <w:sz w:val="16"/>
              </w:rPr>
              <w:t>Detection coverage</w:t>
            </w:r>
          </w:p>
        </w:tc>
        <w:tc>
          <w:tcPr>
            <w:tcW w:type="dxa" w:w="3440"/>
          </w:tcPr>
          <w:p>
            <w:r/>
            <w:r>
              <w:rPr>
                <w:sz w:val="16"/>
              </w:rPr>
              <w:t>6 detection categories, each tested</w:t>
            </w:r>
          </w:p>
        </w:tc>
      </w:tr>
      <w:tr>
        <w:tc>
          <w:tcPr>
            <w:tcW w:type="dxa" w:w="3440"/>
          </w:tcPr>
          <w:p>
            <w:r/>
            <w:r>
              <w:rPr>
                <w:sz w:val="16"/>
              </w:rPr>
              <w:t>3</w:t>
            </w:r>
          </w:p>
        </w:tc>
        <w:tc>
          <w:tcPr>
            <w:tcW w:type="dxa" w:w="3440"/>
          </w:tcPr>
          <w:p>
            <w:r/>
            <w:r>
              <w:rPr>
                <w:sz w:val="16"/>
              </w:rPr>
              <w:t>Evaluation</w:t>
            </w:r>
          </w:p>
        </w:tc>
        <w:tc>
          <w:tcPr>
            <w:tcW w:type="dxa" w:w="3440"/>
          </w:tcPr>
          <w:p>
            <w:r/>
            <w:r>
              <w:rPr>
                <w:sz w:val="16"/>
              </w:rPr>
              <w:t>Quantitative precision/recall/F1</w:t>
            </w:r>
          </w:p>
        </w:tc>
      </w:tr>
      <w:tr>
        <w:tc>
          <w:tcPr>
            <w:tcW w:type="dxa" w:w="3440"/>
          </w:tcPr>
          <w:p>
            <w:r/>
            <w:r>
              <w:rPr>
                <w:sz w:val="16"/>
              </w:rPr>
              <w:t>4</w:t>
            </w:r>
          </w:p>
        </w:tc>
        <w:tc>
          <w:tcPr>
            <w:tcW w:type="dxa" w:w="3440"/>
          </w:tcPr>
          <w:p>
            <w:r/>
            <w:r>
              <w:rPr>
                <w:sz w:val="16"/>
              </w:rPr>
              <w:t>Detection engine</w:t>
            </w:r>
          </w:p>
        </w:tc>
        <w:tc>
          <w:tcPr>
            <w:tcW w:type="dxa" w:w="3440"/>
          </w:tcPr>
          <w:p>
            <w:r/>
            <w:r>
              <w:rPr>
                <w:sz w:val="16"/>
              </w:rPr>
              <w:t>Hybrid signature + anomaly</w:t>
            </w:r>
          </w:p>
        </w:tc>
      </w:tr>
      <w:tr>
        <w:tc>
          <w:tcPr>
            <w:tcW w:type="dxa" w:w="3440"/>
          </w:tcPr>
          <w:p>
            <w:r/>
            <w:r>
              <w:rPr>
                <w:sz w:val="16"/>
              </w:rPr>
              <w:t>5</w:t>
            </w:r>
          </w:p>
        </w:tc>
        <w:tc>
          <w:tcPr>
            <w:tcW w:type="dxa" w:w="3440"/>
          </w:tcPr>
          <w:p>
            <w:r/>
            <w:r>
              <w:rPr>
                <w:sz w:val="16"/>
              </w:rPr>
              <w:t>Threat taxonomy</w:t>
            </w:r>
          </w:p>
        </w:tc>
        <w:tc>
          <w:tcPr>
            <w:tcW w:type="dxa" w:w="3440"/>
          </w:tcPr>
          <w:p>
            <w:r/>
            <w:r>
              <w:rPr>
                <w:sz w:val="16"/>
              </w:rPr>
              <w:t>MITRE ATT&amp;CK mapping per alert</w:t>
            </w:r>
          </w:p>
        </w:tc>
      </w:tr>
      <w:tr>
        <w:tc>
          <w:tcPr>
            <w:tcW w:type="dxa" w:w="3440"/>
          </w:tcPr>
          <w:p>
            <w:r/>
            <w:r>
              <w:rPr>
                <w:sz w:val="16"/>
              </w:rPr>
              <w:t>6</w:t>
            </w:r>
          </w:p>
        </w:tc>
        <w:tc>
          <w:tcPr>
            <w:tcW w:type="dxa" w:w="3440"/>
          </w:tcPr>
          <w:p>
            <w:r/>
            <w:r>
              <w:rPr>
                <w:sz w:val="16"/>
              </w:rPr>
              <w:t>Quality</w:t>
            </w:r>
          </w:p>
        </w:tc>
        <w:tc>
          <w:tcPr>
            <w:tcW w:type="dxa" w:w="3440"/>
          </w:tcPr>
          <w:p>
            <w:r/>
            <w:r>
              <w:rPr>
                <w:sz w:val="16"/>
              </w:rPr>
              <w:t>39 tests + CI on 3 Python versions</w:t>
            </w:r>
          </w:p>
        </w:tc>
      </w:tr>
      <w:tr>
        <w:tc>
          <w:tcPr>
            <w:tcW w:type="dxa" w:w="3440"/>
          </w:tcPr>
          <w:p>
            <w:r/>
            <w:r>
              <w:rPr>
                <w:sz w:val="16"/>
              </w:rPr>
              <w:t>7</w:t>
            </w:r>
          </w:p>
        </w:tc>
        <w:tc>
          <w:tcPr>
            <w:tcW w:type="dxa" w:w="3440"/>
          </w:tcPr>
          <w:p>
            <w:r/>
            <w:r>
              <w:rPr>
                <w:sz w:val="16"/>
              </w:rPr>
              <w:t>Safe tooling</w:t>
            </w:r>
          </w:p>
        </w:tc>
        <w:tc>
          <w:tcPr>
            <w:tcW w:type="dxa" w:w="3440"/>
          </w:tcPr>
          <w:p>
            <w:r/>
            <w:r>
              <w:rPr>
                <w:sz w:val="16"/>
              </w:rPr>
              <w:t>Bounded, safety-gated simulators</w:t>
            </w:r>
          </w:p>
        </w:tc>
      </w:tr>
      <w:tr>
        <w:tc>
          <w:tcPr>
            <w:tcW w:type="dxa" w:w="3440"/>
          </w:tcPr>
          <w:p>
            <w:r/>
            <w:r>
              <w:rPr>
                <w:sz w:val="16"/>
              </w:rPr>
              <w:t>8</w:t>
            </w:r>
          </w:p>
        </w:tc>
        <w:tc>
          <w:tcPr>
            <w:tcW w:type="dxa" w:w="3440"/>
          </w:tcPr>
          <w:p>
            <w:r/>
            <w:r>
              <w:rPr>
                <w:sz w:val="16"/>
              </w:rPr>
              <w:t>Security</w:t>
            </w:r>
          </w:p>
        </w:tc>
        <w:tc>
          <w:tcPr>
            <w:tcW w:type="dxa" w:w="3440"/>
          </w:tcPr>
          <w:p>
            <w:r/>
            <w:r>
              <w:rPr>
                <w:sz w:val="16"/>
              </w:rPr>
              <w:t>Threat model + enforced controls</w:t>
            </w:r>
          </w:p>
        </w:tc>
      </w:tr>
    </w:tbl>
    <w:p>
      <w:pPr>
        <w:spacing w:after="120"/>
        <w:jc w:val="center"/>
      </w:pPr>
      <w:r>
        <w:rPr>
          <w:i/>
          <w:sz w:val="16"/>
        </w:rPr>
        <w:t>TABLE I. Platform capabilities at a glance.</w:t>
      </w:r>
    </w:p>
    <w:p>
      <w:pPr>
        <w:spacing w:after="0"/>
      </w:pPr>
    </w:p>
    <w:p>
      <w:pPr>
        <w:spacing w:before="160" w:after="80"/>
        <w:jc w:val="left"/>
      </w:pPr>
      <w:r>
        <w:rPr>
          <w:b/>
          <w:sz w:val="20"/>
        </w:rPr>
        <w:t>II. BACKGROUND</w:t>
      </w:r>
    </w:p>
    <w:p>
      <w:pPr>
        <w:spacing w:before="80" w:after="40"/>
      </w:pPr>
      <w:r>
        <w:rPr>
          <w:i/>
          <w:sz w:val="20"/>
        </w:rPr>
        <w:t>A. Smart-home networks and their risks</w:t>
      </w:r>
    </w:p>
    <w:p>
      <w:pPr>
        <w:spacing w:after="120" w:before="0"/>
        <w:jc w:val="both"/>
      </w:pPr>
      <w:r>
        <w:rPr>
          <w:rFonts w:ascii="Times New Roman" w:hAnsi="Times New Roman"/>
          <w:b w:val="0"/>
          <w:i w:val="0"/>
          <w:sz w:val="20"/>
        </w:rPr>
        <w:t>A smart home links appliances and sensors to a hub/router, controlled through a web or mobile interface. Representative risks include data and identity theft from unprotected devices, eavesdropping on device traffic, and (distributed) denial-of-service amplified by the number of weakly-protected IoT devices available for recruitment.</w:t>
      </w:r>
    </w:p>
    <w:p>
      <w:pPr>
        <w:spacing w:before="80" w:after="40"/>
      </w:pPr>
      <w:r>
        <w:rPr>
          <w:i/>
          <w:sz w:val="20"/>
        </w:rPr>
        <w:t>B. Honeypots</w:t>
      </w:r>
    </w:p>
    <w:p>
      <w:pPr>
        <w:spacing w:after="120" w:before="0"/>
        <w:jc w:val="both"/>
      </w:pPr>
      <w:r>
        <w:rPr>
          <w:rFonts w:ascii="Times New Roman" w:hAnsi="Times New Roman"/>
          <w:b w:val="0"/>
          <w:i w:val="0"/>
          <w:sz w:val="20"/>
        </w:rPr>
        <w:t>A honeypot is an intentionally exposed, instrumented system whose only purpose is to be attacked. Low-interaction honeypots (used here) emulate just enough of a service to capture intent while never executing attacker input—a deliberate safety property. High-interaction honeypots expose real systems for richer data at much higher risk.</w:t>
      </w:r>
    </w:p>
    <w:p>
      <w:pPr>
        <w:spacing w:before="80" w:after="40"/>
      </w:pPr>
      <w:r>
        <w:rPr>
          <w:i/>
          <w:sz w:val="20"/>
        </w:rPr>
        <w:t>C. Intrusion Detection Systems</w:t>
      </w:r>
    </w:p>
    <w:p>
      <w:pPr>
        <w:spacing w:after="120" w:before="0"/>
        <w:jc w:val="both"/>
      </w:pPr>
      <w:r>
        <w:rPr>
          <w:rFonts w:ascii="Times New Roman" w:hAnsi="Times New Roman"/>
          <w:b w:val="0"/>
          <w:i w:val="0"/>
          <w:sz w:val="20"/>
        </w:rPr>
        <w:t>Signature-based detection matches known-bad patterns—precise for known threats but blind to novel ones. Anomaly-based detection models normal behaviour and flags deviations—able to catch new attacks at the cost of more false positives. SmartHoneyNet combines both.</w:t>
      </w:r>
    </w:p>
    <w:p>
      <w:pPr>
        <w:spacing w:before="80" w:after="40"/>
      </w:pPr>
      <w:r>
        <w:rPr>
          <w:i/>
          <w:sz w:val="20"/>
        </w:rPr>
        <w:t>D. The ELK stack and IoT botnets</w:t>
      </w:r>
    </w:p>
    <w:p>
      <w:pPr>
        <w:spacing w:after="120" w:before="0"/>
        <w:jc w:val="both"/>
      </w:pPr>
      <w:r>
        <w:rPr>
          <w:rFonts w:ascii="Times New Roman" w:hAnsi="Times New Roman"/>
          <w:b w:val="0"/>
          <w:i w:val="0"/>
          <w:sz w:val="20"/>
        </w:rPr>
        <w:t xml:space="preserve">Elasticsearch stores and indexes events; Logstash ingests and enriches; Kibana visualises. Mirai and its descendants scan for open telnet (TCP 23) and try factory-default credentials such as </w:t>
      </w:r>
      <w:r>
        <w:rPr>
          <w:rFonts w:ascii="Consolas" w:hAnsi="Consolas"/>
          <w:b w:val="0"/>
          <w:i w:val="0"/>
          <w:sz w:val="20"/>
        </w:rPr>
        <w:t>root:xc3511</w:t>
      </w:r>
      <w:r>
        <w:rPr>
          <w:rFonts w:ascii="Times New Roman" w:hAnsi="Times New Roman"/>
          <w:b w:val="0"/>
          <w:i w:val="0"/>
          <w:sz w:val="20"/>
        </w:rPr>
        <w:t xml:space="preserve"> and </w:t>
      </w:r>
      <w:r>
        <w:rPr>
          <w:rFonts w:ascii="Consolas" w:hAnsi="Consolas"/>
          <w:b w:val="0"/>
          <w:i w:val="0"/>
          <w:sz w:val="20"/>
        </w:rPr>
        <w:t>admin:admin</w:t>
      </w:r>
      <w:r>
        <w:rPr>
          <w:rFonts w:ascii="Times New Roman" w:hAnsi="Times New Roman"/>
          <w:b w:val="0"/>
          <w:i w:val="0"/>
          <w:sz w:val="20"/>
        </w:rPr>
        <w:t>—the behaviour that motivates an accurate telnet honeypot and a default-credential signature.</w:t>
      </w:r>
    </w:p>
    <w:p>
      <w:pPr>
        <w:spacing w:before="160" w:after="80"/>
        <w:jc w:val="left"/>
      </w:pPr>
      <w:r>
        <w:rPr>
          <w:b/>
          <w:sz w:val="20"/>
        </w:rPr>
        <w:t>III. RELATED WORK</w:t>
      </w:r>
    </w:p>
    <w:p>
      <w:pPr>
        <w:spacing w:after="120" w:before="0"/>
        <w:jc w:val="both"/>
      </w:pPr>
      <w:r>
        <w:rPr>
          <w:rFonts w:ascii="Times New Roman" w:hAnsi="Times New Roman"/>
          <w:b w:val="0"/>
          <w:i w:val="0"/>
          <w:sz w:val="20"/>
        </w:rPr>
        <w:t>Five prior studies frame this work; each leaves a gap this project addresses.</w:t>
      </w:r>
    </w:p>
    <w:tbl>
      <w:tblPr>
        <w:tblStyle w:val="TableGrid"/>
        <w:tblW w:type="auto" w:w="0"/>
        <w:jc w:val="center"/>
        <w:tblLook w:firstColumn="1" w:firstRow="1" w:lastColumn="0" w:lastRow="0" w:noHBand="0" w:noVBand="1" w:val="04A0"/>
      </w:tblPr>
      <w:tblGrid>
        <w:gridCol w:w="2580"/>
        <w:gridCol w:w="2580"/>
        <w:gridCol w:w="2580"/>
        <w:gridCol w:w="2580"/>
      </w:tblGrid>
      <w:tr>
        <w:tc>
          <w:tcPr>
            <w:tcW w:type="dxa" w:w="2580"/>
          </w:tcPr>
          <w:p>
            <w:pPr>
              <w:jc w:val="center"/>
            </w:pPr>
            <w:r/>
            <w:r>
              <w:rPr>
                <w:b/>
                <w:sz w:val="16"/>
              </w:rPr>
              <w:t>Ref</w:t>
            </w:r>
          </w:p>
        </w:tc>
        <w:tc>
          <w:tcPr>
            <w:tcW w:type="dxa" w:w="2580"/>
          </w:tcPr>
          <w:p>
            <w:pPr>
              <w:jc w:val="center"/>
            </w:pPr>
            <w:r/>
            <w:r>
              <w:rPr>
                <w:b/>
                <w:sz w:val="16"/>
              </w:rPr>
              <w:t>Yr</w:t>
            </w:r>
          </w:p>
        </w:tc>
        <w:tc>
          <w:tcPr>
            <w:tcW w:type="dxa" w:w="2580"/>
          </w:tcPr>
          <w:p>
            <w:pPr>
              <w:jc w:val="center"/>
            </w:pPr>
            <w:r/>
            <w:r>
              <w:rPr>
                <w:b/>
                <w:sz w:val="16"/>
              </w:rPr>
              <w:t>Approach</w:t>
            </w:r>
          </w:p>
        </w:tc>
        <w:tc>
          <w:tcPr>
            <w:tcW w:type="dxa" w:w="2580"/>
          </w:tcPr>
          <w:p>
            <w:pPr>
              <w:jc w:val="center"/>
            </w:pPr>
            <w:r/>
            <w:r>
              <w:rPr>
                <w:b/>
                <w:sz w:val="16"/>
              </w:rPr>
              <w:t>Limitation</w:t>
            </w:r>
          </w:p>
        </w:tc>
      </w:tr>
      <w:tr>
        <w:tc>
          <w:tcPr>
            <w:tcW w:type="dxa" w:w="2580"/>
          </w:tcPr>
          <w:p>
            <w:r/>
            <w:r>
              <w:rPr>
                <w:sz w:val="16"/>
              </w:rPr>
              <w:t>[10]</w:t>
            </w:r>
          </w:p>
        </w:tc>
        <w:tc>
          <w:tcPr>
            <w:tcW w:type="dxa" w:w="2580"/>
          </w:tcPr>
          <w:p>
            <w:r/>
            <w:r>
              <w:rPr>
                <w:sz w:val="16"/>
              </w:rPr>
              <w:t>2021</w:t>
            </w:r>
          </w:p>
        </w:tc>
        <w:tc>
          <w:tcPr>
            <w:tcW w:type="dxa" w:w="2580"/>
          </w:tcPr>
          <w:p>
            <w:r/>
            <w:r>
              <w:rPr>
                <w:sz w:val="16"/>
              </w:rPr>
              <w:t>ML attack classification on IoT (Bot-IoT)</w:t>
            </w:r>
          </w:p>
        </w:tc>
        <w:tc>
          <w:tcPr>
            <w:tcW w:type="dxa" w:w="2580"/>
          </w:tcPr>
          <w:p>
            <w:r/>
            <w:r>
              <w:rPr>
                <w:sz w:val="16"/>
              </w:rPr>
              <w:t>No real-time/streaming eval</w:t>
            </w:r>
          </w:p>
        </w:tc>
      </w:tr>
      <w:tr>
        <w:tc>
          <w:tcPr>
            <w:tcW w:type="dxa" w:w="2580"/>
          </w:tcPr>
          <w:p>
            <w:r/>
            <w:r>
              <w:rPr>
                <w:sz w:val="16"/>
              </w:rPr>
              <w:t>[11]</w:t>
            </w:r>
          </w:p>
        </w:tc>
        <w:tc>
          <w:tcPr>
            <w:tcW w:type="dxa" w:w="2580"/>
          </w:tcPr>
          <w:p>
            <w:r/>
            <w:r>
              <w:rPr>
                <w:sz w:val="16"/>
              </w:rPr>
              <w:t>2021</w:t>
            </w:r>
          </w:p>
        </w:tc>
        <w:tc>
          <w:tcPr>
            <w:tcW w:type="dxa" w:w="2580"/>
          </w:tcPr>
          <w:p>
            <w:r/>
            <w:r>
              <w:rPr>
                <w:sz w:val="16"/>
              </w:rPr>
              <w:t>Threat hunting with Elastic stack</w:t>
            </w:r>
          </w:p>
        </w:tc>
        <w:tc>
          <w:tcPr>
            <w:tcW w:type="dxa" w:w="2580"/>
          </w:tcPr>
          <w:p>
            <w:r/>
            <w:r>
              <w:rPr>
                <w:sz w:val="16"/>
              </w:rPr>
              <w:t>Needs human input + controls</w:t>
            </w:r>
          </w:p>
        </w:tc>
      </w:tr>
      <w:tr>
        <w:tc>
          <w:tcPr>
            <w:tcW w:type="dxa" w:w="2580"/>
          </w:tcPr>
          <w:p>
            <w:r/>
            <w:r>
              <w:rPr>
                <w:sz w:val="16"/>
              </w:rPr>
              <w:t>[12]</w:t>
            </w:r>
          </w:p>
        </w:tc>
        <w:tc>
          <w:tcPr>
            <w:tcW w:type="dxa" w:w="2580"/>
          </w:tcPr>
          <w:p>
            <w:r/>
            <w:r>
              <w:rPr>
                <w:sz w:val="16"/>
              </w:rPr>
              <w:t>2021</w:t>
            </w:r>
          </w:p>
        </w:tc>
        <w:tc>
          <w:tcPr>
            <w:tcW w:type="dxa" w:w="2580"/>
          </w:tcPr>
          <w:p>
            <w:r/>
            <w:r>
              <w:rPr>
                <w:sz w:val="16"/>
              </w:rPr>
              <w:t>Honeynet + flow classification</w:t>
            </w:r>
          </w:p>
        </w:tc>
        <w:tc>
          <w:tcPr>
            <w:tcW w:type="dxa" w:w="2580"/>
          </w:tcPr>
          <w:p>
            <w:r/>
            <w:r>
              <w:rPr>
                <w:sz w:val="16"/>
              </w:rPr>
              <w:t>Limited algorithm comparison</w:t>
            </w:r>
          </w:p>
        </w:tc>
      </w:tr>
      <w:tr>
        <w:tc>
          <w:tcPr>
            <w:tcW w:type="dxa" w:w="2580"/>
          </w:tcPr>
          <w:p>
            <w:r/>
            <w:r>
              <w:rPr>
                <w:sz w:val="16"/>
              </w:rPr>
              <w:t>[13]</w:t>
            </w:r>
          </w:p>
        </w:tc>
        <w:tc>
          <w:tcPr>
            <w:tcW w:type="dxa" w:w="2580"/>
          </w:tcPr>
          <w:p>
            <w:r/>
            <w:r>
              <w:rPr>
                <w:sz w:val="16"/>
              </w:rPr>
              <w:t>2020</w:t>
            </w:r>
          </w:p>
        </w:tc>
        <w:tc>
          <w:tcPr>
            <w:tcW w:type="dxa" w:w="2580"/>
          </w:tcPr>
          <w:p>
            <w:r/>
            <w:r>
              <w:rPr>
                <w:sz w:val="16"/>
              </w:rPr>
              <w:t>IoT + Docker (Cowrie) honeypots</w:t>
            </w:r>
          </w:p>
        </w:tc>
        <w:tc>
          <w:tcPr>
            <w:tcW w:type="dxa" w:w="2580"/>
          </w:tcPr>
          <w:p>
            <w:r/>
            <w:r>
              <w:rPr>
                <w:sz w:val="16"/>
              </w:rPr>
              <w:t>Not all IoT attacks covered</w:t>
            </w:r>
          </w:p>
        </w:tc>
      </w:tr>
      <w:tr>
        <w:tc>
          <w:tcPr>
            <w:tcW w:type="dxa" w:w="2580"/>
          </w:tcPr>
          <w:p>
            <w:r/>
            <w:r>
              <w:rPr>
                <w:sz w:val="16"/>
              </w:rPr>
              <w:t>[14]</w:t>
            </w:r>
          </w:p>
        </w:tc>
        <w:tc>
          <w:tcPr>
            <w:tcW w:type="dxa" w:w="2580"/>
          </w:tcPr>
          <w:p>
            <w:r/>
            <w:r>
              <w:rPr>
                <w:sz w:val="16"/>
              </w:rPr>
              <w:t>2019</w:t>
            </w:r>
          </w:p>
        </w:tc>
        <w:tc>
          <w:tcPr>
            <w:tcW w:type="dxa" w:w="2580"/>
          </w:tcPr>
          <w:p>
            <w:r/>
            <w:r>
              <w:rPr>
                <w:sz w:val="16"/>
              </w:rPr>
              <w:t>Malicious-event detection, ELK+CTI</w:t>
            </w:r>
          </w:p>
        </w:tc>
        <w:tc>
          <w:tcPr>
            <w:tcW w:type="dxa" w:w="2580"/>
          </w:tcPr>
          <w:p>
            <w:r/>
            <w:r>
              <w:rPr>
                <w:sz w:val="16"/>
              </w:rPr>
              <w:t>False positives; manual cleanup</w:t>
            </w:r>
          </w:p>
        </w:tc>
      </w:tr>
    </w:tbl>
    <w:p>
      <w:pPr>
        <w:spacing w:after="120"/>
        <w:jc w:val="center"/>
      </w:pPr>
      <w:r>
        <w:rPr>
          <w:i/>
          <w:sz w:val="16"/>
        </w:rPr>
        <w:t>TABLE II. Comparative summary of related studies.</w:t>
      </w:r>
    </w:p>
    <w:p>
      <w:pPr>
        <w:spacing w:after="0"/>
      </w:pPr>
    </w:p>
    <w:p>
      <w:pPr>
        <w:spacing w:after="120" w:before="0"/>
        <w:jc w:val="both"/>
      </w:pPr>
      <w:r>
        <w:rPr>
          <w:rFonts w:ascii="Times New Roman" w:hAnsi="Times New Roman"/>
          <w:b/>
          <w:i w:val="0"/>
          <w:sz w:val="20"/>
        </w:rPr>
        <w:t>Difference from existing work.</w:t>
      </w:r>
      <w:r>
        <w:rPr>
          <w:rFonts w:ascii="Times New Roman" w:hAnsi="Times New Roman"/>
          <w:b w:val="0"/>
          <w:i w:val="0"/>
          <w:sz w:val="20"/>
        </w:rPr>
        <w:t xml:space="preserve"> SmartHoneyNet is distinguished by a hybrid detection engine, an explicit MITRE ATT&amp;CK classification of every alert, a fully reproducible and automatically tested implementation, and a quantitative evaluation with published precision/recall—addressing the “qualitative only” and “not reproducible” gaps common to the surveyed work.</w:t>
      </w:r>
    </w:p>
    <w:p>
      <w:pPr>
        <w:spacing w:before="160" w:after="80"/>
        <w:jc w:val="left"/>
      </w:pPr>
      <w:r>
        <w:rPr>
          <w:b/>
          <w:sz w:val="20"/>
        </w:rPr>
        <w:t>IV. THREAT MODEL</w:t>
      </w:r>
    </w:p>
    <w:p>
      <w:pPr>
        <w:spacing w:after="120" w:before="0"/>
        <w:jc w:val="both"/>
      </w:pPr>
      <w:r>
        <w:rPr>
          <w:rFonts w:ascii="Times New Roman" w:hAnsi="Times New Roman"/>
          <w:b/>
          <w:i w:val="0"/>
          <w:sz w:val="20"/>
        </w:rPr>
        <w:t>Assets:</w:t>
      </w:r>
      <w:r>
        <w:rPr>
          <w:rFonts w:ascii="Times New Roman" w:hAnsi="Times New Roman"/>
          <w:b w:val="0"/>
          <w:i w:val="0"/>
          <w:sz w:val="20"/>
        </w:rPr>
        <w:t xml:space="preserve"> device credentials, camera/sensor feeds, device compute and bandwidth, and the LAN foothold. </w:t>
      </w:r>
      <w:r>
        <w:rPr>
          <w:rFonts w:ascii="Times New Roman" w:hAnsi="Times New Roman"/>
          <w:b/>
          <w:i w:val="0"/>
          <w:sz w:val="20"/>
        </w:rPr>
        <w:t>Adversaries:</w:t>
      </w:r>
      <w:r>
        <w:rPr>
          <w:rFonts w:ascii="Times New Roman" w:hAnsi="Times New Roman"/>
          <w:b w:val="0"/>
          <w:i w:val="0"/>
          <w:sz w:val="20"/>
        </w:rPr>
        <w:t xml:space="preserve"> automated IoT botnets (Mirai-class), opportunistic internet-wide scanners, and manual attackers. </w:t>
      </w:r>
      <w:r>
        <w:rPr>
          <w:rFonts w:ascii="Times New Roman" w:hAnsi="Times New Roman"/>
          <w:b/>
          <w:i w:val="0"/>
          <w:sz w:val="20"/>
        </w:rPr>
        <w:t>Trust boundary:</w:t>
      </w:r>
      <w:r>
        <w:rPr>
          <w:rFonts w:ascii="Times New Roman" w:hAnsi="Times New Roman"/>
          <w:b w:val="0"/>
          <w:i w:val="0"/>
          <w:sz w:val="20"/>
        </w:rPr>
        <w:t xml:space="preserve"> the honeynet lives on an isolated segment that is untrusted inbound and has no egress; ELK management binds to localhost. Attacker goals are expressed directly as MITRE ATT&amp;CK techniques, each paired with the rule that detects it (Table III).</w:t>
      </w:r>
    </w:p>
    <w:p>
      <w:pPr>
        <w:spacing w:before="160" w:after="80"/>
        <w:jc w:val="left"/>
      </w:pPr>
      <w:r>
        <w:rPr>
          <w:b/>
          <w:sz w:val="20"/>
        </w:rPr>
        <w:t>V. METHODOLOGY</w:t>
      </w:r>
    </w:p>
    <w:p>
      <w:pPr>
        <w:spacing w:after="120" w:before="0"/>
        <w:jc w:val="both"/>
      </w:pPr>
      <w:r>
        <w:rPr>
          <w:rFonts w:ascii="Times New Roman" w:hAnsi="Times New Roman"/>
          <w:b w:val="0"/>
          <w:i w:val="0"/>
          <w:sz w:val="20"/>
        </w:rPr>
        <w:t>The platform follows a three-stage flow, expressed as software: (1) attack generation—by real attackers or the safety-gated simulators; (2) detection and collection—honeypots capture each interaction as a structured event that the pipeline persists and runs through the IDS; (3) transformation and analysis—events and alerts are stored in SQLite and shipped through Logstash into Elasticsearch for Kibana, with an analyzer producing Markdown/JSON reports.</w:t>
      </w:r>
    </w:p>
    <w:p>
      <w:pPr>
        <w:spacing w:before="160" w:after="80"/>
        <w:jc w:val="left"/>
      </w:pPr>
      <w:r>
        <w:rPr>
          <w:b/>
          <w:sz w:val="20"/>
        </w:rPr>
        <w:t>VI. SYSTEM DESIGN</w:t>
      </w:r>
    </w:p>
    <w:p>
      <w:pPr>
        <w:spacing w:before="80" w:after="40"/>
      </w:pPr>
      <w:r>
        <w:rPr>
          <w:i/>
          <w:sz w:val="20"/>
        </w:rPr>
        <w:t>A. Architecture</w:t>
      </w:r>
    </w:p>
    <w:p>
      <w:pPr>
        <w:spacing w:after="120" w:before="0"/>
        <w:jc w:val="both"/>
      </w:pPr>
      <w:r>
        <w:rPr>
          <w:rFonts w:ascii="Times New Roman" w:hAnsi="Times New Roman"/>
          <w:b w:val="0"/>
          <w:i w:val="0"/>
          <w:sz w:val="20"/>
        </w:rPr>
        <w:t>The platform is a pipeline of composable components that replace a traditional multi-VM lab with software: the attack simulators generate adversary traffic, the telnet and HTTP honeypots act as the sensors, and the detection engine (with an equivalent Suricata rule file) plus the ELK services perform detection and analysis.</w:t>
      </w:r>
    </w:p>
    <w:p>
      <w:pPr>
        <w:spacing w:before="80" w:after="40"/>
      </w:pPr>
      <w:r>
        <w:rPr>
          <w:i/>
          <w:sz w:val="20"/>
        </w:rPr>
        <w:t>B. Detection rules and ATT&amp;CK mapping</w:t>
      </w:r>
    </w:p>
    <w:tbl>
      <w:tblPr>
        <w:tblStyle w:val="TableGrid"/>
        <w:tblW w:type="auto" w:w="0"/>
        <w:jc w:val="center"/>
        <w:tblLook w:firstColumn="1" w:firstRow="1" w:lastColumn="0" w:lastRow="0" w:noHBand="0" w:noVBand="1" w:val="04A0"/>
      </w:tblPr>
      <w:tblGrid>
        <w:gridCol w:w="2580"/>
        <w:gridCol w:w="2580"/>
        <w:gridCol w:w="2580"/>
        <w:gridCol w:w="2580"/>
      </w:tblGrid>
      <w:tr>
        <w:tc>
          <w:tcPr>
            <w:tcW w:type="dxa" w:w="2580"/>
          </w:tcPr>
          <w:p>
            <w:pPr>
              <w:jc w:val="center"/>
            </w:pPr>
            <w:r/>
            <w:r>
              <w:rPr>
                <w:b/>
                <w:sz w:val="16"/>
              </w:rPr>
              <w:t>Rule</w:t>
            </w:r>
          </w:p>
        </w:tc>
        <w:tc>
          <w:tcPr>
            <w:tcW w:type="dxa" w:w="2580"/>
          </w:tcPr>
          <w:p>
            <w:pPr>
              <w:jc w:val="center"/>
            </w:pPr>
            <w:r/>
            <w:r>
              <w:rPr>
                <w:b/>
                <w:sz w:val="16"/>
              </w:rPr>
              <w:t>Type</w:t>
            </w:r>
          </w:p>
        </w:tc>
        <w:tc>
          <w:tcPr>
            <w:tcW w:type="dxa" w:w="2580"/>
          </w:tcPr>
          <w:p>
            <w:pPr>
              <w:jc w:val="center"/>
            </w:pPr>
            <w:r/>
            <w:r>
              <w:rPr>
                <w:b/>
                <w:sz w:val="16"/>
              </w:rPr>
              <w:t>MITRE</w:t>
            </w:r>
          </w:p>
        </w:tc>
        <w:tc>
          <w:tcPr>
            <w:tcW w:type="dxa" w:w="2580"/>
          </w:tcPr>
          <w:p>
            <w:pPr>
              <w:jc w:val="center"/>
            </w:pPr>
            <w:r/>
            <w:r>
              <w:rPr>
                <w:b/>
                <w:sz w:val="16"/>
              </w:rPr>
              <w:t>Trigger</w:t>
            </w:r>
          </w:p>
        </w:tc>
      </w:tr>
      <w:tr>
        <w:tc>
          <w:tcPr>
            <w:tcW w:type="dxa" w:w="2580"/>
          </w:tcPr>
          <w:p>
            <w:r/>
            <w:r>
              <w:rPr>
                <w:sz w:val="16"/>
              </w:rPr>
              <w:t>IOT-DEFAULT-CREDS</w:t>
            </w:r>
          </w:p>
        </w:tc>
        <w:tc>
          <w:tcPr>
            <w:tcW w:type="dxa" w:w="2580"/>
          </w:tcPr>
          <w:p>
            <w:r/>
            <w:r>
              <w:rPr>
                <w:sz w:val="16"/>
              </w:rPr>
              <w:t>sig</w:t>
            </w:r>
          </w:p>
        </w:tc>
        <w:tc>
          <w:tcPr>
            <w:tcW w:type="dxa" w:w="2580"/>
          </w:tcPr>
          <w:p>
            <w:r/>
            <w:r>
              <w:rPr>
                <w:sz w:val="16"/>
              </w:rPr>
              <w:t>T1078.001</w:t>
            </w:r>
          </w:p>
        </w:tc>
        <w:tc>
          <w:tcPr>
            <w:tcW w:type="dxa" w:w="2580"/>
          </w:tcPr>
          <w:p>
            <w:r/>
            <w:r>
              <w:rPr>
                <w:sz w:val="16"/>
              </w:rPr>
              <w:t>Known IoT default credential pair</w:t>
            </w:r>
          </w:p>
        </w:tc>
      </w:tr>
      <w:tr>
        <w:tc>
          <w:tcPr>
            <w:tcW w:type="dxa" w:w="2580"/>
          </w:tcPr>
          <w:p>
            <w:r/>
            <w:r>
              <w:rPr>
                <w:sz w:val="16"/>
              </w:rPr>
              <w:t>TELNET-BRUTE-FORCE</w:t>
            </w:r>
          </w:p>
        </w:tc>
        <w:tc>
          <w:tcPr>
            <w:tcW w:type="dxa" w:w="2580"/>
          </w:tcPr>
          <w:p>
            <w:r/>
            <w:r>
              <w:rPr>
                <w:sz w:val="16"/>
              </w:rPr>
              <w:t>anomaly</w:t>
            </w:r>
          </w:p>
        </w:tc>
        <w:tc>
          <w:tcPr>
            <w:tcW w:type="dxa" w:w="2580"/>
          </w:tcPr>
          <w:p>
            <w:r/>
            <w:r>
              <w:rPr>
                <w:sz w:val="16"/>
              </w:rPr>
              <w:t>T1110.001</w:t>
            </w:r>
          </w:p>
        </w:tc>
        <w:tc>
          <w:tcPr>
            <w:tcW w:type="dxa" w:w="2580"/>
          </w:tcPr>
          <w:p>
            <w:r/>
            <w:r>
              <w:rPr>
                <w:sz w:val="16"/>
              </w:rPr>
              <w:t>≥5 failed logins / 60 s</w:t>
            </w:r>
          </w:p>
        </w:tc>
      </w:tr>
      <w:tr>
        <w:tc>
          <w:tcPr>
            <w:tcW w:type="dxa" w:w="2580"/>
          </w:tcPr>
          <w:p>
            <w:r/>
            <w:r>
              <w:rPr>
                <w:sz w:val="16"/>
              </w:rPr>
              <w:t>HTTP-DOS-FLOOD</w:t>
            </w:r>
          </w:p>
        </w:tc>
        <w:tc>
          <w:tcPr>
            <w:tcW w:type="dxa" w:w="2580"/>
          </w:tcPr>
          <w:p>
            <w:r/>
            <w:r>
              <w:rPr>
                <w:sz w:val="16"/>
              </w:rPr>
              <w:t>anomaly</w:t>
            </w:r>
          </w:p>
        </w:tc>
        <w:tc>
          <w:tcPr>
            <w:tcW w:type="dxa" w:w="2580"/>
          </w:tcPr>
          <w:p>
            <w:r/>
            <w:r>
              <w:rPr>
                <w:sz w:val="16"/>
              </w:rPr>
              <w:t>T1498</w:t>
            </w:r>
          </w:p>
        </w:tc>
        <w:tc>
          <w:tcPr>
            <w:tcW w:type="dxa" w:w="2580"/>
          </w:tcPr>
          <w:p>
            <w:r/>
            <w:r>
              <w:rPr>
                <w:sz w:val="16"/>
              </w:rPr>
              <w:t>≥50 requests / 10 s</w:t>
            </w:r>
          </w:p>
        </w:tc>
      </w:tr>
      <w:tr>
        <w:tc>
          <w:tcPr>
            <w:tcW w:type="dxa" w:w="2580"/>
          </w:tcPr>
          <w:p>
            <w:r/>
            <w:r>
              <w:rPr>
                <w:sz w:val="16"/>
              </w:rPr>
              <w:t>PORT-SCAN</w:t>
            </w:r>
          </w:p>
        </w:tc>
        <w:tc>
          <w:tcPr>
            <w:tcW w:type="dxa" w:w="2580"/>
          </w:tcPr>
          <w:p>
            <w:r/>
            <w:r>
              <w:rPr>
                <w:sz w:val="16"/>
              </w:rPr>
              <w:t>anomaly</w:t>
            </w:r>
          </w:p>
        </w:tc>
        <w:tc>
          <w:tcPr>
            <w:tcW w:type="dxa" w:w="2580"/>
          </w:tcPr>
          <w:p>
            <w:r/>
            <w:r>
              <w:rPr>
                <w:sz w:val="16"/>
              </w:rPr>
              <w:t>T1046</w:t>
            </w:r>
          </w:p>
        </w:tc>
        <w:tc>
          <w:tcPr>
            <w:tcW w:type="dxa" w:w="2580"/>
          </w:tcPr>
          <w:p>
            <w:r/>
            <w:r>
              <w:rPr>
                <w:sz w:val="16"/>
              </w:rPr>
              <w:t>≥8 distinct ports / 30 s</w:t>
            </w:r>
          </w:p>
        </w:tc>
      </w:tr>
      <w:tr>
        <w:tc>
          <w:tcPr>
            <w:tcW w:type="dxa" w:w="2580"/>
          </w:tcPr>
          <w:p>
            <w:r/>
            <w:r>
              <w:rPr>
                <w:sz w:val="16"/>
              </w:rPr>
              <w:t>SUSPICIOUS-HTTP-PATH</w:t>
            </w:r>
          </w:p>
        </w:tc>
        <w:tc>
          <w:tcPr>
            <w:tcW w:type="dxa" w:w="2580"/>
          </w:tcPr>
          <w:p>
            <w:r/>
            <w:r>
              <w:rPr>
                <w:sz w:val="16"/>
              </w:rPr>
              <w:t>sig</w:t>
            </w:r>
          </w:p>
        </w:tc>
        <w:tc>
          <w:tcPr>
            <w:tcW w:type="dxa" w:w="2580"/>
          </w:tcPr>
          <w:p>
            <w:r/>
            <w:r>
              <w:rPr>
                <w:sz w:val="16"/>
              </w:rPr>
              <w:t>T1595.002</w:t>
            </w:r>
          </w:p>
        </w:tc>
        <w:tc>
          <w:tcPr>
            <w:tcW w:type="dxa" w:w="2580"/>
          </w:tcPr>
          <w:p>
            <w:r/>
            <w:r>
              <w:rPr>
                <w:sz w:val="16"/>
              </w:rPr>
              <w:t>IoT exploit URL (boaform, HNAP1)</w:t>
            </w:r>
          </w:p>
        </w:tc>
      </w:tr>
      <w:tr>
        <w:tc>
          <w:tcPr>
            <w:tcW w:type="dxa" w:w="2580"/>
          </w:tcPr>
          <w:p>
            <w:r/>
            <w:r>
              <w:rPr>
                <w:sz w:val="16"/>
              </w:rPr>
              <w:t>CMD-INJECTION</w:t>
            </w:r>
          </w:p>
        </w:tc>
        <w:tc>
          <w:tcPr>
            <w:tcW w:type="dxa" w:w="2580"/>
          </w:tcPr>
          <w:p>
            <w:r/>
            <w:r>
              <w:rPr>
                <w:sz w:val="16"/>
              </w:rPr>
              <w:t>sig</w:t>
            </w:r>
          </w:p>
        </w:tc>
        <w:tc>
          <w:tcPr>
            <w:tcW w:type="dxa" w:w="2580"/>
          </w:tcPr>
          <w:p>
            <w:r/>
            <w:r>
              <w:rPr>
                <w:sz w:val="16"/>
              </w:rPr>
              <w:t>T1059</w:t>
            </w:r>
          </w:p>
        </w:tc>
        <w:tc>
          <w:tcPr>
            <w:tcW w:type="dxa" w:w="2580"/>
          </w:tcPr>
          <w:p>
            <w:r/>
            <w:r>
              <w:rPr>
                <w:sz w:val="16"/>
              </w:rPr>
              <w:t>Shell payload (;wget, busybox)</w:t>
            </w:r>
          </w:p>
        </w:tc>
      </w:tr>
    </w:tbl>
    <w:p>
      <w:pPr>
        <w:spacing w:after="120"/>
        <w:jc w:val="center"/>
      </w:pPr>
      <w:r>
        <w:rPr>
          <w:i/>
          <w:sz w:val="16"/>
        </w:rPr>
        <w:t>TABLE III. Detection rules mapped to MITRE ATT&amp;CK.</w:t>
      </w:r>
    </w:p>
    <w:p>
      <w:pPr>
        <w:spacing w:after="0"/>
      </w:pPr>
    </w:p>
    <w:p>
      <w:pPr>
        <w:spacing w:after="120" w:before="0"/>
        <w:jc w:val="both"/>
      </w:pPr>
      <w:r>
        <w:rPr>
          <w:rFonts w:ascii="Times New Roman" w:hAnsi="Times New Roman"/>
          <w:b w:val="0"/>
          <w:i w:val="0"/>
          <w:sz w:val="20"/>
        </w:rPr>
        <w:t>A per-(source, rule) cooldown collapses a sustained campaign into a single actionable alert instead of thousands of duplicates.</w:t>
      </w:r>
    </w:p>
    <w:p>
      <w:pPr>
        <w:spacing w:before="80" w:after="40"/>
      </w:pPr>
      <w:r>
        <w:rPr>
          <w:i/>
          <w:sz w:val="20"/>
        </w:rPr>
        <w:t>C. Data model and storage</w:t>
      </w:r>
    </w:p>
    <w:p>
      <w:pPr>
        <w:spacing w:after="120" w:before="0"/>
        <w:jc w:val="both"/>
      </w:pPr>
      <w:r>
        <w:rPr>
          <w:rFonts w:ascii="Times New Roman" w:hAnsi="Times New Roman"/>
          <w:b w:val="0"/>
          <w:i w:val="0"/>
          <w:sz w:val="20"/>
        </w:rPr>
        <w:t>Two records flow through the system—Event (an observation) and Alert (a detection). They serialise identically to a SQLite row and to the JSON Elasticsearch indexes, keeping the offline and ELK paths consistent. SQLite is the local system of record; Elasticsearch provides the same at scale with Kibana dashboards.</w:t>
      </w:r>
    </w:p>
    <w:p>
      <w:pPr>
        <w:spacing w:before="160" w:after="80"/>
        <w:jc w:val="left"/>
      </w:pPr>
      <w:r>
        <w:rPr>
          <w:b/>
          <w:sz w:val="20"/>
        </w:rPr>
        <w:t>VII. IMPLEMENTATION</w:t>
      </w:r>
    </w:p>
    <w:p>
      <w:pPr>
        <w:spacing w:after="120" w:before="0"/>
        <w:jc w:val="both"/>
      </w:pPr>
      <w:r>
        <w:rPr>
          <w:rFonts w:ascii="Times New Roman" w:hAnsi="Times New Roman"/>
          <w:b w:val="0"/>
          <w:i w:val="0"/>
          <w:sz w:val="20"/>
        </w:rPr>
        <w:t>The core is implemented in Python using only the standard library (PyYAML optional), making it portable, auditable and easy to test.</w:t>
      </w:r>
    </w:p>
    <w:p>
      <w:pPr>
        <w:pStyle w:val="ListBullet"/>
        <w:spacing w:after="40"/>
      </w:pPr>
      <w:r>
        <w:rPr>
          <w:rFonts w:ascii="Times New Roman" w:hAnsi="Times New Roman"/>
          <w:b/>
          <w:i w:val="0"/>
          <w:sz w:val="20"/>
        </w:rPr>
        <w:t>Telnet honeypot</w:t>
      </w:r>
      <w:r>
        <w:rPr>
          <w:rFonts w:ascii="Times New Roman" w:hAnsi="Times New Roman"/>
          <w:b w:val="0"/>
          <w:i w:val="0"/>
          <w:sz w:val="20"/>
        </w:rPr>
        <w:t>—a threaded server presenting a BusyBox banner and login prompts; records credential pairs, “accepts” weak credentials to lure the attacker into a fake shell, and logs typed commands. Nothing is ever executed.</w:t>
      </w:r>
    </w:p>
    <w:p>
      <w:pPr>
        <w:pStyle w:val="ListBullet"/>
        <w:spacing w:after="40"/>
      </w:pPr>
      <w:r>
        <w:rPr>
          <w:rFonts w:ascii="Times New Roman" w:hAnsi="Times New Roman"/>
          <w:b/>
          <w:i w:val="0"/>
          <w:sz w:val="20"/>
        </w:rPr>
        <w:t>HTTP honeypot</w:t>
      </w:r>
      <w:r>
        <w:rPr>
          <w:rFonts w:ascii="Times New Roman" w:hAnsi="Times New Roman"/>
          <w:b w:val="0"/>
          <w:i w:val="0"/>
          <w:sz w:val="20"/>
        </w:rPr>
        <w:t>—emulates a “SmartHome Hub 2.4” admin panel; records method, path, user-agent and POSTed credentials, caps body size and returns static HTML.</w:t>
      </w:r>
    </w:p>
    <w:p>
      <w:pPr>
        <w:pStyle w:val="ListBullet"/>
        <w:spacing w:after="40"/>
      </w:pPr>
      <w:r>
        <w:rPr>
          <w:rFonts w:ascii="Times New Roman" w:hAnsi="Times New Roman"/>
          <w:b/>
          <w:i w:val="0"/>
          <w:sz w:val="20"/>
        </w:rPr>
        <w:t>Detection engine</w:t>
      </w:r>
      <w:r>
        <w:rPr>
          <w:rFonts w:ascii="Times New Roman" w:hAnsi="Times New Roman"/>
          <w:b w:val="0"/>
          <w:i w:val="0"/>
          <w:sz w:val="20"/>
        </w:rPr>
        <w:t>—per-source sliding-window deques for rate rules and compiled regex sets for signatures; thread-safe and stream-oriented.</w:t>
      </w:r>
    </w:p>
    <w:p>
      <w:pPr>
        <w:pStyle w:val="ListBullet"/>
        <w:spacing w:after="40"/>
      </w:pPr>
      <w:r>
        <w:rPr>
          <w:rFonts w:ascii="Times New Roman" w:hAnsi="Times New Roman"/>
          <w:b/>
          <w:i w:val="0"/>
          <w:sz w:val="20"/>
        </w:rPr>
        <w:t>Attack simulators</w:t>
      </w:r>
      <w:r>
        <w:rPr>
          <w:rFonts w:ascii="Times New Roman" w:hAnsi="Times New Roman"/>
          <w:b w:val="0"/>
          <w:i w:val="0"/>
          <w:sz w:val="20"/>
        </w:rPr>
        <w:t>—port scan, brute-force and a bounded, safety-gated HTTP flood, each checked by the safety module before any packet is sent.</w:t>
      </w:r>
    </w:p>
    <w:p>
      <w:pPr>
        <w:spacing w:after="120" w:before="0"/>
        <w:jc w:val="both"/>
      </w:pPr>
      <w:r>
        <w:rPr>
          <w:rFonts w:ascii="Consolas" w:hAnsi="Consolas"/>
          <w:b w:val="0"/>
          <w:i w:val="0"/>
          <w:sz w:val="20"/>
        </w:rPr>
        <w:t>docker compose up -d --build</w:t>
      </w:r>
      <w:r>
        <w:rPr>
          <w:rFonts w:ascii="Times New Roman" w:hAnsi="Times New Roman"/>
          <w:b w:val="0"/>
          <w:i w:val="0"/>
          <w:sz w:val="20"/>
        </w:rPr>
        <w:t xml:space="preserve"> starts the honeypots plus Elasticsearch, Logstash and Kibana on an isolated bridge network; a saved-objects file provisions the dashboards. A Suricata rule set mirrors the engine for network-layer detection.</w:t>
      </w:r>
    </w:p>
    <w:p>
      <w:pPr>
        <w:spacing w:before="160" w:after="80"/>
        <w:jc w:val="left"/>
      </w:pPr>
      <w:r>
        <w:rPr>
          <w:b/>
          <w:sz w:val="20"/>
        </w:rPr>
        <w:t>VIII. EXPERIMENTS AND EVALUATION</w:t>
      </w:r>
    </w:p>
    <w:p>
      <w:pPr>
        <w:spacing w:before="80" w:after="40"/>
      </w:pPr>
      <w:r>
        <w:rPr>
          <w:i/>
          <w:sz w:val="20"/>
        </w:rPr>
        <w:t>A. End-to-end demonstration</w:t>
      </w:r>
    </w:p>
    <w:p>
      <w:pPr>
        <w:spacing w:after="120" w:before="0"/>
        <w:jc w:val="both"/>
      </w:pPr>
      <w:r>
        <w:rPr>
          <w:rFonts w:ascii="Times New Roman" w:hAnsi="Times New Roman"/>
          <w:b w:val="0"/>
          <w:i w:val="0"/>
          <w:sz w:val="20"/>
        </w:rPr>
        <w:t>The demo command starts both honeypots on ephemeral ports and launches a port scan, a telnet brute-force, an HTTP flood and web-exploitation probes against them. A representative run captured ~196 events and raised alerts in all five exercised categories—covering six attack types end to end, as a single reproducible command.</w:t>
      </w:r>
    </w:p>
    <w:p>
      <w:pPr>
        <w:spacing w:before="80" w:after="40"/>
      </w:pPr>
      <w:r>
        <w:rPr>
          <w:i/>
          <w:sz w:val="20"/>
        </w:rPr>
        <w:t>B. Quantitative detection evaluation</w:t>
      </w:r>
    </w:p>
    <w:p>
      <w:pPr>
        <w:spacing w:after="120" w:before="0"/>
        <w:jc w:val="both"/>
      </w:pPr>
      <w:r>
        <w:rPr>
          <w:rFonts w:ascii="Times New Roman" w:hAnsi="Times New Roman"/>
          <w:b w:val="0"/>
          <w:i w:val="0"/>
          <w:sz w:val="20"/>
        </w:rPr>
        <w:t>A labelled event stream (94 events) interleaves benign, human-paced traffic with four attack campaigns from distinct sources with known ground-truth categories. Metrics are computed at source-campaign granularity, matching how the rate rules fire.</w:t>
      </w:r>
    </w:p>
    <w:tbl>
      <w:tblPr>
        <w:tblStyle w:val="TableGrid"/>
        <w:tblW w:type="auto" w:w="0"/>
        <w:jc w:val="center"/>
        <w:tblLook w:firstColumn="1" w:firstRow="1" w:lastColumn="0" w:lastRow="0" w:noHBand="0" w:noVBand="1" w:val="04A0"/>
      </w:tblPr>
      <w:tblGrid>
        <w:gridCol w:w="2580"/>
        <w:gridCol w:w="2580"/>
        <w:gridCol w:w="2580"/>
        <w:gridCol w:w="2580"/>
      </w:tblGrid>
      <w:tr>
        <w:tc>
          <w:tcPr>
            <w:tcW w:type="dxa" w:w="2580"/>
          </w:tcPr>
          <w:p>
            <w:pPr>
              <w:jc w:val="center"/>
            </w:pPr>
            <w:r/>
            <w:r>
              <w:rPr>
                <w:b/>
                <w:sz w:val="16"/>
              </w:rPr>
              <w:t>Category</w:t>
            </w:r>
          </w:p>
        </w:tc>
        <w:tc>
          <w:tcPr>
            <w:tcW w:type="dxa" w:w="2580"/>
          </w:tcPr>
          <w:p>
            <w:pPr>
              <w:jc w:val="center"/>
            </w:pPr>
            <w:r/>
            <w:r>
              <w:rPr>
                <w:b/>
                <w:sz w:val="16"/>
              </w:rPr>
              <w:t>P</w:t>
            </w:r>
          </w:p>
        </w:tc>
        <w:tc>
          <w:tcPr>
            <w:tcW w:type="dxa" w:w="2580"/>
          </w:tcPr>
          <w:p>
            <w:pPr>
              <w:jc w:val="center"/>
            </w:pPr>
            <w:r/>
            <w:r>
              <w:rPr>
                <w:b/>
                <w:sz w:val="16"/>
              </w:rPr>
              <w:t>R</w:t>
            </w:r>
          </w:p>
        </w:tc>
        <w:tc>
          <w:tcPr>
            <w:tcW w:type="dxa" w:w="2580"/>
          </w:tcPr>
          <w:p>
            <w:pPr>
              <w:jc w:val="center"/>
            </w:pPr>
            <w:r/>
            <w:r>
              <w:rPr>
                <w:b/>
                <w:sz w:val="16"/>
              </w:rPr>
              <w:t>F1</w:t>
            </w:r>
          </w:p>
        </w:tc>
      </w:tr>
      <w:tr>
        <w:tc>
          <w:tcPr>
            <w:tcW w:type="dxa" w:w="2580"/>
          </w:tcPr>
          <w:p>
            <w:r/>
            <w:r>
              <w:rPr>
                <w:sz w:val="16"/>
              </w:rPr>
              <w:t>default-credentials</w:t>
            </w:r>
          </w:p>
        </w:tc>
        <w:tc>
          <w:tcPr>
            <w:tcW w:type="dxa" w:w="2580"/>
          </w:tcPr>
          <w:p>
            <w:r/>
            <w:r>
              <w:rPr>
                <w:sz w:val="16"/>
              </w:rPr>
              <w:t>1.00</w:t>
            </w:r>
          </w:p>
        </w:tc>
        <w:tc>
          <w:tcPr>
            <w:tcW w:type="dxa" w:w="2580"/>
          </w:tcPr>
          <w:p>
            <w:r/>
            <w:r>
              <w:rPr>
                <w:sz w:val="16"/>
              </w:rPr>
              <w:t>1.00</w:t>
            </w:r>
          </w:p>
        </w:tc>
        <w:tc>
          <w:tcPr>
            <w:tcW w:type="dxa" w:w="2580"/>
          </w:tcPr>
          <w:p>
            <w:r/>
            <w:r>
              <w:rPr>
                <w:sz w:val="16"/>
              </w:rPr>
              <w:t>1.00</w:t>
            </w:r>
          </w:p>
        </w:tc>
      </w:tr>
      <w:tr>
        <w:tc>
          <w:tcPr>
            <w:tcW w:type="dxa" w:w="2580"/>
          </w:tcPr>
          <w:p>
            <w:r/>
            <w:r>
              <w:rPr>
                <w:sz w:val="16"/>
              </w:rPr>
              <w:t>brute-force</w:t>
            </w:r>
          </w:p>
        </w:tc>
        <w:tc>
          <w:tcPr>
            <w:tcW w:type="dxa" w:w="2580"/>
          </w:tcPr>
          <w:p>
            <w:r/>
            <w:r>
              <w:rPr>
                <w:sz w:val="16"/>
              </w:rPr>
              <w:t>1.00</w:t>
            </w:r>
          </w:p>
        </w:tc>
        <w:tc>
          <w:tcPr>
            <w:tcW w:type="dxa" w:w="2580"/>
          </w:tcPr>
          <w:p>
            <w:r/>
            <w:r>
              <w:rPr>
                <w:sz w:val="16"/>
              </w:rPr>
              <w:t>1.00</w:t>
            </w:r>
          </w:p>
        </w:tc>
        <w:tc>
          <w:tcPr>
            <w:tcW w:type="dxa" w:w="2580"/>
          </w:tcPr>
          <w:p>
            <w:r/>
            <w:r>
              <w:rPr>
                <w:sz w:val="16"/>
              </w:rPr>
              <w:t>1.00</w:t>
            </w:r>
          </w:p>
        </w:tc>
      </w:tr>
      <w:tr>
        <w:tc>
          <w:tcPr>
            <w:tcW w:type="dxa" w:w="2580"/>
          </w:tcPr>
          <w:p>
            <w:r/>
            <w:r>
              <w:rPr>
                <w:sz w:val="16"/>
              </w:rPr>
              <w:t>denial-of-service</w:t>
            </w:r>
          </w:p>
        </w:tc>
        <w:tc>
          <w:tcPr>
            <w:tcW w:type="dxa" w:w="2580"/>
          </w:tcPr>
          <w:p>
            <w:r/>
            <w:r>
              <w:rPr>
                <w:sz w:val="16"/>
              </w:rPr>
              <w:t>1.00</w:t>
            </w:r>
          </w:p>
        </w:tc>
        <w:tc>
          <w:tcPr>
            <w:tcW w:type="dxa" w:w="2580"/>
          </w:tcPr>
          <w:p>
            <w:r/>
            <w:r>
              <w:rPr>
                <w:sz w:val="16"/>
              </w:rPr>
              <w:t>1.00</w:t>
            </w:r>
          </w:p>
        </w:tc>
        <w:tc>
          <w:tcPr>
            <w:tcW w:type="dxa" w:w="2580"/>
          </w:tcPr>
          <w:p>
            <w:r/>
            <w:r>
              <w:rPr>
                <w:sz w:val="16"/>
              </w:rPr>
              <w:t>1.00</w:t>
            </w:r>
          </w:p>
        </w:tc>
      </w:tr>
      <w:tr>
        <w:tc>
          <w:tcPr>
            <w:tcW w:type="dxa" w:w="2580"/>
          </w:tcPr>
          <w:p>
            <w:r/>
            <w:r>
              <w:rPr>
                <w:sz w:val="16"/>
              </w:rPr>
              <w:t>active-scanning</w:t>
            </w:r>
          </w:p>
        </w:tc>
        <w:tc>
          <w:tcPr>
            <w:tcW w:type="dxa" w:w="2580"/>
          </w:tcPr>
          <w:p>
            <w:r/>
            <w:r>
              <w:rPr>
                <w:sz w:val="16"/>
              </w:rPr>
              <w:t>1.00</w:t>
            </w:r>
          </w:p>
        </w:tc>
        <w:tc>
          <w:tcPr>
            <w:tcW w:type="dxa" w:w="2580"/>
          </w:tcPr>
          <w:p>
            <w:r/>
            <w:r>
              <w:rPr>
                <w:sz w:val="16"/>
              </w:rPr>
              <w:t>1.00</w:t>
            </w:r>
          </w:p>
        </w:tc>
        <w:tc>
          <w:tcPr>
            <w:tcW w:type="dxa" w:w="2580"/>
          </w:tcPr>
          <w:p>
            <w:r/>
            <w:r>
              <w:rPr>
                <w:sz w:val="16"/>
              </w:rPr>
              <w:t>1.00</w:t>
            </w:r>
          </w:p>
        </w:tc>
      </w:tr>
      <w:tr>
        <w:tc>
          <w:tcPr>
            <w:tcW w:type="dxa" w:w="2580"/>
          </w:tcPr>
          <w:p>
            <w:r/>
            <w:r>
              <w:rPr>
                <w:sz w:val="16"/>
              </w:rPr>
              <w:t>command-injection</w:t>
            </w:r>
          </w:p>
        </w:tc>
        <w:tc>
          <w:tcPr>
            <w:tcW w:type="dxa" w:w="2580"/>
          </w:tcPr>
          <w:p>
            <w:r/>
            <w:r>
              <w:rPr>
                <w:sz w:val="16"/>
              </w:rPr>
              <w:t>1.00</w:t>
            </w:r>
          </w:p>
        </w:tc>
        <w:tc>
          <w:tcPr>
            <w:tcW w:type="dxa" w:w="2580"/>
          </w:tcPr>
          <w:p>
            <w:r/>
            <w:r>
              <w:rPr>
                <w:sz w:val="16"/>
              </w:rPr>
              <w:t>1.00</w:t>
            </w:r>
          </w:p>
        </w:tc>
        <w:tc>
          <w:tcPr>
            <w:tcW w:type="dxa" w:w="2580"/>
          </w:tcPr>
          <w:p>
            <w:r/>
            <w:r>
              <w:rPr>
                <w:sz w:val="16"/>
              </w:rPr>
              <w:t>1.00</w:t>
            </w:r>
          </w:p>
        </w:tc>
      </w:tr>
      <w:tr>
        <w:tc>
          <w:tcPr>
            <w:tcW w:type="dxa" w:w="2580"/>
          </w:tcPr>
          <w:p>
            <w:r/>
            <w:r>
              <w:rPr>
                <w:sz w:val="16"/>
              </w:rPr>
              <w:t>Micro-average</w:t>
            </w:r>
          </w:p>
        </w:tc>
        <w:tc>
          <w:tcPr>
            <w:tcW w:type="dxa" w:w="2580"/>
          </w:tcPr>
          <w:p>
            <w:r/>
            <w:r>
              <w:rPr>
                <w:sz w:val="16"/>
              </w:rPr>
              <w:t>1.00</w:t>
            </w:r>
          </w:p>
        </w:tc>
        <w:tc>
          <w:tcPr>
            <w:tcW w:type="dxa" w:w="2580"/>
          </w:tcPr>
          <w:p>
            <w:r/>
            <w:r>
              <w:rPr>
                <w:sz w:val="16"/>
              </w:rPr>
              <w:t>1.00</w:t>
            </w:r>
          </w:p>
        </w:tc>
        <w:tc>
          <w:tcPr>
            <w:tcW w:type="dxa" w:w="2580"/>
          </w:tcPr>
          <w:p>
            <w:r/>
            <w:r>
              <w:rPr>
                <w:sz w:val="16"/>
              </w:rPr>
              <w:t>1.00</w:t>
            </w:r>
          </w:p>
        </w:tc>
      </w:tr>
    </w:tbl>
    <w:p>
      <w:pPr>
        <w:spacing w:after="120"/>
        <w:jc w:val="center"/>
      </w:pPr>
      <w:r>
        <w:rPr>
          <w:i/>
          <w:sz w:val="16"/>
        </w:rPr>
        <w:t>TABLE IV. Detection performance on the labelled set (2 benign sources, 0 false positives).</w:t>
      </w:r>
    </w:p>
    <w:p>
      <w:pPr>
        <w:spacing w:after="0"/>
      </w:pPr>
    </w:p>
    <w:p>
      <w:pPr>
        <w:spacing w:after="120" w:before="0"/>
        <w:jc w:val="both"/>
      </w:pPr>
      <w:r>
        <w:rPr>
          <w:rFonts w:ascii="Times New Roman" w:hAnsi="Times New Roman"/>
          <w:b w:val="0"/>
          <w:i w:val="0"/>
          <w:sz w:val="20"/>
        </w:rPr>
        <w:t>The engine detected every attack campaign in its correct category and raised no alerts on benign traffic in this controlled set; the result is asserted by a regression test. Section X is candid about why real-world traffic is harder.</w:t>
      </w:r>
    </w:p>
    <w:p>
      <w:pPr>
        <w:spacing w:before="80" w:after="40"/>
      </w:pPr>
      <w:r>
        <w:rPr>
          <w:i/>
          <w:sz w:val="20"/>
        </w:rPr>
        <w:t>C. Automated test suite</w:t>
      </w:r>
    </w:p>
    <w:p>
      <w:pPr>
        <w:spacing w:after="120" w:before="0"/>
        <w:jc w:val="both"/>
      </w:pPr>
      <w:r>
        <w:rPr>
          <w:rFonts w:ascii="Times New Roman" w:hAnsi="Times New Roman"/>
          <w:b w:val="0"/>
          <w:i w:val="0"/>
          <w:sz w:val="20"/>
        </w:rPr>
        <w:t>39 pytest tests cover the database, every detection rule with synthetic timelines, live honeypot interaction, the safety guardrails, the pipeline, the analyzer, the CLI and a full integration run; line coverage is ~84%. CI runs the suite plus the demo on Python 3.9, 3.11 and 3.12.</w:t>
      </w:r>
    </w:p>
    <w:p>
      <w:pPr>
        <w:spacing w:before="160" w:after="80"/>
        <w:jc w:val="left"/>
      </w:pPr>
      <w:r>
        <w:rPr>
          <w:b/>
          <w:sz w:val="20"/>
        </w:rPr>
        <w:t>IX. RESULTS AND DISCUSSION</w:t>
      </w:r>
    </w:p>
    <w:p>
      <w:pPr>
        <w:spacing w:after="120" w:before="0"/>
        <w:jc w:val="both"/>
      </w:pPr>
      <w:r>
        <w:rPr>
          <w:rFonts w:ascii="Times New Roman" w:hAnsi="Times New Roman"/>
          <w:b w:val="0"/>
          <w:i w:val="0"/>
          <w:sz w:val="20"/>
        </w:rPr>
        <w:t>The experiments confirm the central hypothesis and strengthen it with measurement. Three findings stand out: (1) default credentials remain the highest-signal indicator—a single login with a Mirai default pair is immediately malicious; (2) hybrid detection is complementary, not redundant—signatures catch the known while rate rules catch behaviour that has no fixed signature; and (3) the captured credential intelligence has direct defensive value, yielding a blocklist of passwords a homeowner must never use.</w:t>
      </w:r>
    </w:p>
    <w:p>
      <w:pPr>
        <w:spacing w:before="160" w:after="80"/>
        <w:jc w:val="left"/>
      </w:pPr>
      <w:r>
        <w:rPr>
          <w:b/>
          <w:sz w:val="20"/>
        </w:rPr>
        <w:t>X. SECURITY, ETHICS AND LIMITATIONS</w:t>
      </w:r>
    </w:p>
    <w:p>
      <w:pPr>
        <w:spacing w:after="120" w:before="0"/>
        <w:jc w:val="both"/>
      </w:pPr>
      <w:r>
        <w:rPr>
          <w:rFonts w:ascii="Times New Roman" w:hAnsi="Times New Roman"/>
          <w:b w:val="0"/>
          <w:i w:val="0"/>
          <w:sz w:val="20"/>
        </w:rPr>
        <w:t>Because the project ships attack tooling, ethics are enforced in code: simulators call a safety check that refuses any non-private target; the DoS simulator enforces hard caps; honeypots are low-interaction with bounded buffers and timeouts; containers run non-root on an isolated network.</w:t>
      </w:r>
    </w:p>
    <w:p>
      <w:pPr>
        <w:spacing w:after="120" w:before="0"/>
        <w:jc w:val="both"/>
      </w:pPr>
      <w:r>
        <w:rPr>
          <w:rFonts w:ascii="Times New Roman" w:hAnsi="Times New Roman"/>
          <w:b/>
          <w:i w:val="0"/>
          <w:sz w:val="20"/>
        </w:rPr>
        <w:t>Limitations.</w:t>
      </w:r>
      <w:r>
        <w:rPr>
          <w:rFonts w:ascii="Times New Roman" w:hAnsi="Times New Roman"/>
          <w:b w:val="0"/>
          <w:i w:val="0"/>
          <w:sz w:val="20"/>
        </w:rPr>
        <w:t xml:space="preserve"> The honeypots emulate telnet/HTTP interfaces, not full firmware or radios (Zigbee/Z-Wave/BLE). The perfect scores are on a clean labelled set; production traffic would produce false positives and require threshold tuning. Rate rules need a warm-up window and can miss low-and-slow attacks. These are the honest boundaries within which the results hold.</w:t>
      </w:r>
    </w:p>
    <w:p>
      <w:pPr>
        <w:spacing w:before="160" w:after="80"/>
        <w:jc w:val="left"/>
      </w:pPr>
      <w:r>
        <w:rPr>
          <w:b/>
          <w:sz w:val="20"/>
        </w:rPr>
        <w:t>XI. FUTURE WORK</w:t>
      </w:r>
    </w:p>
    <w:p>
      <w:pPr>
        <w:spacing w:after="120" w:before="0"/>
        <w:jc w:val="both"/>
      </w:pPr>
      <w:r>
        <w:rPr>
          <w:rFonts w:ascii="Times New Roman" w:hAnsi="Times New Roman"/>
          <w:b w:val="0"/>
          <w:i w:val="0"/>
          <w:sz w:val="20"/>
        </w:rPr>
        <w:t>Future directions include Cowrie/Dionaea integration for higher-interaction capture; an MQTT honeypot (TCP 1883) for the dominant smart-home broker; a virtual IoT-device environment with realistic device fingerprints; an ML-based anomaly detector evaluated on the same labelled sets; GeoIP and threat-intel enrichment; and automated firewall response for high-severity sources.</w:t>
      </w:r>
    </w:p>
    <w:p>
      <w:pPr>
        <w:spacing w:before="160" w:after="80"/>
        <w:jc w:val="left"/>
      </w:pPr>
      <w:r>
        <w:rPr>
          <w:b/>
          <w:sz w:val="20"/>
        </w:rPr>
        <w:t>XII. CONCLUSION</w:t>
      </w:r>
    </w:p>
    <w:p>
      <w:pPr>
        <w:spacing w:after="120" w:before="0"/>
        <w:jc w:val="both"/>
      </w:pPr>
      <w:r>
        <w:rPr>
          <w:rFonts w:ascii="Times New Roman" w:hAnsi="Times New Roman"/>
          <w:b w:val="0"/>
          <w:i w:val="0"/>
          <w:sz w:val="20"/>
        </w:rPr>
        <w:t>SmartHoneyNet is a reproducible, tested and measured platform for smart-home network security. It builds on a proven core idea—honeypots to attract, an IDS to detect, ELK to analyse—and adds a hybrid engine covering six attack classes, a MITRE ATT&amp;CK classification of every alert, a real database and dashboards, a 39-test suite with CI, enforced security controls, and a quantitative evaluation showing 100% precision and recall with zero false positives on a controlled labelled set. As smart-home adoption races toward hundreds of millions of households, tools that let defenders hunt attackers safely, reproducibly and measurably are exactly what the field needs.</w:t>
      </w:r>
    </w:p>
    <w:p>
      <w:pPr>
        <w:spacing w:before="160" w:after="80"/>
        <w:jc w:val="left"/>
      </w:pPr>
      <w:r>
        <w:rPr>
          <w:b/>
          <w:sz w:val="20"/>
        </w:rPr>
        <w:t>. REFERENCES</w:t>
      </w:r>
    </w:p>
    <w:p>
      <w:pPr>
        <w:spacing w:after="20"/>
      </w:pPr>
      <w:r>
        <w:rPr>
          <w:sz w:val="16"/>
        </w:rPr>
        <w:t>[1] J. Lasquety-Reyes, “Global: Smart home—number of users 2018–2027,” Statista.</w:t>
      </w:r>
    </w:p>
    <w:p>
      <w:pPr>
        <w:spacing w:after="20"/>
      </w:pPr>
      <w:r>
        <w:rPr>
          <w:sz w:val="16"/>
        </w:rPr>
        <w:t>[2] “What is a smart home and what are the benefits?,” Constellation.com.</w:t>
      </w:r>
    </w:p>
    <w:p>
      <w:pPr>
        <w:spacing w:after="20"/>
      </w:pPr>
      <w:r>
        <w:rPr>
          <w:sz w:val="16"/>
        </w:rPr>
        <w:t>[3] “Smart home: Threats and countermeasures,” Rambus, 2017.</w:t>
      </w:r>
    </w:p>
    <w:p>
      <w:pPr>
        <w:spacing w:after="20"/>
      </w:pPr>
      <w:r>
        <w:rPr>
          <w:sz w:val="16"/>
        </w:rPr>
        <w:t>[4] “A Study of Smart Home Environment and its Security Threats,” ResearchGate.</w:t>
      </w:r>
    </w:p>
    <w:p>
      <w:pPr>
        <w:spacing w:after="20"/>
      </w:pPr>
      <w:r>
        <w:rPr>
          <w:sz w:val="16"/>
        </w:rPr>
        <w:t>[5] “Smart home: Threats and countermeasures,” Rambus, 2017.</w:t>
      </w:r>
    </w:p>
    <w:p>
      <w:pPr>
        <w:spacing w:after="20"/>
      </w:pPr>
      <w:r>
        <w:rPr>
          <w:sz w:val="16"/>
        </w:rPr>
        <w:t>[6] K. Subramanian and W. Meng, “Threat Hunting Using Elastic Stack: An Evaluation,” IEEE SOLI, 2021.</w:t>
      </w:r>
    </w:p>
    <w:p>
      <w:pPr>
        <w:spacing w:after="20"/>
      </w:pPr>
      <w:r>
        <w:rPr>
          <w:sz w:val="16"/>
        </w:rPr>
        <w:t>[7] H. Qu, D. Qu and J. Tong, “Virtual environment for smart home,” IEEE CYBER, 2015.</w:t>
      </w:r>
    </w:p>
    <w:p>
      <w:pPr>
        <w:spacing w:after="20"/>
      </w:pPr>
      <w:r>
        <w:rPr>
          <w:sz w:val="16"/>
        </w:rPr>
        <w:t>[8] “What is an intrusion detection system?,” DNSstuff, 2019.</w:t>
      </w:r>
    </w:p>
    <w:p>
      <w:pPr>
        <w:spacing w:after="20"/>
      </w:pPr>
      <w:r>
        <w:rPr>
          <w:sz w:val="16"/>
        </w:rPr>
        <w:t>[9] E. Hasson and L. Cheng, “Honeypot,” Imperva Learning Center.</w:t>
      </w:r>
    </w:p>
    <w:p>
      <w:pPr>
        <w:spacing w:after="20"/>
      </w:pPr>
      <w:r>
        <w:rPr>
          <w:sz w:val="16"/>
        </w:rPr>
        <w:t>[10] A. Churcher et al., “An experimental analysis of attack classification using ML in IoT networks,” Sensors, 21(2):446, 2021.</w:t>
      </w:r>
    </w:p>
    <w:p>
      <w:pPr>
        <w:spacing w:after="20"/>
      </w:pPr>
      <w:r>
        <w:rPr>
          <w:sz w:val="16"/>
        </w:rPr>
        <w:t>[11] K. Subramanian and W. Meng, “Threat Hunting Using Elastic Stack,” IEEE SOLI, 2021.</w:t>
      </w:r>
    </w:p>
    <w:p>
      <w:pPr>
        <w:spacing w:after="20"/>
      </w:pPr>
      <w:r>
        <w:rPr>
          <w:sz w:val="16"/>
        </w:rPr>
        <w:t>[12] Banerjee et al., “Network traffic analysis based IoT botnet detection using honeynet data,” 2021.</w:t>
      </w:r>
    </w:p>
    <w:p>
      <w:pPr>
        <w:spacing w:after="20"/>
      </w:pPr>
      <w:r>
        <w:rPr>
          <w:sz w:val="16"/>
        </w:rPr>
        <w:t>[13] S. Bistarelli, E. Bosimini and F. Santini, “A Report on the Security of Home Connections with IoT and Docker Honeypots,” CEUR-WS Vol-2597.</w:t>
      </w:r>
    </w:p>
    <w:p>
      <w:pPr>
        <w:spacing w:after="20"/>
      </w:pPr>
      <w:r>
        <w:rPr>
          <w:sz w:val="16"/>
        </w:rPr>
        <w:t>[14] M. Harikanth and P. Rajarajeswari, “Malicious event detection using ELK stack through CTI,” IJITEE, 8(7):882–886, 2019.</w:t>
      </w:r>
    </w:p>
    <w:p>
      <w:pPr>
        <w:spacing w:after="20"/>
      </w:pPr>
      <w:r>
        <w:rPr>
          <w:sz w:val="16"/>
        </w:rPr>
        <w:t>[15] MITRE ATT&amp;CK® Enterprise Matrix, The MITRE Corporation.</w:t>
      </w:r>
    </w:p>
    <w:sectPr w:rsidR="00FC693F" w:rsidRPr="0006063C" w:rsidSect="00034616">
      <w:type w:val="continuous"/>
      <w:pgSz w:w="12240" w:h="15840"/>
      <w:pgMar w:top="1080" w:right="960" w:bottom="1080" w:left="960" w:header="720" w:footer="720"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