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0261C"/>
          <w:sz w:val="68"/>
        </w:rPr>
        <w:t>MONEY MOVES</w:t>
      </w:r>
    </w:p>
    <w:p>
      <w:pPr>
        <w:jc w:val="center"/>
      </w:pPr>
      <w:r>
        <w:rPr>
          <w:rFonts w:ascii="Aptos Display" w:hAnsi="Aptos Display"/>
          <w:b/>
          <w:color w:val="287A4D"/>
          <w:sz w:val="42"/>
        </w:rPr>
        <w:t>Product Requirements &amp; Architecture Document</w:t>
      </w:r>
    </w:p>
    <w:p>
      <w:pPr>
        <w:spacing w:before="120"/>
        <w:jc w:val="center"/>
      </w:pPr>
      <w:r>
        <w:rPr>
          <w:color w:val="5F6B65"/>
          <w:sz w:val="22"/>
        </w:rPr>
        <w:t>Current implemented release: V1  |  Proposed release: V2  |  Live Plaid integration: future phase</w:t>
      </w:r>
    </w:p>
    <w:tbl>
      <w:tblPr>
        <w:tblW w:type="auto" w:w="0"/>
        <w:jc w:val="center"/>
        <w:tblLook w:firstColumn="1" w:firstRow="1" w:lastColumn="0" w:lastRow="0" w:noHBand="0" w:noVBand="1" w:val="04A0"/>
      </w:tblPr>
      <w:tblGrid>
        <w:gridCol w:w="10166"/>
      </w:tblGrid>
      <w:tr>
        <w:trPr>
          <w:cantSplit/>
        </w:trPr>
        <w:tc>
          <w:tcPr>
            <w:tcW w:type="dxa" w:w="10166"/>
            <w:shd w:fill="FFF0E2"/>
            <w:tcMar>
              <w:top w:w="110" w:type="dxa"/>
              <w:start w:w="130" w:type="dxa"/>
              <w:bottom w:w="105" w:type="dxa"/>
              <w:end w:w="130" w:type="dxa"/>
            </w:tcMar>
            <w:vAlign w:val="center"/>
          </w:tcPr>
          <w:p>
            <w:pPr>
              <w:spacing w:after="60"/>
            </w:pPr>
            <w:r>
              <w:rPr>
                <w:b/>
                <w:color w:val="B86119"/>
              </w:rPr>
              <w:t>Authoritative status statement</w:t>
            </w:r>
          </w:p>
          <w:p>
            <w:pPr>
              <w:pStyle w:val="MMCallout"/>
              <w:spacing w:after="0"/>
            </w:pPr>
            <w:r>
              <w:t>Only V1 is implemented. Every capability described as V2, V2A, V2B, future, or Plaid-related is a proposed requirement and must be implemented, tested, and migrated before it can be treated as part of the product.</w:t>
            </w:r>
          </w:p>
        </w:tc>
      </w:tr>
    </w:tbl>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3096"/>
            <w:shd w:fill="10261C"/>
            <w:tcMar>
              <w:top w:w="70" w:type="dxa"/>
              <w:start w:w="70" w:type="dxa"/>
              <w:bottom w:w="70" w:type="dxa"/>
              <w:end w:w="70" w:type="dxa"/>
            </w:tcMar>
            <w:vAlign w:val="center"/>
          </w:tcPr>
          <w:p>
            <w:pPr>
              <w:spacing w:after="0"/>
            </w:pPr>
            <w:r>
              <w:rPr>
                <w:b/>
                <w:color w:val="FFFFFF"/>
                <w:sz w:val="18"/>
              </w:rPr>
              <w:t>Document field</w:t>
            </w:r>
          </w:p>
        </w:tc>
        <w:tc>
          <w:tcPr>
            <w:tcW w:type="dxa" w:w="6984"/>
            <w:shd w:fill="10261C"/>
            <w:tcMar>
              <w:top w:w="70" w:type="dxa"/>
              <w:start w:w="70" w:type="dxa"/>
              <w:bottom w:w="70" w:type="dxa"/>
              <w:end w:w="70" w:type="dxa"/>
            </w:tcMar>
            <w:vAlign w:val="center"/>
          </w:tcPr>
          <w:p>
            <w:pPr>
              <w:spacing w:after="0"/>
            </w:pPr>
            <w:r>
              <w:rPr>
                <w:b/>
                <w:color w:val="FFFFFF"/>
                <w:sz w:val="18"/>
              </w:rPr>
              <w:t>Value</w:t>
            </w:r>
          </w:p>
        </w:tc>
      </w:tr>
      <w:tr>
        <w:trPr>
          <w:cantSplit/>
        </w:trPr>
        <w:tc>
          <w:tcPr>
            <w:tcW w:type="dxa" w:w="3096"/>
            <w:tcMar>
              <w:top w:w="58" w:type="dxa"/>
              <w:start w:w="65" w:type="dxa"/>
              <w:bottom w:w="58" w:type="dxa"/>
              <w:end w:w="65" w:type="dxa"/>
            </w:tcMar>
            <w:shd w:fill="F8FAF9"/>
            <w:vAlign w:val="center"/>
          </w:tcPr>
          <w:p>
            <w:pPr>
              <w:pStyle w:val="MMTableText"/>
              <w:spacing w:after="0"/>
            </w:pPr>
            <w:r>
              <w:rPr>
                <w:sz w:val="18"/>
              </w:rPr>
              <w:t>Product name</w:t>
            </w:r>
          </w:p>
        </w:tc>
        <w:tc>
          <w:tcPr>
            <w:tcW w:type="dxa" w:w="6984"/>
            <w:tcMar>
              <w:top w:w="58" w:type="dxa"/>
              <w:start w:w="65" w:type="dxa"/>
              <w:bottom w:w="58" w:type="dxa"/>
              <w:end w:w="65" w:type="dxa"/>
            </w:tcMar>
            <w:shd w:fill="F8FAF9"/>
            <w:vAlign w:val="center"/>
          </w:tcPr>
          <w:p>
            <w:pPr>
              <w:pStyle w:val="MMTableText"/>
              <w:spacing w:after="0"/>
            </w:pPr>
            <w:r>
              <w:rPr>
                <w:sz w:val="18"/>
              </w:rPr>
              <w:t>Money Moves</w:t>
            </w:r>
          </w:p>
        </w:tc>
      </w:tr>
      <w:tr>
        <w:trPr>
          <w:cantSplit/>
        </w:trPr>
        <w:tc>
          <w:tcPr>
            <w:tcW w:type="dxa" w:w="3096"/>
            <w:tcMar>
              <w:top w:w="58" w:type="dxa"/>
              <w:start w:w="65" w:type="dxa"/>
              <w:bottom w:w="58" w:type="dxa"/>
              <w:end w:w="65" w:type="dxa"/>
            </w:tcMar>
            <w:vAlign w:val="center"/>
          </w:tcPr>
          <w:p>
            <w:pPr>
              <w:pStyle w:val="MMTableText"/>
              <w:spacing w:after="0"/>
            </w:pPr>
            <w:r>
              <w:rPr>
                <w:sz w:val="18"/>
              </w:rPr>
              <w:t>Document version</w:t>
            </w:r>
          </w:p>
        </w:tc>
        <w:tc>
          <w:tcPr>
            <w:tcW w:type="dxa" w:w="6984"/>
            <w:tcMar>
              <w:top w:w="58" w:type="dxa"/>
              <w:start w:w="65" w:type="dxa"/>
              <w:bottom w:w="58" w:type="dxa"/>
              <w:end w:w="65" w:type="dxa"/>
            </w:tcMar>
            <w:vAlign w:val="center"/>
          </w:tcPr>
          <w:p>
            <w:pPr>
              <w:pStyle w:val="MMTableText"/>
              <w:spacing w:after="0"/>
            </w:pPr>
            <w:r>
              <w:rPr>
                <w:sz w:val="18"/>
              </w:rPr>
              <w:t>1.0</w:t>
            </w:r>
          </w:p>
        </w:tc>
      </w:tr>
      <w:tr>
        <w:trPr>
          <w:cantSplit/>
        </w:trPr>
        <w:tc>
          <w:tcPr>
            <w:tcW w:type="dxa" w:w="3096"/>
            <w:tcMar>
              <w:top w:w="58" w:type="dxa"/>
              <w:start w:w="65" w:type="dxa"/>
              <w:bottom w:w="58" w:type="dxa"/>
              <w:end w:w="65" w:type="dxa"/>
            </w:tcMar>
            <w:shd w:fill="F8FAF9"/>
            <w:vAlign w:val="center"/>
          </w:tcPr>
          <w:p>
            <w:pPr>
              <w:pStyle w:val="MMTableText"/>
              <w:spacing w:after="0"/>
            </w:pPr>
            <w:r>
              <w:rPr>
                <w:sz w:val="18"/>
              </w:rPr>
              <w:t>Prepared for</w:t>
            </w:r>
          </w:p>
        </w:tc>
        <w:tc>
          <w:tcPr>
            <w:tcW w:type="dxa" w:w="6984"/>
            <w:tcMar>
              <w:top w:w="58" w:type="dxa"/>
              <w:start w:w="65" w:type="dxa"/>
              <w:bottom w:w="58" w:type="dxa"/>
              <w:end w:w="65" w:type="dxa"/>
            </w:tcMar>
            <w:shd w:fill="F8FAF9"/>
            <w:vAlign w:val="center"/>
          </w:tcPr>
          <w:p>
            <w:pPr>
              <w:pStyle w:val="MMTableText"/>
              <w:spacing w:after="0"/>
            </w:pPr>
            <w:r>
              <w:rPr>
                <w:sz w:val="18"/>
              </w:rPr>
              <w:t>Product owner and implementation engineer</w:t>
            </w:r>
          </w:p>
        </w:tc>
      </w:tr>
      <w:tr>
        <w:trPr>
          <w:cantSplit/>
        </w:trPr>
        <w:tc>
          <w:tcPr>
            <w:tcW w:type="dxa" w:w="3096"/>
            <w:tcMar>
              <w:top w:w="58" w:type="dxa"/>
              <w:start w:w="65" w:type="dxa"/>
              <w:bottom w:w="58" w:type="dxa"/>
              <w:end w:w="65" w:type="dxa"/>
            </w:tcMar>
            <w:vAlign w:val="center"/>
          </w:tcPr>
          <w:p>
            <w:pPr>
              <w:pStyle w:val="MMTableText"/>
              <w:spacing w:after="0"/>
            </w:pPr>
            <w:r>
              <w:rPr>
                <w:sz w:val="18"/>
              </w:rPr>
              <w:t>Current implementation baseline</w:t>
            </w:r>
          </w:p>
        </w:tc>
        <w:tc>
          <w:tcPr>
            <w:tcW w:type="dxa" w:w="6984"/>
            <w:tcMar>
              <w:top w:w="58" w:type="dxa"/>
              <w:start w:w="65" w:type="dxa"/>
              <w:bottom w:w="58" w:type="dxa"/>
              <w:end w:w="65" w:type="dxa"/>
            </w:tcMar>
            <w:vAlign w:val="center"/>
          </w:tcPr>
          <w:p>
            <w:pPr>
              <w:pStyle w:val="MMTableText"/>
              <w:spacing w:after="0"/>
            </w:pPr>
            <w:r>
              <w:rPr>
                <w:sz w:val="18"/>
              </w:rPr>
              <w:t>V1 browser application</w:t>
            </w:r>
          </w:p>
        </w:tc>
      </w:tr>
      <w:tr>
        <w:trPr>
          <w:cantSplit/>
        </w:trPr>
        <w:tc>
          <w:tcPr>
            <w:tcW w:type="dxa" w:w="3096"/>
            <w:tcMar>
              <w:top w:w="58" w:type="dxa"/>
              <w:start w:w="65" w:type="dxa"/>
              <w:bottom w:w="58" w:type="dxa"/>
              <w:end w:w="65" w:type="dxa"/>
            </w:tcMar>
            <w:shd w:fill="F8FAF9"/>
            <w:vAlign w:val="center"/>
          </w:tcPr>
          <w:p>
            <w:pPr>
              <w:pStyle w:val="MMTableText"/>
              <w:spacing w:after="0"/>
            </w:pPr>
            <w:r>
              <w:rPr>
                <w:sz w:val="18"/>
              </w:rPr>
              <w:t>Proposed next release</w:t>
            </w:r>
          </w:p>
        </w:tc>
        <w:tc>
          <w:tcPr>
            <w:tcW w:type="dxa" w:w="6984"/>
            <w:tcMar>
              <w:top w:w="58" w:type="dxa"/>
              <w:start w:w="65" w:type="dxa"/>
              <w:bottom w:w="58" w:type="dxa"/>
              <w:end w:w="65" w:type="dxa"/>
            </w:tcMar>
            <w:shd w:fill="F8FAF9"/>
            <w:vAlign w:val="center"/>
          </w:tcPr>
          <w:p>
            <w:pPr>
              <w:pStyle w:val="MMTableText"/>
              <w:spacing w:after="0"/>
            </w:pPr>
            <w:r>
              <w:rPr>
                <w:sz w:val="18"/>
              </w:rPr>
              <w:t>V2: reviewed transaction system and canonical money model</w:t>
            </w:r>
          </w:p>
        </w:tc>
      </w:tr>
      <w:tr>
        <w:trPr>
          <w:cantSplit/>
        </w:trPr>
        <w:tc>
          <w:tcPr>
            <w:tcW w:type="dxa" w:w="3096"/>
            <w:tcMar>
              <w:top w:w="58" w:type="dxa"/>
              <w:start w:w="65" w:type="dxa"/>
              <w:bottom w:w="58" w:type="dxa"/>
              <w:end w:w="65" w:type="dxa"/>
            </w:tcMar>
            <w:vAlign w:val="center"/>
          </w:tcPr>
          <w:p>
            <w:pPr>
              <w:pStyle w:val="MMTableText"/>
              <w:spacing w:after="0"/>
            </w:pPr>
            <w:r>
              <w:rPr>
                <w:sz w:val="18"/>
              </w:rPr>
              <w:t>Source of truth</w:t>
            </w:r>
          </w:p>
        </w:tc>
        <w:tc>
          <w:tcPr>
            <w:tcW w:type="dxa" w:w="6984"/>
            <w:tcMar>
              <w:top w:w="58" w:type="dxa"/>
              <w:start w:w="65" w:type="dxa"/>
              <w:bottom w:w="58" w:type="dxa"/>
              <w:end w:w="65" w:type="dxa"/>
            </w:tcMar>
            <w:vAlign w:val="center"/>
          </w:tcPr>
          <w:p>
            <w:pPr>
              <w:pStyle w:val="MMTableText"/>
              <w:spacing w:after="0"/>
            </w:pPr>
            <w:r>
              <w:rPr>
                <w:sz w:val="18"/>
              </w:rPr>
              <w:t>This PRD supersedes earlier draft specifications and obsolete product naming</w:t>
            </w:r>
          </w:p>
        </w:tc>
      </w:tr>
      <w:tr>
        <w:trPr>
          <w:cantSplit/>
        </w:trPr>
        <w:tc>
          <w:tcPr>
            <w:tcW w:type="dxa" w:w="3096"/>
            <w:tcMar>
              <w:top w:w="58" w:type="dxa"/>
              <w:start w:w="65" w:type="dxa"/>
              <w:bottom w:w="58" w:type="dxa"/>
              <w:end w:w="65" w:type="dxa"/>
            </w:tcMar>
            <w:shd w:fill="F8FAF9"/>
            <w:vAlign w:val="center"/>
          </w:tcPr>
          <w:p>
            <w:pPr>
              <w:pStyle w:val="MMTableText"/>
              <w:spacing w:after="0"/>
            </w:pPr>
            <w:r>
              <w:rPr>
                <w:sz w:val="18"/>
              </w:rPr>
              <w:t>Document date</w:t>
            </w:r>
          </w:p>
        </w:tc>
        <w:tc>
          <w:tcPr>
            <w:tcW w:type="dxa" w:w="6984"/>
            <w:tcMar>
              <w:top w:w="58" w:type="dxa"/>
              <w:start w:w="65" w:type="dxa"/>
              <w:bottom w:w="58" w:type="dxa"/>
              <w:end w:w="65" w:type="dxa"/>
            </w:tcMar>
            <w:shd w:fill="F8FAF9"/>
            <w:vAlign w:val="center"/>
          </w:tcPr>
          <w:p>
            <w:pPr>
              <w:pStyle w:val="MMTableText"/>
              <w:spacing w:after="0"/>
            </w:pPr>
            <w:r>
              <w:rPr>
                <w:sz w:val="18"/>
              </w:rPr>
              <w:t>July 30, 2026</w:t>
            </w:r>
          </w:p>
        </w:tc>
      </w:tr>
    </w:tbl>
    <w:p>
      <w:pPr>
        <w:spacing w:after="0"/>
      </w:pPr>
    </w:p>
    <w:p>
      <w:r>
        <w:br w:type="page"/>
      </w:r>
    </w:p>
    <w:p>
      <w:pPr>
        <w:pStyle w:val="Heading1"/>
      </w:pPr>
      <w:r>
        <w:t>1. Document Control and How to Use This PRD</w:t>
      </w:r>
    </w:p>
    <w:p>
      <w:r>
        <w:t>This document is intentionally written for two audiences. Product-facing sections explain the behavior in ordinary language, while engineering notes define data, system boundaries, edge cases, and acceptance criteria. A requirement is not considered implemented merely because it appears in this document.</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2376"/>
            <w:shd w:fill="10261C"/>
            <w:tcMar>
              <w:top w:w="70" w:type="dxa"/>
              <w:start w:w="70" w:type="dxa"/>
              <w:bottom w:w="70" w:type="dxa"/>
              <w:end w:w="70" w:type="dxa"/>
            </w:tcMar>
            <w:vAlign w:val="center"/>
          </w:tcPr>
          <w:p>
            <w:pPr>
              <w:spacing w:after="0"/>
            </w:pPr>
            <w:r>
              <w:rPr>
                <w:b/>
                <w:color w:val="FFFFFF"/>
                <w:sz w:val="17"/>
              </w:rPr>
              <w:t>Status label</w:t>
            </w:r>
          </w:p>
        </w:tc>
        <w:tc>
          <w:tcPr>
            <w:tcW w:type="dxa" w:w="7704"/>
            <w:shd w:fill="10261C"/>
            <w:tcMar>
              <w:top w:w="70" w:type="dxa"/>
              <w:start w:w="70" w:type="dxa"/>
              <w:bottom w:w="70" w:type="dxa"/>
              <w:end w:w="70" w:type="dxa"/>
            </w:tcMar>
            <w:vAlign w:val="center"/>
          </w:tcPr>
          <w:p>
            <w:pPr>
              <w:spacing w:after="0"/>
            </w:pPr>
            <w:r>
              <w:rPr>
                <w:b/>
                <w:color w:val="FFFFFF"/>
                <w:sz w:val="17"/>
              </w:rPr>
              <w:t>Meaning</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7"/>
              </w:rPr>
              <w:t>IMPLEMENTED IN V1</w:t>
            </w:r>
          </w:p>
        </w:tc>
        <w:tc>
          <w:tcPr>
            <w:tcW w:type="dxa" w:w="7704"/>
            <w:tcMar>
              <w:top w:w="58" w:type="dxa"/>
              <w:start w:w="65" w:type="dxa"/>
              <w:bottom w:w="58" w:type="dxa"/>
              <w:end w:w="65" w:type="dxa"/>
            </w:tcMar>
            <w:shd w:fill="F8FAF9"/>
            <w:vAlign w:val="center"/>
          </w:tcPr>
          <w:p>
            <w:pPr>
              <w:pStyle w:val="MMTableText"/>
              <w:spacing w:after="0"/>
            </w:pPr>
            <w:r>
              <w:rPr>
                <w:sz w:val="17"/>
              </w:rPr>
              <w:t>Present in the existing V1 codebase and expected to remain available unless explicitly replaced.</w:t>
            </w:r>
          </w:p>
        </w:tc>
      </w:tr>
      <w:tr>
        <w:trPr>
          <w:cantSplit/>
        </w:trPr>
        <w:tc>
          <w:tcPr>
            <w:tcW w:type="dxa" w:w="2376"/>
            <w:tcMar>
              <w:top w:w="58" w:type="dxa"/>
              <w:start w:w="65" w:type="dxa"/>
              <w:bottom w:w="58" w:type="dxa"/>
              <w:end w:w="65" w:type="dxa"/>
            </w:tcMar>
            <w:vAlign w:val="center"/>
          </w:tcPr>
          <w:p>
            <w:pPr>
              <w:pStyle w:val="MMTableText"/>
              <w:spacing w:after="0"/>
            </w:pPr>
            <w:r>
              <w:rPr>
                <w:sz w:val="17"/>
              </w:rPr>
              <w:t>NEEDS IMPLEMENTATION</w:t>
            </w:r>
          </w:p>
        </w:tc>
        <w:tc>
          <w:tcPr>
            <w:tcW w:type="dxa" w:w="7704"/>
            <w:tcMar>
              <w:top w:w="58" w:type="dxa"/>
              <w:start w:w="65" w:type="dxa"/>
              <w:bottom w:w="58" w:type="dxa"/>
              <w:end w:w="65" w:type="dxa"/>
            </w:tcMar>
            <w:vAlign w:val="center"/>
          </w:tcPr>
          <w:p>
            <w:pPr>
              <w:pStyle w:val="MMTableText"/>
              <w:spacing w:after="0"/>
            </w:pPr>
            <w:r>
              <w:rPr>
                <w:sz w:val="17"/>
              </w:rPr>
              <w:t>Approved requirement for V2. No post-V1 implementation is assumed.</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7"/>
              </w:rPr>
              <w:t>FUTURE / PLAID</w:t>
            </w:r>
          </w:p>
        </w:tc>
        <w:tc>
          <w:tcPr>
            <w:tcW w:type="dxa" w:w="7704"/>
            <w:tcMar>
              <w:top w:w="58" w:type="dxa"/>
              <w:start w:w="65" w:type="dxa"/>
              <w:bottom w:w="58" w:type="dxa"/>
              <w:end w:w="65" w:type="dxa"/>
            </w:tcMar>
            <w:shd w:fill="F8FAF9"/>
            <w:vAlign w:val="center"/>
          </w:tcPr>
          <w:p>
            <w:pPr>
              <w:pStyle w:val="MMTableText"/>
              <w:spacing w:after="0"/>
            </w:pPr>
            <w:r>
              <w:rPr>
                <w:sz w:val="17"/>
              </w:rPr>
              <w:t>Intended for a later integration phase after the V2 money model is stable.</w:t>
            </w:r>
          </w:p>
        </w:tc>
      </w:tr>
      <w:tr>
        <w:trPr>
          <w:cantSplit/>
        </w:trPr>
        <w:tc>
          <w:tcPr>
            <w:tcW w:type="dxa" w:w="2376"/>
            <w:tcMar>
              <w:top w:w="58" w:type="dxa"/>
              <w:start w:w="65" w:type="dxa"/>
              <w:bottom w:w="58" w:type="dxa"/>
              <w:end w:w="65" w:type="dxa"/>
            </w:tcMar>
            <w:vAlign w:val="center"/>
          </w:tcPr>
          <w:p>
            <w:pPr>
              <w:pStyle w:val="MMTableText"/>
              <w:spacing w:after="0"/>
            </w:pPr>
            <w:r>
              <w:rPr>
                <w:sz w:val="17"/>
              </w:rPr>
              <w:t>DECISION REQUIRED</w:t>
            </w:r>
          </w:p>
        </w:tc>
        <w:tc>
          <w:tcPr>
            <w:tcW w:type="dxa" w:w="7704"/>
            <w:tcMar>
              <w:top w:w="58" w:type="dxa"/>
              <w:start w:w="65" w:type="dxa"/>
              <w:bottom w:w="58" w:type="dxa"/>
              <w:end w:w="65" w:type="dxa"/>
            </w:tcMar>
            <w:vAlign w:val="center"/>
          </w:tcPr>
          <w:p>
            <w:pPr>
              <w:pStyle w:val="MMTableText"/>
              <w:spacing w:after="0"/>
            </w:pPr>
            <w:r>
              <w:rPr>
                <w:sz w:val="17"/>
              </w:rPr>
              <w:t>The product behavior is defined at a high level, but an implementation or policy decision remains open.</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7"/>
              </w:rPr>
              <w:t>DEFECT / TECHNICAL DEBT</w:t>
            </w:r>
          </w:p>
        </w:tc>
        <w:tc>
          <w:tcPr>
            <w:tcW w:type="dxa" w:w="7704"/>
            <w:tcMar>
              <w:top w:w="58" w:type="dxa"/>
              <w:start w:w="65" w:type="dxa"/>
              <w:bottom w:w="58" w:type="dxa"/>
              <w:end w:w="65" w:type="dxa"/>
            </w:tcMar>
            <w:shd w:fill="F8FAF9"/>
            <w:vAlign w:val="center"/>
          </w:tcPr>
          <w:p>
            <w:pPr>
              <w:pStyle w:val="MMTableText"/>
              <w:spacing w:after="0"/>
            </w:pPr>
            <w:r>
              <w:rPr>
                <w:sz w:val="17"/>
              </w:rPr>
              <w:t>Existing V1 behavior or code that must be corrected, renamed, migrated, or made non-static.</w:t>
            </w:r>
          </w:p>
        </w:tc>
      </w:tr>
      <w:tr>
        <w:trPr>
          <w:cantSplit/>
        </w:trPr>
        <w:tc>
          <w:tcPr>
            <w:tcW w:type="dxa" w:w="2376"/>
            <w:tcMar>
              <w:top w:w="58" w:type="dxa"/>
              <w:start w:w="65" w:type="dxa"/>
              <w:bottom w:w="58" w:type="dxa"/>
              <w:end w:w="65" w:type="dxa"/>
            </w:tcMar>
            <w:vAlign w:val="center"/>
          </w:tcPr>
          <w:p>
            <w:pPr>
              <w:pStyle w:val="MMTableText"/>
              <w:spacing w:after="0"/>
            </w:pPr>
            <w:r>
              <w:rPr>
                <w:sz w:val="17"/>
              </w:rPr>
              <w:t>OUT OF SCOPE</w:t>
            </w:r>
          </w:p>
        </w:tc>
        <w:tc>
          <w:tcPr>
            <w:tcW w:type="dxa" w:w="7704"/>
            <w:tcMar>
              <w:top w:w="58" w:type="dxa"/>
              <w:start w:w="65" w:type="dxa"/>
              <w:bottom w:w="58" w:type="dxa"/>
              <w:end w:w="65" w:type="dxa"/>
            </w:tcMar>
            <w:vAlign w:val="center"/>
          </w:tcPr>
          <w:p>
            <w:pPr>
              <w:pStyle w:val="MMTableText"/>
              <w:spacing w:after="0"/>
            </w:pPr>
            <w:r>
              <w:rPr>
                <w:sz w:val="17"/>
              </w:rPr>
              <w:t>Explicitly excluded so the implementation does not expand unintentionally.</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30" w:type="dxa"/>
              <w:bottom w:w="105" w:type="dxa"/>
              <w:end w:w="130" w:type="dxa"/>
            </w:tcMar>
            <w:vAlign w:val="center"/>
          </w:tcPr>
          <w:p>
            <w:pPr>
              <w:spacing w:after="60"/>
            </w:pPr>
            <w:r>
              <w:rPr>
                <w:b/>
                <w:color w:val="275D8C"/>
              </w:rPr>
              <w:t>Version convention</w:t>
            </w:r>
          </w:p>
          <w:p>
            <w:pPr>
              <w:pStyle w:val="MMCallout"/>
              <w:spacing w:after="0"/>
            </w:pPr>
            <w:r>
              <w:t>V1 means the currently implemented application. V2 means the next product release defined in this PRD. V2A is the pre-Plaid financial model and review experience. V2B is Plaid Sandbox and local synchronization readiness. A later production phase activates live Plaid connections.</w:t>
            </w:r>
          </w:p>
        </w:tc>
      </w:tr>
    </w:tbl>
    <w:p>
      <w:pPr>
        <w:pStyle w:val="Heading1"/>
      </w:pPr>
      <w:r>
        <w:t>2. Contents</w:t>
      </w:r>
    </w:p>
    <w:p>
      <w:pPr>
        <w:pStyle w:val="ListBullet"/>
      </w:pPr>
      <w:r>
        <w:t>3. Executive Summary</w:t>
      </w:r>
    </w:p>
    <w:p>
      <w:pPr>
        <w:pStyle w:val="ListBullet"/>
      </w:pPr>
      <w:r>
        <w:t>4. Product Identity, Vision, and Principles</w:t>
      </w:r>
    </w:p>
    <w:p>
      <w:pPr>
        <w:pStyle w:val="ListBullet"/>
      </w:pPr>
      <w:r>
        <w:t>5. Current-State Audit: V1</w:t>
      </w:r>
    </w:p>
    <w:p>
      <w:pPr>
        <w:pStyle w:val="ListBullet"/>
      </w:pPr>
      <w:r>
        <w:t>6. V1-to-V2 Change Summary</w:t>
      </w:r>
    </w:p>
    <w:p>
      <w:pPr>
        <w:pStyle w:val="ListBullet"/>
      </w:pPr>
      <w:r>
        <w:t>7. Users, Jobs, and Success Measures</w:t>
      </w:r>
    </w:p>
    <w:p>
      <w:pPr>
        <w:pStyle w:val="ListBullet"/>
      </w:pPr>
      <w:r>
        <w:t>8. Scope, Non-Goals, and Release Boundaries</w:t>
      </w:r>
    </w:p>
    <w:p>
      <w:pPr>
        <w:pStyle w:val="ListBullet"/>
      </w:pPr>
      <w:r>
        <w:t>9. V2 Information Architecture and Navigation</w:t>
      </w:r>
    </w:p>
    <w:p>
      <w:pPr>
        <w:pStyle w:val="ListBullet"/>
      </w:pPr>
      <w:r>
        <w:t>10. Functional Requirements by Product Area</w:t>
      </w:r>
    </w:p>
    <w:p>
      <w:pPr>
        <w:pStyle w:val="ListBullet"/>
      </w:pPr>
      <w:r>
        <w:t>11. Canonical Financial Model and Calculations</w:t>
      </w:r>
    </w:p>
    <w:p>
      <w:pPr>
        <w:pStyle w:val="ListBullet"/>
      </w:pPr>
      <w:r>
        <w:t>12. Logical Data Model</w:t>
      </w:r>
    </w:p>
    <w:p>
      <w:pPr>
        <w:pStyle w:val="ListBullet"/>
      </w:pPr>
      <w:r>
        <w:t>13. Target Technical Architecture</w:t>
      </w:r>
    </w:p>
    <w:p>
      <w:pPr>
        <w:pStyle w:val="ListBullet"/>
      </w:pPr>
      <w:r>
        <w:t>14. Security, Privacy, and Local-First Requirements</w:t>
      </w:r>
    </w:p>
    <w:p>
      <w:pPr>
        <w:pStyle w:val="ListBullet"/>
      </w:pPr>
      <w:r>
        <w:t>15. Plaid Integration Strategy</w:t>
      </w:r>
    </w:p>
    <w:p>
      <w:pPr>
        <w:pStyle w:val="ListBullet"/>
      </w:pPr>
      <w:r>
        <w:t>16. V1 Data Migration and Compatibility</w:t>
      </w:r>
    </w:p>
    <w:p>
      <w:pPr>
        <w:pStyle w:val="ListBullet"/>
      </w:pPr>
      <w:r>
        <w:t>17. Testing, Quality, and Acceptance</w:t>
      </w:r>
    </w:p>
    <w:p>
      <w:pPr>
        <w:pStyle w:val="ListBullet"/>
      </w:pPr>
      <w:r>
        <w:t>18. Delivery Plan and Engineering Work Breakdown</w:t>
      </w:r>
    </w:p>
    <w:p>
      <w:pPr>
        <w:pStyle w:val="ListBullet"/>
      </w:pPr>
      <w:r>
        <w:t>19. Master Implementation Status Matrix</w:t>
      </w:r>
    </w:p>
    <w:p>
      <w:pPr>
        <w:pStyle w:val="ListBullet"/>
      </w:pPr>
      <w:r>
        <w:t>20. Open Decisions and Risks</w:t>
      </w:r>
    </w:p>
    <w:p>
      <w:pPr>
        <w:pStyle w:val="ListBullet"/>
      </w:pPr>
      <w:r>
        <w:t>21. Glossary</w:t>
      </w:r>
    </w:p>
    <w:p>
      <w:pPr>
        <w:pStyle w:val="ListBullet"/>
      </w:pPr>
      <w:r>
        <w:t>Appendix A. Detailed User Journeys</w:t>
      </w:r>
    </w:p>
    <w:p>
      <w:pPr>
        <w:pStyle w:val="ListBullet"/>
      </w:pPr>
      <w:r>
        <w:t>Appendix B. Example Financial Scenarios</w:t>
      </w:r>
    </w:p>
    <w:p>
      <w:pPr>
        <w:pStyle w:val="ListBullet"/>
      </w:pPr>
      <w:r>
        <w:t>Appendix C. Suggested API Surface</w:t>
      </w:r>
    </w:p>
    <w:p>
      <w:pPr>
        <w:pStyle w:val="ListBullet"/>
      </w:pPr>
      <w:r>
        <w:t>Appendix D. Data Invariants and Validation Rules</w:t>
      </w:r>
    </w:p>
    <w:p>
      <w:r>
        <w:br w:type="page"/>
      </w:r>
    </w:p>
    <w:p>
      <w:pPr>
        <w:pStyle w:val="Heading1"/>
      </w:pPr>
      <w:r>
        <w:t>3. Executive Summary</w:t>
      </w:r>
    </w:p>
    <w:p>
      <w:r>
        <w:t>Money Moves is a local-first personal finance application designed around a supervised weekly review. Financial institutions and import files provide transaction facts, but the user—not a provider category—decides what each transaction means. The product is intended to make spending understandable, debt payoff visible, savings goals concrete, and travel planning financially responsible without silently moving money or making autonomous financial decisions.</w:t>
      </w:r>
    </w:p>
    <w:p>
      <w:r>
        <w:t>The current V1 application is a single-screen encrypted analytics console. It stores a static monthly financial snapshot, allows editing category targets and monthly income, calculates safe-to-spend and cash flow from aggregate values, ranks a curated list of travel destinations, and stores visited cities. V1 does not contain transaction-level review, CSV ingestion, user-owned bucket assignments, sub-buckets, reimbursements, account-level transaction details, or Plaid synchronization.</w:t>
      </w:r>
    </w:p>
    <w:p>
      <w:r>
        <w:t>V2 replaces the aggregate-only model with a canonical transaction ledger. The central workflow becomes: import or synchronize transactions, review them, classify their movement type, assign one or more allocations to user-owned buckets, identify reimbursable portions, link repayments and refunds, and derive reports from reviewed records. This model must be stable before live Plaid integration.</w:t>
      </w:r>
    </w:p>
    <w:tbl>
      <w:tblPr>
        <w:tblW w:type="auto" w:w="0"/>
        <w:jc w:val="center"/>
        <w:tblLook w:firstColumn="1" w:firstRow="1" w:lastColumn="0" w:lastRow="0" w:noHBand="0" w:noVBand="1" w:val="04A0"/>
      </w:tblPr>
      <w:tblGrid>
        <w:gridCol w:w="10166"/>
      </w:tblGrid>
      <w:tr>
        <w:trPr>
          <w:cantSplit/>
        </w:trPr>
        <w:tc>
          <w:tcPr>
            <w:tcW w:type="dxa" w:w="10166"/>
            <w:shd w:fill="EAF5EE"/>
            <w:tcMar>
              <w:top w:w="110" w:type="dxa"/>
              <w:start w:w="130" w:type="dxa"/>
              <w:bottom w:w="105" w:type="dxa"/>
              <w:end w:w="130" w:type="dxa"/>
            </w:tcMar>
            <w:vAlign w:val="center"/>
          </w:tcPr>
          <w:p>
            <w:pPr>
              <w:spacing w:after="60"/>
            </w:pPr>
            <w:r>
              <w:rPr>
                <w:b/>
                <w:color w:val="287A4D"/>
              </w:rPr>
              <w:t>Primary V2 objective</w:t>
            </w:r>
          </w:p>
          <w:p>
            <w:pPr>
              <w:pStyle w:val="MMCallout"/>
              <w:spacing w:after="0"/>
            </w:pPr>
            <w:r>
              <w:t>Make every dashboard number traceable to transactions that the user can inspect, classify, split, correct, and understand.</w:t>
            </w:r>
          </w:p>
        </w:tc>
      </w:tr>
    </w:tbl>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3389"/>
        <w:gridCol w:w="3389"/>
        <w:gridCol w:w="3389"/>
      </w:tblGrid>
      <w:tr>
        <w:trPr>
          <w:tblHeader w:val="true"/>
          <w:cantSplit/>
        </w:trPr>
        <w:tc>
          <w:tcPr>
            <w:tcW w:type="dxa" w:w="1584"/>
            <w:shd w:fill="10261C"/>
            <w:tcMar>
              <w:top w:w="70" w:type="dxa"/>
              <w:start w:w="70" w:type="dxa"/>
              <w:bottom w:w="70" w:type="dxa"/>
              <w:end w:w="70" w:type="dxa"/>
            </w:tcMar>
            <w:vAlign w:val="center"/>
          </w:tcPr>
          <w:p>
            <w:pPr>
              <w:spacing w:after="0"/>
            </w:pPr>
            <w:r>
              <w:rPr>
                <w:b/>
                <w:color w:val="FFFFFF"/>
                <w:sz w:val="17"/>
              </w:rPr>
              <w:t>Release</w:t>
            </w:r>
          </w:p>
        </w:tc>
        <w:tc>
          <w:tcPr>
            <w:tcW w:type="dxa" w:w="2088"/>
            <w:shd w:fill="10261C"/>
            <w:tcMar>
              <w:top w:w="70" w:type="dxa"/>
              <w:start w:w="70" w:type="dxa"/>
              <w:bottom w:w="70" w:type="dxa"/>
              <w:end w:w="70" w:type="dxa"/>
            </w:tcMar>
            <w:vAlign w:val="center"/>
          </w:tcPr>
          <w:p>
            <w:pPr>
              <w:spacing w:after="0"/>
            </w:pPr>
            <w:r>
              <w:rPr>
                <w:b/>
                <w:color w:val="FFFFFF"/>
                <w:sz w:val="17"/>
              </w:rPr>
              <w:t>Status</w:t>
            </w:r>
          </w:p>
        </w:tc>
        <w:tc>
          <w:tcPr>
            <w:tcW w:type="dxa" w:w="6408"/>
            <w:shd w:fill="10261C"/>
            <w:tcMar>
              <w:top w:w="70" w:type="dxa"/>
              <w:start w:w="70" w:type="dxa"/>
              <w:bottom w:w="70" w:type="dxa"/>
              <w:end w:w="70" w:type="dxa"/>
            </w:tcMar>
            <w:vAlign w:val="center"/>
          </w:tcPr>
          <w:p>
            <w:pPr>
              <w:spacing w:after="0"/>
            </w:pPr>
            <w:r>
              <w:rPr>
                <w:b/>
                <w:color w:val="FFFFFF"/>
                <w:sz w:val="17"/>
              </w:rPr>
              <w:t>Purpose</w:t>
            </w:r>
          </w:p>
        </w:tc>
      </w:tr>
      <w:tr>
        <w:trPr>
          <w:cantSplit/>
        </w:trPr>
        <w:tc>
          <w:tcPr>
            <w:tcW w:type="dxa" w:w="1584"/>
            <w:tcMar>
              <w:top w:w="58" w:type="dxa"/>
              <w:start w:w="65" w:type="dxa"/>
              <w:bottom w:w="58" w:type="dxa"/>
              <w:end w:w="65" w:type="dxa"/>
            </w:tcMar>
            <w:shd w:fill="F8FAF9"/>
            <w:vAlign w:val="center"/>
          </w:tcPr>
          <w:p>
            <w:pPr>
              <w:pStyle w:val="MMTableText"/>
              <w:spacing w:after="0"/>
            </w:pPr>
            <w:r>
              <w:rPr>
                <w:sz w:val="17"/>
              </w:rPr>
              <w:t>V1</w:t>
            </w:r>
          </w:p>
        </w:tc>
        <w:tc>
          <w:tcPr>
            <w:tcW w:type="dxa" w:w="2088"/>
            <w:tcMar>
              <w:top w:w="58" w:type="dxa"/>
              <w:start w:w="65" w:type="dxa"/>
              <w:bottom w:w="58" w:type="dxa"/>
              <w:end w:w="65" w:type="dxa"/>
            </w:tcMar>
            <w:shd w:fill="F8FAF9"/>
            <w:vAlign w:val="center"/>
          </w:tcPr>
          <w:p>
            <w:pPr>
              <w:pStyle w:val="MMTableText"/>
              <w:spacing w:after="0"/>
            </w:pPr>
            <w:r>
              <w:rPr>
                <w:sz w:val="17"/>
              </w:rPr>
              <w:t>Implemented</w:t>
            </w:r>
          </w:p>
        </w:tc>
        <w:tc>
          <w:tcPr>
            <w:tcW w:type="dxa" w:w="6408"/>
            <w:tcMar>
              <w:top w:w="58" w:type="dxa"/>
              <w:start w:w="65" w:type="dxa"/>
              <w:bottom w:w="58" w:type="dxa"/>
              <w:end w:w="65" w:type="dxa"/>
            </w:tcMar>
            <w:shd w:fill="F8FAF9"/>
            <w:vAlign w:val="center"/>
          </w:tcPr>
          <w:p>
            <w:pPr>
              <w:pStyle w:val="MMTableText"/>
              <w:spacing w:after="0"/>
            </w:pPr>
            <w:r>
              <w:rPr>
                <w:sz w:val="17"/>
              </w:rPr>
              <w:t>Encrypted aggregate dashboard and curated travel console.</w:t>
            </w:r>
          </w:p>
        </w:tc>
      </w:tr>
      <w:tr>
        <w:trPr>
          <w:cantSplit/>
        </w:trPr>
        <w:tc>
          <w:tcPr>
            <w:tcW w:type="dxa" w:w="1584"/>
            <w:tcMar>
              <w:top w:w="58" w:type="dxa"/>
              <w:start w:w="65" w:type="dxa"/>
              <w:bottom w:w="58" w:type="dxa"/>
              <w:end w:w="65" w:type="dxa"/>
            </w:tcMar>
            <w:vAlign w:val="center"/>
          </w:tcPr>
          <w:p>
            <w:pPr>
              <w:pStyle w:val="MMTableText"/>
              <w:spacing w:after="0"/>
            </w:pPr>
            <w:r>
              <w:rPr>
                <w:sz w:val="17"/>
              </w:rPr>
              <w:t>V2A</w:t>
            </w:r>
          </w:p>
        </w:tc>
        <w:tc>
          <w:tcPr>
            <w:tcW w:type="dxa" w:w="2088"/>
            <w:tcMar>
              <w:top w:w="58" w:type="dxa"/>
              <w:start w:w="65" w:type="dxa"/>
              <w:bottom w:w="58" w:type="dxa"/>
              <w:end w:w="65" w:type="dxa"/>
            </w:tcMar>
            <w:vAlign w:val="center"/>
          </w:tcPr>
          <w:p>
            <w:pPr>
              <w:pStyle w:val="MMTableText"/>
              <w:spacing w:after="0"/>
            </w:pPr>
            <w:r>
              <w:rPr>
                <w:sz w:val="17"/>
              </w:rPr>
              <w:t>Needs implementation</w:t>
            </w:r>
          </w:p>
        </w:tc>
        <w:tc>
          <w:tcPr>
            <w:tcW w:type="dxa" w:w="6408"/>
            <w:tcMar>
              <w:top w:w="58" w:type="dxa"/>
              <w:start w:w="65" w:type="dxa"/>
              <w:bottom w:w="58" w:type="dxa"/>
              <w:end w:w="65" w:type="dxa"/>
            </w:tcMar>
            <w:vAlign w:val="center"/>
          </w:tcPr>
          <w:p>
            <w:pPr>
              <w:pStyle w:val="MMTableText"/>
              <w:spacing w:after="0"/>
            </w:pPr>
            <w:r>
              <w:rPr>
                <w:sz w:val="17"/>
              </w:rPr>
              <w:t>Canonical transactions, weekly review, buckets/sub-buckets, splits, reimbursements, account and location context, reports, debt and goals.</w:t>
            </w:r>
          </w:p>
        </w:tc>
      </w:tr>
      <w:tr>
        <w:trPr>
          <w:cantSplit/>
        </w:trPr>
        <w:tc>
          <w:tcPr>
            <w:tcW w:type="dxa" w:w="1584"/>
            <w:tcMar>
              <w:top w:w="58" w:type="dxa"/>
              <w:start w:w="65" w:type="dxa"/>
              <w:bottom w:w="58" w:type="dxa"/>
              <w:end w:w="65" w:type="dxa"/>
            </w:tcMar>
            <w:shd w:fill="F8FAF9"/>
            <w:vAlign w:val="center"/>
          </w:tcPr>
          <w:p>
            <w:pPr>
              <w:pStyle w:val="MMTableText"/>
              <w:spacing w:after="0"/>
            </w:pPr>
            <w:r>
              <w:rPr>
                <w:sz w:val="17"/>
              </w:rPr>
              <w:t>V2B</w:t>
            </w:r>
          </w:p>
        </w:tc>
        <w:tc>
          <w:tcPr>
            <w:tcW w:type="dxa" w:w="2088"/>
            <w:tcMar>
              <w:top w:w="58" w:type="dxa"/>
              <w:start w:w="65" w:type="dxa"/>
              <w:bottom w:w="58" w:type="dxa"/>
              <w:end w:w="65" w:type="dxa"/>
            </w:tcMar>
            <w:shd w:fill="F8FAF9"/>
            <w:vAlign w:val="center"/>
          </w:tcPr>
          <w:p>
            <w:pPr>
              <w:pStyle w:val="MMTableText"/>
              <w:spacing w:after="0"/>
            </w:pPr>
            <w:r>
              <w:rPr>
                <w:sz w:val="17"/>
              </w:rPr>
              <w:t>Future after V2A</w:t>
            </w:r>
          </w:p>
        </w:tc>
        <w:tc>
          <w:tcPr>
            <w:tcW w:type="dxa" w:w="6408"/>
            <w:tcMar>
              <w:top w:w="58" w:type="dxa"/>
              <w:start w:w="65" w:type="dxa"/>
              <w:bottom w:w="58" w:type="dxa"/>
              <w:end w:w="65" w:type="dxa"/>
            </w:tcMar>
            <w:shd w:fill="F8FAF9"/>
            <w:vAlign w:val="center"/>
          </w:tcPr>
          <w:p>
            <w:pPr>
              <w:pStyle w:val="MMTableText"/>
              <w:spacing w:after="0"/>
            </w:pPr>
            <w:r>
              <w:rPr>
                <w:sz w:val="17"/>
              </w:rPr>
              <w:t>Plaid Sandbox, local backend, synchronization, pending-to-posted reconciliation, duplicate handling, and repair flows.</w:t>
            </w:r>
          </w:p>
        </w:tc>
      </w:tr>
      <w:tr>
        <w:trPr>
          <w:cantSplit/>
        </w:trPr>
        <w:tc>
          <w:tcPr>
            <w:tcW w:type="dxa" w:w="1584"/>
            <w:tcMar>
              <w:top w:w="58" w:type="dxa"/>
              <w:start w:w="65" w:type="dxa"/>
              <w:bottom w:w="58" w:type="dxa"/>
              <w:end w:w="65" w:type="dxa"/>
            </w:tcMar>
            <w:vAlign w:val="center"/>
          </w:tcPr>
          <w:p>
            <w:pPr>
              <w:pStyle w:val="MMTableText"/>
              <w:spacing w:after="0"/>
            </w:pPr>
            <w:r>
              <w:rPr>
                <w:sz w:val="17"/>
              </w:rPr>
              <w:t>Live integration</w:t>
            </w:r>
          </w:p>
        </w:tc>
        <w:tc>
          <w:tcPr>
            <w:tcW w:type="dxa" w:w="2088"/>
            <w:tcMar>
              <w:top w:w="58" w:type="dxa"/>
              <w:start w:w="65" w:type="dxa"/>
              <w:bottom w:w="58" w:type="dxa"/>
              <w:end w:w="65" w:type="dxa"/>
            </w:tcMar>
            <w:vAlign w:val="center"/>
          </w:tcPr>
          <w:p>
            <w:pPr>
              <w:pStyle w:val="MMTableText"/>
              <w:spacing w:after="0"/>
            </w:pPr>
            <w:r>
              <w:rPr>
                <w:sz w:val="17"/>
              </w:rPr>
              <w:t>Future</w:t>
            </w:r>
          </w:p>
        </w:tc>
        <w:tc>
          <w:tcPr>
            <w:tcW w:type="dxa" w:w="6408"/>
            <w:tcMar>
              <w:top w:w="58" w:type="dxa"/>
              <w:start w:w="65" w:type="dxa"/>
              <w:bottom w:w="58" w:type="dxa"/>
              <w:end w:w="65" w:type="dxa"/>
            </w:tcMar>
            <w:vAlign w:val="center"/>
          </w:tcPr>
          <w:p>
            <w:pPr>
              <w:pStyle w:val="MMTableText"/>
              <w:spacing w:after="0"/>
            </w:pPr>
            <w:r>
              <w:rPr>
                <w:sz w:val="17"/>
              </w:rPr>
              <w:t>Production Plaid connection using user-authorized read-only account access.</w:t>
            </w:r>
          </w:p>
        </w:tc>
      </w:tr>
    </w:tbl>
    <w:p>
      <w:pPr>
        <w:spacing w:after="0"/>
      </w:pPr>
    </w:p>
    <w:p>
      <w:pPr>
        <w:pStyle w:val="Heading1"/>
      </w:pPr>
      <w:r>
        <w:t>4. Product Identity, Vision, and Principles</w:t>
      </w:r>
    </w:p>
    <w:p>
      <w:pPr>
        <w:pStyle w:val="Heading2"/>
      </w:pPr>
      <w:r>
        <w:t>4.1 Product name</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CEDEA"/>
            <w:vAlign w:val="center"/>
          </w:tcPr>
          <w:p>
            <w:pPr>
              <w:spacing w:after="0"/>
            </w:pPr>
            <w:r>
              <w:rPr>
                <w:b/>
                <w:color w:val="A33B33"/>
                <w:sz w:val="16"/>
              </w:rPr>
              <w:t>DEFECT / TECHNICAL DEBT</w:t>
            </w:r>
          </w:p>
        </w:tc>
        <w:tc>
          <w:tcPr>
            <w:tcW w:type="dxa" w:w="1944"/>
            <w:tcMar>
              <w:top w:w="45" w:type="dxa"/>
              <w:start w:w="75" w:type="dxa"/>
              <w:bottom w:w="45" w:type="dxa"/>
              <w:end w:w="75" w:type="dxa"/>
            </w:tcMar>
            <w:shd w:fill="FCEDEA"/>
            <w:vAlign w:val="center"/>
          </w:tcPr>
          <w:p>
            <w:pPr>
              <w:spacing w:after="0"/>
            </w:pPr>
            <w:r>
              <w:rPr>
                <w:b/>
                <w:color w:val="A33B33"/>
                <w:sz w:val="16"/>
              </w:rPr>
              <w:t>V2</w:t>
            </w:r>
          </w:p>
        </w:tc>
        <w:tc>
          <w:tcPr>
            <w:tcW w:type="dxa" w:w="5112"/>
            <w:tcMar>
              <w:top w:w="45" w:type="dxa"/>
              <w:start w:w="75" w:type="dxa"/>
              <w:bottom w:w="45" w:type="dxa"/>
              <w:end w:w="75" w:type="dxa"/>
            </w:tcMar>
            <w:shd w:fill="FCEDEA"/>
            <w:vAlign w:val="center"/>
          </w:tcPr>
          <w:p>
            <w:pPr>
              <w:spacing w:after="0"/>
            </w:pPr>
            <w:r>
              <w:rPr>
                <w:b/>
                <w:color w:val="A33B33"/>
                <w:sz w:val="16"/>
              </w:rPr>
              <w:t>Owner: Engineering | Mandatory rename and migration</w:t>
            </w:r>
          </w:p>
        </w:tc>
      </w:tr>
    </w:tbl>
    <w:p>
      <w:r>
        <w:t>The product is named Money Moves. All user-facing copy, package names, backup names, storage identifiers, documentation, window titles, logos, and code comments should use Money Moves. Obsolete branding may appear only in migration code or historical notes required to import an existing V1 vault.</w:t>
      </w:r>
    </w:p>
    <w:p>
      <w:pPr>
        <w:pStyle w:val="Heading3"/>
      </w:pPr>
      <w:r>
        <w:t>ID-001 — Canonical product naming</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Replace obsolete product names across the application. A user should never encounter the former name during normal launch, use, backup, restore, or export.</w:t>
      </w:r>
    </w:p>
    <w:p>
      <w:r>
        <w:rPr>
          <w:b/>
        </w:rPr>
        <w:t>Acceptance criteria</w:t>
      </w:r>
    </w:p>
    <w:p>
      <w:pPr>
        <w:pStyle w:val="ListBullet"/>
      </w:pPr>
      <w:r>
        <w:t>The browser title, app heading, backup filename, reset copy, vault prompts, and README all say Money Moves.</w:t>
      </w:r>
    </w:p>
    <w:p>
      <w:pPr>
        <w:pStyle w:val="ListBullet"/>
      </w:pPr>
      <w:r>
        <w:t>Legacy local-storage keys remain readable only through a one-time migration path.</w:t>
      </w:r>
    </w:p>
    <w:p>
      <w:pPr>
        <w:pStyle w:val="ListBullet"/>
      </w:pPr>
      <w:r>
        <w:t>The migrated vault is written under a Money Moves namespace after successful verification.</w:t>
      </w:r>
    </w:p>
    <w:p>
      <w:pPr>
        <w:pStyle w:val="Heading2"/>
      </w:pPr>
      <w:r>
        <w:t>4.2 Product vision</w:t>
      </w:r>
    </w:p>
    <w:p>
      <w:r>
        <w:t>Money Moves should help the user answer four questions with confidence: What happened to my money? What was actually mine to spend? What do I owe or expect to receive? What action should I take next? The product should make those answers understandable without requiring accounting expertise.</w:t>
      </w:r>
    </w:p>
    <w:p>
      <w:pPr>
        <w:pStyle w:val="Heading2"/>
      </w:pPr>
      <w:r>
        <w:t>4.3 Design principles</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2520"/>
            <w:shd w:fill="10261C"/>
            <w:tcMar>
              <w:top w:w="70" w:type="dxa"/>
              <w:start w:w="70" w:type="dxa"/>
              <w:bottom w:w="70" w:type="dxa"/>
              <w:end w:w="70" w:type="dxa"/>
            </w:tcMar>
            <w:vAlign w:val="center"/>
          </w:tcPr>
          <w:p>
            <w:pPr>
              <w:spacing w:after="0"/>
            </w:pPr>
            <w:r>
              <w:rPr>
                <w:b/>
                <w:color w:val="FFFFFF"/>
                <w:sz w:val="17"/>
              </w:rPr>
              <w:t>Principle</w:t>
            </w:r>
          </w:p>
        </w:tc>
        <w:tc>
          <w:tcPr>
            <w:tcW w:type="dxa" w:w="7560"/>
            <w:shd w:fill="10261C"/>
            <w:tcMar>
              <w:top w:w="70" w:type="dxa"/>
              <w:start w:w="70" w:type="dxa"/>
              <w:bottom w:w="70" w:type="dxa"/>
              <w:end w:w="70" w:type="dxa"/>
            </w:tcMar>
            <w:vAlign w:val="center"/>
          </w:tcPr>
          <w:p>
            <w:pPr>
              <w:spacing w:after="0"/>
            </w:pPr>
            <w:r>
              <w:rPr>
                <w:b/>
                <w:color w:val="FFFFFF"/>
                <w:sz w:val="17"/>
              </w:rPr>
              <w:t>Product implication</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7"/>
              </w:rPr>
              <w:t>User-owned meaning</w:t>
            </w:r>
          </w:p>
        </w:tc>
        <w:tc>
          <w:tcPr>
            <w:tcW w:type="dxa" w:w="7560"/>
            <w:tcMar>
              <w:top w:w="58" w:type="dxa"/>
              <w:start w:w="65" w:type="dxa"/>
              <w:bottom w:w="58" w:type="dxa"/>
              <w:end w:w="65" w:type="dxa"/>
            </w:tcMar>
            <w:shd w:fill="F8FAF9"/>
            <w:vAlign w:val="center"/>
          </w:tcPr>
          <w:p>
            <w:pPr>
              <w:pStyle w:val="MMTableText"/>
              <w:spacing w:after="0"/>
            </w:pPr>
            <w:r>
              <w:rPr>
                <w:sz w:val="17"/>
              </w:rPr>
              <w:t>Provider metadata is evidence, never the source of truth for buckets or spending intent.</w:t>
            </w:r>
          </w:p>
        </w:tc>
      </w:tr>
      <w:tr>
        <w:trPr>
          <w:cantSplit/>
        </w:trPr>
        <w:tc>
          <w:tcPr>
            <w:tcW w:type="dxa" w:w="2520"/>
            <w:tcMar>
              <w:top w:w="58" w:type="dxa"/>
              <w:start w:w="65" w:type="dxa"/>
              <w:bottom w:w="58" w:type="dxa"/>
              <w:end w:w="65" w:type="dxa"/>
            </w:tcMar>
            <w:vAlign w:val="center"/>
          </w:tcPr>
          <w:p>
            <w:pPr>
              <w:pStyle w:val="MMTableText"/>
              <w:spacing w:after="0"/>
            </w:pPr>
            <w:r>
              <w:rPr>
                <w:sz w:val="17"/>
              </w:rPr>
              <w:t>Traceability</w:t>
            </w:r>
          </w:p>
        </w:tc>
        <w:tc>
          <w:tcPr>
            <w:tcW w:type="dxa" w:w="7560"/>
            <w:tcMar>
              <w:top w:w="58" w:type="dxa"/>
              <w:start w:w="65" w:type="dxa"/>
              <w:bottom w:w="58" w:type="dxa"/>
              <w:end w:w="65" w:type="dxa"/>
            </w:tcMar>
            <w:vAlign w:val="center"/>
          </w:tcPr>
          <w:p>
            <w:pPr>
              <w:pStyle w:val="MMTableText"/>
              <w:spacing w:after="0"/>
            </w:pPr>
            <w:r>
              <w:rPr>
                <w:sz w:val="17"/>
              </w:rPr>
              <w:t>Every total links back to the transactions and allocations that compose it.</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7"/>
              </w:rPr>
              <w:t>Supervised automation</w:t>
            </w:r>
          </w:p>
        </w:tc>
        <w:tc>
          <w:tcPr>
            <w:tcW w:type="dxa" w:w="7560"/>
            <w:tcMar>
              <w:top w:w="58" w:type="dxa"/>
              <w:start w:w="65" w:type="dxa"/>
              <w:bottom w:w="58" w:type="dxa"/>
              <w:end w:w="65" w:type="dxa"/>
            </w:tcMar>
            <w:shd w:fill="F8FAF9"/>
            <w:vAlign w:val="center"/>
          </w:tcPr>
          <w:p>
            <w:pPr>
              <w:pStyle w:val="MMTableText"/>
              <w:spacing w:after="0"/>
            </w:pPr>
            <w:r>
              <w:rPr>
                <w:sz w:val="17"/>
              </w:rPr>
              <w:t>Rules may suggest or prefill; they do not silently finalize financial meaning.</w:t>
            </w:r>
          </w:p>
        </w:tc>
      </w:tr>
      <w:tr>
        <w:trPr>
          <w:cantSplit/>
        </w:trPr>
        <w:tc>
          <w:tcPr>
            <w:tcW w:type="dxa" w:w="2520"/>
            <w:tcMar>
              <w:top w:w="58" w:type="dxa"/>
              <w:start w:w="65" w:type="dxa"/>
              <w:bottom w:w="58" w:type="dxa"/>
              <w:end w:w="65" w:type="dxa"/>
            </w:tcMar>
            <w:vAlign w:val="center"/>
          </w:tcPr>
          <w:p>
            <w:pPr>
              <w:pStyle w:val="MMTableText"/>
              <w:spacing w:after="0"/>
            </w:pPr>
            <w:r>
              <w:rPr>
                <w:sz w:val="17"/>
              </w:rPr>
              <w:t>Local-first privacy</w:t>
            </w:r>
          </w:p>
        </w:tc>
        <w:tc>
          <w:tcPr>
            <w:tcW w:type="dxa" w:w="7560"/>
            <w:tcMar>
              <w:top w:w="58" w:type="dxa"/>
              <w:start w:w="65" w:type="dxa"/>
              <w:bottom w:w="58" w:type="dxa"/>
              <w:end w:w="65" w:type="dxa"/>
            </w:tcMar>
            <w:vAlign w:val="center"/>
          </w:tcPr>
          <w:p>
            <w:pPr>
              <w:pStyle w:val="MMTableText"/>
              <w:spacing w:after="0"/>
            </w:pPr>
            <w:r>
              <w:rPr>
                <w:sz w:val="17"/>
              </w:rPr>
              <w:t>Financial records remain local by default and are encrypted at rest.</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7"/>
              </w:rPr>
              <w:t>Cash and responsibility are different</w:t>
            </w:r>
          </w:p>
        </w:tc>
        <w:tc>
          <w:tcPr>
            <w:tcW w:type="dxa" w:w="7560"/>
            <w:tcMar>
              <w:top w:w="58" w:type="dxa"/>
              <w:start w:w="65" w:type="dxa"/>
              <w:bottom w:w="58" w:type="dxa"/>
              <w:end w:w="65" w:type="dxa"/>
            </w:tcMar>
            <w:shd w:fill="F8FAF9"/>
            <w:vAlign w:val="center"/>
          </w:tcPr>
          <w:p>
            <w:pPr>
              <w:pStyle w:val="MMTableText"/>
              <w:spacing w:after="0"/>
            </w:pPr>
            <w:r>
              <w:rPr>
                <w:sz w:val="17"/>
              </w:rPr>
              <w:t>The system distinguishes account movement from the user’s personal share of an expense.</w:t>
            </w:r>
          </w:p>
        </w:tc>
      </w:tr>
      <w:tr>
        <w:trPr>
          <w:cantSplit/>
        </w:trPr>
        <w:tc>
          <w:tcPr>
            <w:tcW w:type="dxa" w:w="2520"/>
            <w:tcMar>
              <w:top w:w="58" w:type="dxa"/>
              <w:start w:w="65" w:type="dxa"/>
              <w:bottom w:w="58" w:type="dxa"/>
              <w:end w:w="65" w:type="dxa"/>
            </w:tcMar>
            <w:vAlign w:val="center"/>
          </w:tcPr>
          <w:p>
            <w:pPr>
              <w:pStyle w:val="MMTableText"/>
              <w:spacing w:after="0"/>
            </w:pPr>
            <w:r>
              <w:rPr>
                <w:sz w:val="17"/>
              </w:rPr>
              <w:t>Honest uncertainty</w:t>
            </w:r>
          </w:p>
        </w:tc>
        <w:tc>
          <w:tcPr>
            <w:tcW w:type="dxa" w:w="7560"/>
            <w:tcMar>
              <w:top w:w="58" w:type="dxa"/>
              <w:start w:w="65" w:type="dxa"/>
              <w:bottom w:w="58" w:type="dxa"/>
              <w:end w:w="65" w:type="dxa"/>
            </w:tcMar>
            <w:vAlign w:val="center"/>
          </w:tcPr>
          <w:p>
            <w:pPr>
              <w:pStyle w:val="MMTableText"/>
              <w:spacing w:after="0"/>
            </w:pPr>
            <w:r>
              <w:rPr>
                <w:sz w:val="17"/>
              </w:rPr>
              <w:t>Unknown account, unknown location, and unmatched repayment states are shown explicitly rather than inferred.</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7"/>
              </w:rPr>
              <w:t>Progressive complexity</w:t>
            </w:r>
          </w:p>
        </w:tc>
        <w:tc>
          <w:tcPr>
            <w:tcW w:type="dxa" w:w="7560"/>
            <w:tcMar>
              <w:top w:w="58" w:type="dxa"/>
              <w:start w:w="65" w:type="dxa"/>
              <w:bottom w:w="58" w:type="dxa"/>
              <w:end w:w="65" w:type="dxa"/>
            </w:tcMar>
            <w:shd w:fill="F8FAF9"/>
            <w:vAlign w:val="center"/>
          </w:tcPr>
          <w:p>
            <w:pPr>
              <w:pStyle w:val="MMTableText"/>
              <w:spacing w:after="0"/>
            </w:pPr>
            <w:r>
              <w:rPr>
                <w:sz w:val="17"/>
              </w:rPr>
              <w:t>Basic categorization remains simple; splits, reimbursements, and detailed controls appear when needed.</w:t>
            </w:r>
          </w:p>
        </w:tc>
      </w:tr>
      <w:tr>
        <w:trPr>
          <w:cantSplit/>
        </w:trPr>
        <w:tc>
          <w:tcPr>
            <w:tcW w:type="dxa" w:w="2520"/>
            <w:tcMar>
              <w:top w:w="58" w:type="dxa"/>
              <w:start w:w="65" w:type="dxa"/>
              <w:bottom w:w="58" w:type="dxa"/>
              <w:end w:w="65" w:type="dxa"/>
            </w:tcMar>
            <w:vAlign w:val="center"/>
          </w:tcPr>
          <w:p>
            <w:pPr>
              <w:pStyle w:val="MMTableText"/>
              <w:spacing w:after="0"/>
            </w:pPr>
            <w:r>
              <w:rPr>
                <w:sz w:val="17"/>
              </w:rPr>
              <w:t>Reversible actions</w:t>
            </w:r>
          </w:p>
        </w:tc>
        <w:tc>
          <w:tcPr>
            <w:tcW w:type="dxa" w:w="7560"/>
            <w:tcMar>
              <w:top w:w="58" w:type="dxa"/>
              <w:start w:w="65" w:type="dxa"/>
              <w:bottom w:w="58" w:type="dxa"/>
              <w:end w:w="65" w:type="dxa"/>
            </w:tcMar>
            <w:vAlign w:val="center"/>
          </w:tcPr>
          <w:p>
            <w:pPr>
              <w:pStyle w:val="MMTableText"/>
              <w:spacing w:after="0"/>
            </w:pPr>
            <w:r>
              <w:rPr>
                <w:sz w:val="17"/>
              </w:rPr>
              <w:t>Review decisions, links, rules, and allocations can be undone with an audit trail.</w:t>
            </w:r>
          </w:p>
        </w:tc>
      </w:tr>
    </w:tbl>
    <w:p>
      <w:pPr>
        <w:spacing w:after="0"/>
      </w:pPr>
    </w:p>
    <w:p>
      <w:pPr>
        <w:pStyle w:val="Heading1"/>
      </w:pPr>
      <w:r>
        <w:t>5. Current-State Audit: V1</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EAF5EE"/>
            <w:vAlign w:val="center"/>
          </w:tcPr>
          <w:p>
            <w:pPr>
              <w:spacing w:after="0"/>
            </w:pPr>
            <w:r>
              <w:rPr>
                <w:b/>
                <w:color w:val="287A4D"/>
                <w:sz w:val="16"/>
              </w:rPr>
              <w:t>IMPLEMENTED IN V1</w:t>
            </w:r>
          </w:p>
        </w:tc>
        <w:tc>
          <w:tcPr>
            <w:tcW w:type="dxa" w:w="1944"/>
            <w:tcMar>
              <w:top w:w="45" w:type="dxa"/>
              <w:start w:w="75" w:type="dxa"/>
              <w:bottom w:w="45" w:type="dxa"/>
              <w:end w:w="75" w:type="dxa"/>
            </w:tcMar>
            <w:shd w:fill="EAF5EE"/>
            <w:vAlign w:val="center"/>
          </w:tcPr>
          <w:p>
            <w:pPr>
              <w:spacing w:after="0"/>
            </w:pPr>
            <w:r>
              <w:rPr>
                <w:b/>
                <w:color w:val="287A4D"/>
                <w:sz w:val="16"/>
              </w:rPr>
              <w:t>V1</w:t>
            </w:r>
          </w:p>
        </w:tc>
        <w:tc>
          <w:tcPr>
            <w:tcW w:type="dxa" w:w="5112"/>
            <w:tcMar>
              <w:top w:w="45" w:type="dxa"/>
              <w:start w:w="75" w:type="dxa"/>
              <w:bottom w:w="45" w:type="dxa"/>
              <w:end w:w="75" w:type="dxa"/>
            </w:tcMar>
            <w:shd w:fill="EAF5EE"/>
            <w:vAlign w:val="center"/>
          </w:tcPr>
          <w:p>
            <w:pPr>
              <w:spacing w:after="0"/>
            </w:pPr>
            <w:r>
              <w:rPr>
                <w:b/>
                <w:color w:val="287A4D"/>
                <w:sz w:val="16"/>
              </w:rPr>
              <w:t>Owner: Existing codebase</w:t>
            </w:r>
          </w:p>
        </w:tc>
      </w:tr>
    </w:tbl>
    <w:p>
      <w:r>
        <w:t>The implementation baseline was verified against the V1 source package. This section describes what exists today, not what was described in later prototypes or draft documents.</w:t>
      </w:r>
    </w:p>
    <w:p>
      <w:pPr>
        <w:pStyle w:val="Heading2"/>
      </w:pPr>
      <w:r>
        <w:t>5.1 V1 technology and deployment</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2376"/>
            <w:shd w:fill="10261C"/>
            <w:tcMar>
              <w:top w:w="70" w:type="dxa"/>
              <w:start w:w="70" w:type="dxa"/>
              <w:bottom w:w="70" w:type="dxa"/>
              <w:end w:w="70" w:type="dxa"/>
            </w:tcMar>
            <w:vAlign w:val="center"/>
          </w:tcPr>
          <w:p>
            <w:pPr>
              <w:spacing w:after="0"/>
            </w:pPr>
            <w:r>
              <w:rPr>
                <w:b/>
                <w:color w:val="FFFFFF"/>
                <w:sz w:val="17"/>
              </w:rPr>
              <w:t>Area</w:t>
            </w:r>
          </w:p>
        </w:tc>
        <w:tc>
          <w:tcPr>
            <w:tcW w:type="dxa" w:w="7704"/>
            <w:shd w:fill="10261C"/>
            <w:tcMar>
              <w:top w:w="70" w:type="dxa"/>
              <w:start w:w="70" w:type="dxa"/>
              <w:bottom w:w="70" w:type="dxa"/>
              <w:end w:w="70" w:type="dxa"/>
            </w:tcMar>
            <w:vAlign w:val="center"/>
          </w:tcPr>
          <w:p>
            <w:pPr>
              <w:spacing w:after="0"/>
            </w:pPr>
            <w:r>
              <w:rPr>
                <w:b/>
                <w:color w:val="FFFFFF"/>
                <w:sz w:val="17"/>
              </w:rPr>
              <w:t>Current V1 state</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7"/>
              </w:rPr>
              <w:t>Application type</w:t>
            </w:r>
          </w:p>
        </w:tc>
        <w:tc>
          <w:tcPr>
            <w:tcW w:type="dxa" w:w="7704"/>
            <w:tcMar>
              <w:top w:w="58" w:type="dxa"/>
              <w:start w:w="65" w:type="dxa"/>
              <w:bottom w:w="58" w:type="dxa"/>
              <w:end w:w="65" w:type="dxa"/>
            </w:tcMar>
            <w:shd w:fill="F8FAF9"/>
            <w:vAlign w:val="center"/>
          </w:tcPr>
          <w:p>
            <w:pPr>
              <w:pStyle w:val="MMTableText"/>
              <w:spacing w:after="0"/>
            </w:pPr>
            <w:r>
              <w:rPr>
                <w:sz w:val="17"/>
              </w:rPr>
              <w:t>Single-page browser application served from localhost.</w:t>
            </w:r>
          </w:p>
        </w:tc>
      </w:tr>
      <w:tr>
        <w:trPr>
          <w:cantSplit/>
        </w:trPr>
        <w:tc>
          <w:tcPr>
            <w:tcW w:type="dxa" w:w="2376"/>
            <w:tcMar>
              <w:top w:w="58" w:type="dxa"/>
              <w:start w:w="65" w:type="dxa"/>
              <w:bottom w:w="58" w:type="dxa"/>
              <w:end w:w="65" w:type="dxa"/>
            </w:tcMar>
            <w:vAlign w:val="center"/>
          </w:tcPr>
          <w:p>
            <w:pPr>
              <w:pStyle w:val="MMTableText"/>
              <w:spacing w:after="0"/>
            </w:pPr>
            <w:r>
              <w:rPr>
                <w:sz w:val="17"/>
              </w:rPr>
              <w:t>Frontend</w:t>
            </w:r>
          </w:p>
        </w:tc>
        <w:tc>
          <w:tcPr>
            <w:tcW w:type="dxa" w:w="7704"/>
            <w:tcMar>
              <w:top w:w="58" w:type="dxa"/>
              <w:start w:w="65" w:type="dxa"/>
              <w:bottom w:w="58" w:type="dxa"/>
              <w:end w:w="65" w:type="dxa"/>
            </w:tcMar>
            <w:vAlign w:val="center"/>
          </w:tcPr>
          <w:p>
            <w:pPr>
              <w:pStyle w:val="MMTableText"/>
              <w:spacing w:after="0"/>
            </w:pPr>
            <w:r>
              <w:rPr>
                <w:sz w:val="17"/>
              </w:rPr>
              <w:t>One HTML file with embedded CSS and JavaScript plus a seed data file.</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7"/>
              </w:rPr>
              <w:t>Persistence</w:t>
            </w:r>
          </w:p>
        </w:tc>
        <w:tc>
          <w:tcPr>
            <w:tcW w:type="dxa" w:w="7704"/>
            <w:tcMar>
              <w:top w:w="58" w:type="dxa"/>
              <w:start w:w="65" w:type="dxa"/>
              <w:bottom w:w="58" w:type="dxa"/>
              <w:end w:w="65" w:type="dxa"/>
            </w:tcMar>
            <w:shd w:fill="F8FAF9"/>
            <w:vAlign w:val="center"/>
          </w:tcPr>
          <w:p>
            <w:pPr>
              <w:pStyle w:val="MMTableText"/>
              <w:spacing w:after="0"/>
            </w:pPr>
            <w:r>
              <w:rPr>
                <w:sz w:val="17"/>
              </w:rPr>
              <w:t>Encrypted browser localStorage vault.</w:t>
            </w:r>
          </w:p>
        </w:tc>
      </w:tr>
      <w:tr>
        <w:trPr>
          <w:cantSplit/>
        </w:trPr>
        <w:tc>
          <w:tcPr>
            <w:tcW w:type="dxa" w:w="2376"/>
            <w:tcMar>
              <w:top w:w="58" w:type="dxa"/>
              <w:start w:w="65" w:type="dxa"/>
              <w:bottom w:w="58" w:type="dxa"/>
              <w:end w:w="65" w:type="dxa"/>
            </w:tcMar>
            <w:vAlign w:val="center"/>
          </w:tcPr>
          <w:p>
            <w:pPr>
              <w:pStyle w:val="MMTableText"/>
              <w:spacing w:after="0"/>
            </w:pPr>
            <w:r>
              <w:rPr>
                <w:sz w:val="17"/>
              </w:rPr>
              <w:t>Backend</w:t>
            </w:r>
          </w:p>
        </w:tc>
        <w:tc>
          <w:tcPr>
            <w:tcW w:type="dxa" w:w="7704"/>
            <w:tcMar>
              <w:top w:w="58" w:type="dxa"/>
              <w:start w:w="65" w:type="dxa"/>
              <w:bottom w:w="58" w:type="dxa"/>
              <w:end w:w="65" w:type="dxa"/>
            </w:tcMar>
            <w:vAlign w:val="center"/>
          </w:tcPr>
          <w:p>
            <w:pPr>
              <w:pStyle w:val="MMTableText"/>
              <w:spacing w:after="0"/>
            </w:pPr>
            <w:r>
              <w:rPr>
                <w:sz w:val="17"/>
              </w:rPr>
              <w:t>None.</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7"/>
              </w:rPr>
              <w:t>Database</w:t>
            </w:r>
          </w:p>
        </w:tc>
        <w:tc>
          <w:tcPr>
            <w:tcW w:type="dxa" w:w="7704"/>
            <w:tcMar>
              <w:top w:w="58" w:type="dxa"/>
              <w:start w:w="65" w:type="dxa"/>
              <w:bottom w:w="58" w:type="dxa"/>
              <w:end w:w="65" w:type="dxa"/>
            </w:tcMar>
            <w:shd w:fill="F8FAF9"/>
            <w:vAlign w:val="center"/>
          </w:tcPr>
          <w:p>
            <w:pPr>
              <w:pStyle w:val="MMTableText"/>
              <w:spacing w:after="0"/>
            </w:pPr>
            <w:r>
              <w:rPr>
                <w:sz w:val="17"/>
              </w:rPr>
              <w:t>None; one encrypted JSON state object.</w:t>
            </w:r>
          </w:p>
        </w:tc>
      </w:tr>
      <w:tr>
        <w:trPr>
          <w:cantSplit/>
        </w:trPr>
        <w:tc>
          <w:tcPr>
            <w:tcW w:type="dxa" w:w="2376"/>
            <w:tcMar>
              <w:top w:w="58" w:type="dxa"/>
              <w:start w:w="65" w:type="dxa"/>
              <w:bottom w:w="58" w:type="dxa"/>
              <w:end w:w="65" w:type="dxa"/>
            </w:tcMar>
            <w:vAlign w:val="center"/>
          </w:tcPr>
          <w:p>
            <w:pPr>
              <w:pStyle w:val="MMTableText"/>
              <w:spacing w:after="0"/>
            </w:pPr>
            <w:r>
              <w:rPr>
                <w:sz w:val="17"/>
              </w:rPr>
              <w:t>Account integration</w:t>
            </w:r>
          </w:p>
        </w:tc>
        <w:tc>
          <w:tcPr>
            <w:tcW w:type="dxa" w:w="7704"/>
            <w:tcMar>
              <w:top w:w="58" w:type="dxa"/>
              <w:start w:w="65" w:type="dxa"/>
              <w:bottom w:w="58" w:type="dxa"/>
              <w:end w:w="65" w:type="dxa"/>
            </w:tcMar>
            <w:vAlign w:val="center"/>
          </w:tcPr>
          <w:p>
            <w:pPr>
              <w:pStyle w:val="MMTableText"/>
              <w:spacing w:after="0"/>
            </w:pPr>
            <w:r>
              <w:rPr>
                <w:sz w:val="17"/>
              </w:rPr>
              <w:t>None.</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7"/>
              </w:rPr>
              <w:t>Transaction import</w:t>
            </w:r>
          </w:p>
        </w:tc>
        <w:tc>
          <w:tcPr>
            <w:tcW w:type="dxa" w:w="7704"/>
            <w:tcMar>
              <w:top w:w="58" w:type="dxa"/>
              <w:start w:w="65" w:type="dxa"/>
              <w:bottom w:w="58" w:type="dxa"/>
              <w:end w:w="65" w:type="dxa"/>
            </w:tcMar>
            <w:shd w:fill="F8FAF9"/>
            <w:vAlign w:val="center"/>
          </w:tcPr>
          <w:p>
            <w:pPr>
              <w:pStyle w:val="MMTableText"/>
              <w:spacing w:after="0"/>
            </w:pPr>
            <w:r>
              <w:rPr>
                <w:sz w:val="17"/>
              </w:rPr>
              <w:t>None.</w:t>
            </w:r>
          </w:p>
        </w:tc>
      </w:tr>
      <w:tr>
        <w:trPr>
          <w:cantSplit/>
        </w:trPr>
        <w:tc>
          <w:tcPr>
            <w:tcW w:type="dxa" w:w="2376"/>
            <w:tcMar>
              <w:top w:w="58" w:type="dxa"/>
              <w:start w:w="65" w:type="dxa"/>
              <w:bottom w:w="58" w:type="dxa"/>
              <w:end w:w="65" w:type="dxa"/>
            </w:tcMar>
            <w:vAlign w:val="center"/>
          </w:tcPr>
          <w:p>
            <w:pPr>
              <w:pStyle w:val="MMTableText"/>
              <w:spacing w:after="0"/>
            </w:pPr>
            <w:r>
              <w:rPr>
                <w:sz w:val="17"/>
              </w:rPr>
              <w:t>Deployment</w:t>
            </w:r>
          </w:p>
        </w:tc>
        <w:tc>
          <w:tcPr>
            <w:tcW w:type="dxa" w:w="7704"/>
            <w:tcMar>
              <w:top w:w="58" w:type="dxa"/>
              <w:start w:w="65" w:type="dxa"/>
              <w:bottom w:w="58" w:type="dxa"/>
              <w:end w:w="65" w:type="dxa"/>
            </w:tcMar>
            <w:vAlign w:val="center"/>
          </w:tcPr>
          <w:p>
            <w:pPr>
              <w:pStyle w:val="MMTableText"/>
              <w:spacing w:after="0"/>
            </w:pPr>
            <w:r>
              <w:rPr>
                <w:sz w:val="17"/>
              </w:rPr>
              <w:t>Local start script on macOS/Linux or Windows.</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7"/>
              </w:rPr>
              <w:t>Primary screen</w:t>
            </w:r>
          </w:p>
        </w:tc>
        <w:tc>
          <w:tcPr>
            <w:tcW w:type="dxa" w:w="7704"/>
            <w:tcMar>
              <w:top w:w="58" w:type="dxa"/>
              <w:start w:w="65" w:type="dxa"/>
              <w:bottom w:w="58" w:type="dxa"/>
              <w:end w:w="65" w:type="dxa"/>
            </w:tcMar>
            <w:shd w:fill="F8FAF9"/>
            <w:vAlign w:val="center"/>
          </w:tcPr>
          <w:p>
            <w:pPr>
              <w:pStyle w:val="MMTableText"/>
              <w:spacing w:after="0"/>
            </w:pPr>
            <w:r>
              <w:rPr>
                <w:sz w:val="17"/>
              </w:rPr>
              <w:t>Dense dark-green analytics console.</w:t>
            </w:r>
          </w:p>
        </w:tc>
      </w:tr>
    </w:tbl>
    <w:p>
      <w:pPr>
        <w:spacing w:after="0"/>
      </w:pPr>
    </w:p>
    <w:p>
      <w:pPr>
        <w:pStyle w:val="Heading2"/>
      </w:pPr>
      <w:r>
        <w:t>5.2 V1 implemented capabilities</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2520"/>
            <w:shd w:fill="10261C"/>
            <w:tcMar>
              <w:top w:w="70" w:type="dxa"/>
              <w:start w:w="70" w:type="dxa"/>
              <w:bottom w:w="70" w:type="dxa"/>
              <w:end w:w="70" w:type="dxa"/>
            </w:tcMar>
            <w:vAlign w:val="center"/>
          </w:tcPr>
          <w:p>
            <w:pPr>
              <w:spacing w:after="0"/>
            </w:pPr>
            <w:r>
              <w:rPr>
                <w:b/>
                <w:color w:val="FFFFFF"/>
                <w:sz w:val="17"/>
              </w:rPr>
              <w:t>Capability</w:t>
            </w:r>
          </w:p>
        </w:tc>
        <w:tc>
          <w:tcPr>
            <w:tcW w:type="dxa" w:w="7560"/>
            <w:shd w:fill="10261C"/>
            <w:tcMar>
              <w:top w:w="70" w:type="dxa"/>
              <w:start w:w="70" w:type="dxa"/>
              <w:bottom w:w="70" w:type="dxa"/>
              <w:end w:w="70" w:type="dxa"/>
            </w:tcMar>
            <w:vAlign w:val="center"/>
          </w:tcPr>
          <w:p>
            <w:pPr>
              <w:spacing w:after="0"/>
            </w:pPr>
            <w:r>
              <w:rPr>
                <w:b/>
                <w:color w:val="FFFFFF"/>
                <w:sz w:val="17"/>
              </w:rPr>
              <w:t>Implemented behavior</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7"/>
              </w:rPr>
              <w:t>Dashboard metrics</w:t>
            </w:r>
          </w:p>
        </w:tc>
        <w:tc>
          <w:tcPr>
            <w:tcW w:type="dxa" w:w="7560"/>
            <w:tcMar>
              <w:top w:w="58" w:type="dxa"/>
              <w:start w:w="65" w:type="dxa"/>
              <w:bottom w:w="58" w:type="dxa"/>
              <w:end w:w="65" w:type="dxa"/>
            </w:tcMar>
            <w:shd w:fill="F8FAF9"/>
            <w:vAlign w:val="center"/>
          </w:tcPr>
          <w:p>
            <w:pPr>
              <w:pStyle w:val="MMTableText"/>
              <w:spacing w:after="0"/>
            </w:pPr>
            <w:r>
              <w:rPr>
                <w:sz w:val="17"/>
              </w:rPr>
              <w:t>Safe-to-spend, monthly cash flow, net-worth snapshot, and a debt-utilization priority indicator.</w:t>
            </w:r>
          </w:p>
        </w:tc>
      </w:tr>
      <w:tr>
        <w:trPr>
          <w:cantSplit/>
        </w:trPr>
        <w:tc>
          <w:tcPr>
            <w:tcW w:type="dxa" w:w="2520"/>
            <w:tcMar>
              <w:top w:w="58" w:type="dxa"/>
              <w:start w:w="65" w:type="dxa"/>
              <w:bottom w:w="58" w:type="dxa"/>
              <w:end w:w="65" w:type="dxa"/>
            </w:tcMar>
            <w:vAlign w:val="center"/>
          </w:tcPr>
          <w:p>
            <w:pPr>
              <w:pStyle w:val="MMTableText"/>
              <w:spacing w:after="0"/>
            </w:pPr>
            <w:r>
              <w:rPr>
                <w:sz w:val="17"/>
              </w:rPr>
              <w:t>Category planning</w:t>
            </w:r>
          </w:p>
        </w:tc>
        <w:tc>
          <w:tcPr>
            <w:tcW w:type="dxa" w:w="7560"/>
            <w:tcMar>
              <w:top w:w="58" w:type="dxa"/>
              <w:start w:w="65" w:type="dxa"/>
              <w:bottom w:w="58" w:type="dxa"/>
              <w:end w:w="65" w:type="dxa"/>
            </w:tcMar>
            <w:vAlign w:val="center"/>
          </w:tcPr>
          <w:p>
            <w:pPr>
              <w:pStyle w:val="MMTableText"/>
              <w:spacing w:after="0"/>
            </w:pPr>
            <w:r>
              <w:rPr>
                <w:sz w:val="17"/>
              </w:rPr>
              <w:t>Editable monthly targets for a fixed list of needs, wants, and goals.</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7"/>
              </w:rPr>
              <w:t>Actual versus target</w:t>
            </w:r>
          </w:p>
        </w:tc>
        <w:tc>
          <w:tcPr>
            <w:tcW w:type="dxa" w:w="7560"/>
            <w:tcMar>
              <w:top w:w="58" w:type="dxa"/>
              <w:start w:w="65" w:type="dxa"/>
              <w:bottom w:w="58" w:type="dxa"/>
              <w:end w:w="65" w:type="dxa"/>
            </w:tcMar>
            <w:shd w:fill="F8FAF9"/>
            <w:vAlign w:val="center"/>
          </w:tcPr>
          <w:p>
            <w:pPr>
              <w:pStyle w:val="MMTableText"/>
              <w:spacing w:after="0"/>
            </w:pPr>
            <w:r>
              <w:rPr>
                <w:sz w:val="17"/>
              </w:rPr>
              <w:t>Aggregate category actuals and progress bars from a static seed snapshot.</w:t>
            </w:r>
          </w:p>
        </w:tc>
      </w:tr>
      <w:tr>
        <w:trPr>
          <w:cantSplit/>
        </w:trPr>
        <w:tc>
          <w:tcPr>
            <w:tcW w:type="dxa" w:w="2520"/>
            <w:tcMar>
              <w:top w:w="58" w:type="dxa"/>
              <w:start w:w="65" w:type="dxa"/>
              <w:bottom w:w="58" w:type="dxa"/>
              <w:end w:w="65" w:type="dxa"/>
            </w:tcMar>
            <w:vAlign w:val="center"/>
          </w:tcPr>
          <w:p>
            <w:pPr>
              <w:pStyle w:val="MMTableText"/>
              <w:spacing w:after="0"/>
            </w:pPr>
            <w:r>
              <w:rPr>
                <w:sz w:val="17"/>
              </w:rPr>
              <w:t>50/30/20 guidance</w:t>
            </w:r>
          </w:p>
        </w:tc>
        <w:tc>
          <w:tcPr>
            <w:tcW w:type="dxa" w:w="7560"/>
            <w:tcMar>
              <w:top w:w="58" w:type="dxa"/>
              <w:start w:w="65" w:type="dxa"/>
              <w:bottom w:w="58" w:type="dxa"/>
              <w:end w:w="65" w:type="dxa"/>
            </w:tcMar>
            <w:vAlign w:val="center"/>
          </w:tcPr>
          <w:p>
            <w:pPr>
              <w:pStyle w:val="MMTableText"/>
              <w:spacing w:after="0"/>
            </w:pPr>
            <w:r>
              <w:rPr>
                <w:sz w:val="17"/>
              </w:rPr>
              <w:t>Percentage summary based on category targets grouped as Needs, Wants, and Goals.</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7"/>
              </w:rPr>
              <w:t>Monthly income</w:t>
            </w:r>
          </w:p>
        </w:tc>
        <w:tc>
          <w:tcPr>
            <w:tcW w:type="dxa" w:w="7560"/>
            <w:tcMar>
              <w:top w:w="58" w:type="dxa"/>
              <w:start w:w="65" w:type="dxa"/>
              <w:bottom w:w="58" w:type="dxa"/>
              <w:end w:w="65" w:type="dxa"/>
            </w:tcMar>
            <w:shd w:fill="F8FAF9"/>
            <w:vAlign w:val="center"/>
          </w:tcPr>
          <w:p>
            <w:pPr>
              <w:pStyle w:val="MMTableText"/>
              <w:spacing w:after="0"/>
            </w:pPr>
            <w:r>
              <w:rPr>
                <w:sz w:val="17"/>
              </w:rPr>
              <w:t>Editable average monthly income stored in the encrypted vault.</w:t>
            </w:r>
          </w:p>
        </w:tc>
      </w:tr>
      <w:tr>
        <w:trPr>
          <w:cantSplit/>
        </w:trPr>
        <w:tc>
          <w:tcPr>
            <w:tcW w:type="dxa" w:w="2520"/>
            <w:tcMar>
              <w:top w:w="58" w:type="dxa"/>
              <w:start w:w="65" w:type="dxa"/>
              <w:bottom w:w="58" w:type="dxa"/>
              <w:end w:w="65" w:type="dxa"/>
            </w:tcMar>
            <w:vAlign w:val="center"/>
          </w:tcPr>
          <w:p>
            <w:pPr>
              <w:pStyle w:val="MMTableText"/>
              <w:spacing w:after="0"/>
            </w:pPr>
            <w:r>
              <w:rPr>
                <w:sz w:val="17"/>
              </w:rPr>
              <w:t>Travel ranking</w:t>
            </w:r>
          </w:p>
        </w:tc>
        <w:tc>
          <w:tcPr>
            <w:tcW w:type="dxa" w:w="7560"/>
            <w:tcMar>
              <w:top w:w="58" w:type="dxa"/>
              <w:start w:w="65" w:type="dxa"/>
              <w:bottom w:w="58" w:type="dxa"/>
              <w:end w:w="65" w:type="dxa"/>
            </w:tcMar>
            <w:vAlign w:val="center"/>
          </w:tcPr>
          <w:p>
            <w:pPr>
              <w:pStyle w:val="MMTableText"/>
              <w:spacing w:after="0"/>
            </w:pPr>
            <w:r>
              <w:rPr>
                <w:sz w:val="17"/>
              </w:rPr>
              <w:t>Three ranked domestic destinations from a curated local list.</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7"/>
              </w:rPr>
              <w:t>Travel constraints</w:t>
            </w:r>
          </w:p>
        </w:tc>
        <w:tc>
          <w:tcPr>
            <w:tcW w:type="dxa" w:w="7560"/>
            <w:tcMar>
              <w:top w:w="58" w:type="dxa"/>
              <w:start w:w="65" w:type="dxa"/>
              <w:bottom w:w="58" w:type="dxa"/>
              <w:end w:w="65" w:type="dxa"/>
            </w:tcMar>
            <w:shd w:fill="F8FAF9"/>
            <w:vAlign w:val="center"/>
          </w:tcPr>
          <w:p>
            <w:pPr>
              <w:pStyle w:val="MMTableText"/>
              <w:spacing w:after="0"/>
            </w:pPr>
            <w:r>
              <w:rPr>
                <w:sz w:val="17"/>
              </w:rPr>
              <w:t>IAD departure, no more than five days, ground budget at or below $1,500, protected full Friday or Saturday, and remote-work compatibility.</w:t>
            </w:r>
          </w:p>
        </w:tc>
      </w:tr>
      <w:tr>
        <w:trPr>
          <w:cantSplit/>
        </w:trPr>
        <w:tc>
          <w:tcPr>
            <w:tcW w:type="dxa" w:w="2520"/>
            <w:tcMar>
              <w:top w:w="58" w:type="dxa"/>
              <w:start w:w="65" w:type="dxa"/>
              <w:bottom w:w="58" w:type="dxa"/>
              <w:end w:w="65" w:type="dxa"/>
            </w:tcMar>
            <w:vAlign w:val="center"/>
          </w:tcPr>
          <w:p>
            <w:pPr>
              <w:pStyle w:val="MMTableText"/>
              <w:spacing w:after="0"/>
            </w:pPr>
            <w:r>
              <w:rPr>
                <w:sz w:val="17"/>
              </w:rPr>
              <w:t>Visited places</w:t>
            </w:r>
          </w:p>
        </w:tc>
        <w:tc>
          <w:tcPr>
            <w:tcW w:type="dxa" w:w="7560"/>
            <w:tcMar>
              <w:top w:w="58" w:type="dxa"/>
              <w:start w:w="65" w:type="dxa"/>
              <w:bottom w:w="58" w:type="dxa"/>
              <w:end w:w="65" w:type="dxa"/>
            </w:tcMar>
            <w:vAlign w:val="center"/>
          </w:tcPr>
          <w:p>
            <w:pPr>
              <w:pStyle w:val="MMTableText"/>
              <w:spacing w:after="0"/>
            </w:pPr>
            <w:r>
              <w:rPr>
                <w:sz w:val="17"/>
              </w:rPr>
              <w:t>Manual city/state history used to remove destinations from future rankings.</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7"/>
              </w:rPr>
              <w:t>Encrypted vault</w:t>
            </w:r>
          </w:p>
        </w:tc>
        <w:tc>
          <w:tcPr>
            <w:tcW w:type="dxa" w:w="7560"/>
            <w:tcMar>
              <w:top w:w="58" w:type="dxa"/>
              <w:start w:w="65" w:type="dxa"/>
              <w:bottom w:w="58" w:type="dxa"/>
              <w:end w:w="65" w:type="dxa"/>
            </w:tcMar>
            <w:shd w:fill="F8FAF9"/>
            <w:vAlign w:val="center"/>
          </w:tcPr>
          <w:p>
            <w:pPr>
              <w:pStyle w:val="MMTableText"/>
              <w:spacing w:after="0"/>
            </w:pPr>
            <w:r>
              <w:rPr>
                <w:sz w:val="17"/>
              </w:rPr>
              <w:t>AES-256-GCM with PBKDF2-SHA-256 and 600,000 iterations.</w:t>
            </w:r>
          </w:p>
        </w:tc>
      </w:tr>
      <w:tr>
        <w:trPr>
          <w:cantSplit/>
        </w:trPr>
        <w:tc>
          <w:tcPr>
            <w:tcW w:type="dxa" w:w="2520"/>
            <w:tcMar>
              <w:top w:w="58" w:type="dxa"/>
              <w:start w:w="65" w:type="dxa"/>
              <w:bottom w:w="58" w:type="dxa"/>
              <w:end w:w="65" w:type="dxa"/>
            </w:tcMar>
            <w:vAlign w:val="center"/>
          </w:tcPr>
          <w:p>
            <w:pPr>
              <w:pStyle w:val="MMTableText"/>
              <w:spacing w:after="0"/>
            </w:pPr>
            <w:r>
              <w:rPr>
                <w:sz w:val="17"/>
              </w:rPr>
              <w:t>Session security</w:t>
            </w:r>
          </w:p>
        </w:tc>
        <w:tc>
          <w:tcPr>
            <w:tcW w:type="dxa" w:w="7560"/>
            <w:tcMar>
              <w:top w:w="58" w:type="dxa"/>
              <w:start w:w="65" w:type="dxa"/>
              <w:bottom w:w="58" w:type="dxa"/>
              <w:end w:w="65" w:type="dxa"/>
            </w:tcMar>
            <w:vAlign w:val="center"/>
          </w:tcPr>
          <w:p>
            <w:pPr>
              <w:pStyle w:val="MMTableText"/>
              <w:spacing w:after="0"/>
            </w:pPr>
            <w:r>
              <w:rPr>
                <w:sz w:val="17"/>
              </w:rPr>
              <w:t>Passphrase setup/unlock, 60-minute inactivity lock, manual lock, in-memory key handling.</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7"/>
              </w:rPr>
              <w:t>Backup controls</w:t>
            </w:r>
          </w:p>
        </w:tc>
        <w:tc>
          <w:tcPr>
            <w:tcW w:type="dxa" w:w="7560"/>
            <w:tcMar>
              <w:top w:w="58" w:type="dxa"/>
              <w:start w:w="65" w:type="dxa"/>
              <w:bottom w:w="58" w:type="dxa"/>
              <w:end w:w="65" w:type="dxa"/>
            </w:tcMar>
            <w:shd w:fill="F8FAF9"/>
            <w:vAlign w:val="center"/>
          </w:tcPr>
          <w:p>
            <w:pPr>
              <w:pStyle w:val="MMTableText"/>
              <w:spacing w:after="0"/>
            </w:pPr>
            <w:r>
              <w:rPr>
                <w:sz w:val="17"/>
              </w:rPr>
              <w:t>Encrypted backup export, restore with passphrase verification, passphrase change, and reset.</w:t>
            </w:r>
          </w:p>
        </w:tc>
      </w:tr>
    </w:tbl>
    <w:p>
      <w:pPr>
        <w:spacing w:after="0"/>
      </w:pPr>
    </w:p>
    <w:p>
      <w:pPr>
        <w:pStyle w:val="Heading2"/>
      </w:pPr>
      <w:r>
        <w:t>5.3 V1 calculations and source data</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3389"/>
        <w:gridCol w:w="3389"/>
        <w:gridCol w:w="3389"/>
      </w:tblGrid>
      <w:tr>
        <w:trPr>
          <w:tblHeader w:val="true"/>
          <w:cantSplit/>
        </w:trPr>
        <w:tc>
          <w:tcPr>
            <w:tcW w:type="dxa" w:w="1944"/>
            <w:shd w:fill="10261C"/>
            <w:tcMar>
              <w:top w:w="70" w:type="dxa"/>
              <w:start w:w="70" w:type="dxa"/>
              <w:bottom w:w="70" w:type="dxa"/>
              <w:end w:w="70" w:type="dxa"/>
            </w:tcMar>
            <w:vAlign w:val="center"/>
          </w:tcPr>
          <w:p>
            <w:pPr>
              <w:spacing w:after="0"/>
            </w:pPr>
            <w:r>
              <w:rPr>
                <w:b/>
                <w:color w:val="FFFFFF"/>
                <w:sz w:val="16"/>
              </w:rPr>
              <w:t>Calculation</w:t>
            </w:r>
          </w:p>
        </w:tc>
        <w:tc>
          <w:tcPr>
            <w:tcW w:type="dxa" w:w="3960"/>
            <w:shd w:fill="10261C"/>
            <w:tcMar>
              <w:top w:w="70" w:type="dxa"/>
              <w:start w:w="70" w:type="dxa"/>
              <w:bottom w:w="70" w:type="dxa"/>
              <w:end w:w="70" w:type="dxa"/>
            </w:tcMar>
            <w:vAlign w:val="center"/>
          </w:tcPr>
          <w:p>
            <w:pPr>
              <w:spacing w:after="0"/>
            </w:pPr>
            <w:r>
              <w:rPr>
                <w:b/>
                <w:color w:val="FFFFFF"/>
                <w:sz w:val="16"/>
              </w:rPr>
              <w:t>V1 behavior</w:t>
            </w:r>
          </w:p>
        </w:tc>
        <w:tc>
          <w:tcPr>
            <w:tcW w:type="dxa" w:w="4176"/>
            <w:shd w:fill="10261C"/>
            <w:tcMar>
              <w:top w:w="70" w:type="dxa"/>
              <w:start w:w="70" w:type="dxa"/>
              <w:bottom w:w="70" w:type="dxa"/>
              <w:end w:w="70" w:type="dxa"/>
            </w:tcMar>
            <w:vAlign w:val="center"/>
          </w:tcPr>
          <w:p>
            <w:pPr>
              <w:spacing w:after="0"/>
            </w:pPr>
            <w:r>
              <w:rPr>
                <w:b/>
                <w:color w:val="FFFFFF"/>
                <w:sz w:val="16"/>
              </w:rPr>
              <w:t>Limitation</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6"/>
              </w:rPr>
              <w:t>Safe-to-spend</w:t>
            </w:r>
          </w:p>
        </w:tc>
        <w:tc>
          <w:tcPr>
            <w:tcW w:type="dxa" w:w="3960"/>
            <w:tcMar>
              <w:top w:w="58" w:type="dxa"/>
              <w:start w:w="65" w:type="dxa"/>
              <w:bottom w:w="58" w:type="dxa"/>
              <w:end w:w="65" w:type="dxa"/>
            </w:tcMar>
            <w:shd w:fill="F8FAF9"/>
            <w:vAlign w:val="center"/>
          </w:tcPr>
          <w:p>
            <w:pPr>
              <w:pStyle w:val="MMTableText"/>
              <w:spacing w:after="0"/>
            </w:pPr>
            <w:r>
              <w:rPr>
                <w:sz w:val="16"/>
              </w:rPr>
              <w:t>Average monthly income minus total planned category targets, floored at zero.</w:t>
            </w:r>
          </w:p>
        </w:tc>
        <w:tc>
          <w:tcPr>
            <w:tcW w:type="dxa" w:w="4176"/>
            <w:tcMar>
              <w:top w:w="58" w:type="dxa"/>
              <w:start w:w="65" w:type="dxa"/>
              <w:bottom w:w="58" w:type="dxa"/>
              <w:end w:w="65" w:type="dxa"/>
            </w:tcMar>
            <w:shd w:fill="F8FAF9"/>
            <w:vAlign w:val="center"/>
          </w:tcPr>
          <w:p>
            <w:pPr>
              <w:pStyle w:val="MMTableText"/>
              <w:spacing w:after="0"/>
            </w:pPr>
            <w:r>
              <w:rPr>
                <w:sz w:val="16"/>
              </w:rPr>
              <w:t>Not transaction-derived and does not account for timing, pending items, reimbursements, or account cash.</w:t>
            </w:r>
          </w:p>
        </w:tc>
      </w:tr>
      <w:tr>
        <w:trPr>
          <w:cantSplit/>
        </w:trPr>
        <w:tc>
          <w:tcPr>
            <w:tcW w:type="dxa" w:w="1944"/>
            <w:tcMar>
              <w:top w:w="58" w:type="dxa"/>
              <w:start w:w="65" w:type="dxa"/>
              <w:bottom w:w="58" w:type="dxa"/>
              <w:end w:w="65" w:type="dxa"/>
            </w:tcMar>
            <w:vAlign w:val="center"/>
          </w:tcPr>
          <w:p>
            <w:pPr>
              <w:pStyle w:val="MMTableText"/>
              <w:spacing w:after="0"/>
            </w:pPr>
            <w:r>
              <w:rPr>
                <w:sz w:val="16"/>
              </w:rPr>
              <w:t>Monthly cash flow</w:t>
            </w:r>
          </w:p>
        </w:tc>
        <w:tc>
          <w:tcPr>
            <w:tcW w:type="dxa" w:w="3960"/>
            <w:tcMar>
              <w:top w:w="58" w:type="dxa"/>
              <w:start w:w="65" w:type="dxa"/>
              <w:bottom w:w="58" w:type="dxa"/>
              <w:end w:w="65" w:type="dxa"/>
            </w:tcMar>
            <w:vAlign w:val="center"/>
          </w:tcPr>
          <w:p>
            <w:pPr>
              <w:pStyle w:val="MMTableText"/>
              <w:spacing w:after="0"/>
            </w:pPr>
            <w:r>
              <w:rPr>
                <w:sz w:val="16"/>
              </w:rPr>
              <w:t>Average monthly income minus aggregate current actuals.</w:t>
            </w:r>
          </w:p>
        </w:tc>
        <w:tc>
          <w:tcPr>
            <w:tcW w:type="dxa" w:w="4176"/>
            <w:tcMar>
              <w:top w:w="58" w:type="dxa"/>
              <w:start w:w="65" w:type="dxa"/>
              <w:bottom w:w="58" w:type="dxa"/>
              <w:end w:w="65" w:type="dxa"/>
            </w:tcMar>
            <w:vAlign w:val="center"/>
          </w:tcPr>
          <w:p>
            <w:pPr>
              <w:pStyle w:val="MMTableText"/>
              <w:spacing w:after="0"/>
            </w:pPr>
            <w:r>
              <w:rPr>
                <w:sz w:val="16"/>
              </w:rPr>
              <w:t>Income and spending are static seed values rather than reviewed movements.</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6"/>
              </w:rPr>
              <w:t>Net worth snapshot</w:t>
            </w:r>
          </w:p>
        </w:tc>
        <w:tc>
          <w:tcPr>
            <w:tcW w:type="dxa" w:w="3960"/>
            <w:tcMar>
              <w:top w:w="58" w:type="dxa"/>
              <w:start w:w="65" w:type="dxa"/>
              <w:bottom w:w="58" w:type="dxa"/>
              <w:end w:w="65" w:type="dxa"/>
            </w:tcMar>
            <w:shd w:fill="F8FAF9"/>
            <w:vAlign w:val="center"/>
          </w:tcPr>
          <w:p>
            <w:pPr>
              <w:pStyle w:val="MMTableText"/>
              <w:spacing w:after="0"/>
            </w:pPr>
            <w:r>
              <w:rPr>
                <w:sz w:val="16"/>
              </w:rPr>
              <w:t>Static connected-cash amount minus static card balances.</w:t>
            </w:r>
          </w:p>
        </w:tc>
        <w:tc>
          <w:tcPr>
            <w:tcW w:type="dxa" w:w="4176"/>
            <w:tcMar>
              <w:top w:w="58" w:type="dxa"/>
              <w:start w:w="65" w:type="dxa"/>
              <w:bottom w:w="58" w:type="dxa"/>
              <w:end w:w="65" w:type="dxa"/>
            </w:tcMar>
            <w:shd w:fill="F8FAF9"/>
            <w:vAlign w:val="center"/>
          </w:tcPr>
          <w:p>
            <w:pPr>
              <w:pStyle w:val="MMTableText"/>
              <w:spacing w:after="0"/>
            </w:pPr>
            <w:r>
              <w:rPr>
                <w:sz w:val="16"/>
              </w:rPr>
              <w:t>No balance history or live account refresh.</w:t>
            </w:r>
          </w:p>
        </w:tc>
      </w:tr>
      <w:tr>
        <w:trPr>
          <w:cantSplit/>
        </w:trPr>
        <w:tc>
          <w:tcPr>
            <w:tcW w:type="dxa" w:w="1944"/>
            <w:tcMar>
              <w:top w:w="58" w:type="dxa"/>
              <w:start w:w="65" w:type="dxa"/>
              <w:bottom w:w="58" w:type="dxa"/>
              <w:end w:w="65" w:type="dxa"/>
            </w:tcMar>
            <w:vAlign w:val="center"/>
          </w:tcPr>
          <w:p>
            <w:pPr>
              <w:pStyle w:val="MMTableText"/>
              <w:spacing w:after="0"/>
            </w:pPr>
            <w:r>
              <w:rPr>
                <w:sz w:val="16"/>
              </w:rPr>
              <w:t>Debt priority</w:t>
            </w:r>
          </w:p>
        </w:tc>
        <w:tc>
          <w:tcPr>
            <w:tcW w:type="dxa" w:w="3960"/>
            <w:tcMar>
              <w:top w:w="58" w:type="dxa"/>
              <w:start w:w="65" w:type="dxa"/>
              <w:bottom w:w="58" w:type="dxa"/>
              <w:end w:w="65" w:type="dxa"/>
            </w:tcMar>
            <w:vAlign w:val="center"/>
          </w:tcPr>
          <w:p>
            <w:pPr>
              <w:pStyle w:val="MMTableText"/>
              <w:spacing w:after="0"/>
            </w:pPr>
            <w:r>
              <w:rPr>
                <w:sz w:val="16"/>
              </w:rPr>
              <w:t>Displays a fixed Apple utilization value.</w:t>
            </w:r>
          </w:p>
        </w:tc>
        <w:tc>
          <w:tcPr>
            <w:tcW w:type="dxa" w:w="4176"/>
            <w:tcMar>
              <w:top w:w="58" w:type="dxa"/>
              <w:start w:w="65" w:type="dxa"/>
              <w:bottom w:w="58" w:type="dxa"/>
              <w:end w:w="65" w:type="dxa"/>
            </w:tcMar>
            <w:vAlign w:val="center"/>
          </w:tcPr>
          <w:p>
            <w:pPr>
              <w:pStyle w:val="MMTableText"/>
              <w:spacing w:after="0"/>
            </w:pPr>
            <w:r>
              <w:rPr>
                <w:sz w:val="16"/>
              </w:rPr>
              <w:t>Not calculated from account data at runtime.</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6"/>
              </w:rPr>
              <w:t>Actual versus target</w:t>
            </w:r>
          </w:p>
        </w:tc>
        <w:tc>
          <w:tcPr>
            <w:tcW w:type="dxa" w:w="3960"/>
            <w:tcMar>
              <w:top w:w="58" w:type="dxa"/>
              <w:start w:w="65" w:type="dxa"/>
              <w:bottom w:w="58" w:type="dxa"/>
              <w:end w:w="65" w:type="dxa"/>
            </w:tcMar>
            <w:shd w:fill="F8FAF9"/>
            <w:vAlign w:val="center"/>
          </w:tcPr>
          <w:p>
            <w:pPr>
              <w:pStyle w:val="MMTableText"/>
              <w:spacing w:after="0"/>
            </w:pPr>
            <w:r>
              <w:rPr>
                <w:sz w:val="16"/>
              </w:rPr>
              <w:t>Static actual amount per category.</w:t>
            </w:r>
          </w:p>
        </w:tc>
        <w:tc>
          <w:tcPr>
            <w:tcW w:type="dxa" w:w="4176"/>
            <w:tcMar>
              <w:top w:w="58" w:type="dxa"/>
              <w:start w:w="65" w:type="dxa"/>
              <w:bottom w:w="58" w:type="dxa"/>
              <w:end w:w="65" w:type="dxa"/>
            </w:tcMar>
            <w:shd w:fill="F8FAF9"/>
            <w:vAlign w:val="center"/>
          </w:tcPr>
          <w:p>
            <w:pPr>
              <w:pStyle w:val="MMTableText"/>
              <w:spacing w:after="0"/>
            </w:pPr>
            <w:r>
              <w:rPr>
                <w:sz w:val="16"/>
              </w:rPr>
              <w:t>No underlying transaction list or audit trail.</w:t>
            </w:r>
          </w:p>
        </w:tc>
      </w:tr>
      <w:tr>
        <w:trPr>
          <w:cantSplit/>
        </w:trPr>
        <w:tc>
          <w:tcPr>
            <w:tcW w:type="dxa" w:w="1944"/>
            <w:tcMar>
              <w:top w:w="58" w:type="dxa"/>
              <w:start w:w="65" w:type="dxa"/>
              <w:bottom w:w="58" w:type="dxa"/>
              <w:end w:w="65" w:type="dxa"/>
            </w:tcMar>
            <w:vAlign w:val="center"/>
          </w:tcPr>
          <w:p>
            <w:pPr>
              <w:pStyle w:val="MMTableText"/>
              <w:spacing w:after="0"/>
            </w:pPr>
            <w:r>
              <w:rPr>
                <w:sz w:val="16"/>
              </w:rPr>
              <w:t>Travel ranking</w:t>
            </w:r>
          </w:p>
        </w:tc>
        <w:tc>
          <w:tcPr>
            <w:tcW w:type="dxa" w:w="3960"/>
            <w:tcMar>
              <w:top w:w="58" w:type="dxa"/>
              <w:start w:w="65" w:type="dxa"/>
              <w:bottom w:w="58" w:type="dxa"/>
              <w:end w:w="65" w:type="dxa"/>
            </w:tcMar>
            <w:vAlign w:val="center"/>
          </w:tcPr>
          <w:p>
            <w:pPr>
              <w:pStyle w:val="MMTableText"/>
              <w:spacing w:after="0"/>
            </w:pPr>
            <w:r>
              <w:rPr>
                <w:sz w:val="16"/>
              </w:rPr>
              <w:t>Curated destinations sorted by local score and budget constraint.</w:t>
            </w:r>
          </w:p>
        </w:tc>
        <w:tc>
          <w:tcPr>
            <w:tcW w:type="dxa" w:w="4176"/>
            <w:tcMar>
              <w:top w:w="58" w:type="dxa"/>
              <w:start w:w="65" w:type="dxa"/>
              <w:bottom w:w="58" w:type="dxa"/>
              <w:end w:w="65" w:type="dxa"/>
            </w:tcMar>
            <w:vAlign w:val="center"/>
          </w:tcPr>
          <w:p>
            <w:pPr>
              <w:pStyle w:val="MMTableText"/>
              <w:spacing w:after="0"/>
            </w:pPr>
            <w:r>
              <w:rPr>
                <w:sz w:val="16"/>
              </w:rPr>
              <w:t>No live price, weather, calendar, or booking integration.</w:t>
            </w:r>
          </w:p>
        </w:tc>
      </w:tr>
    </w:tbl>
    <w:p>
      <w:pPr>
        <w:spacing w:after="0"/>
      </w:pPr>
    </w:p>
    <w:p>
      <w:pPr>
        <w:pStyle w:val="Heading2"/>
      </w:pPr>
      <w:r>
        <w:t>5.4 V1 data model</w:t>
      </w:r>
    </w:p>
    <w:p>
      <w:r>
        <w:t>V1 persists one encrypted JSON object containing average monthly income, aggregate categories, an account snapshot, recurring monthly total, travel preferences, visited cities, destination candidates, and a snapshot date. It does not contain canonical account records, transactions, allocations, merchant rules, reimbursement claims, or reporting periods.</w:t>
      </w:r>
    </w:p>
    <w:p>
      <w:pPr>
        <w:pStyle w:val="Heading2"/>
      </w:pPr>
      <w:r>
        <w:t>5.5 V1 security behavior</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3389"/>
        <w:gridCol w:w="3389"/>
        <w:gridCol w:w="3389"/>
      </w:tblGrid>
      <w:tr>
        <w:trPr>
          <w:tblHeader w:val="true"/>
          <w:cantSplit/>
        </w:trPr>
        <w:tc>
          <w:tcPr>
            <w:tcW w:type="dxa" w:w="1944"/>
            <w:shd w:fill="10261C"/>
            <w:tcMar>
              <w:top w:w="70" w:type="dxa"/>
              <w:start w:w="70" w:type="dxa"/>
              <w:bottom w:w="70" w:type="dxa"/>
              <w:end w:w="70" w:type="dxa"/>
            </w:tcMar>
            <w:vAlign w:val="center"/>
          </w:tcPr>
          <w:p>
            <w:pPr>
              <w:spacing w:after="0"/>
            </w:pPr>
            <w:r>
              <w:rPr>
                <w:b/>
                <w:color w:val="FFFFFF"/>
                <w:sz w:val="16"/>
              </w:rPr>
              <w:t>Control</w:t>
            </w:r>
          </w:p>
        </w:tc>
        <w:tc>
          <w:tcPr>
            <w:tcW w:type="dxa" w:w="3888"/>
            <w:shd w:fill="10261C"/>
            <w:tcMar>
              <w:top w:w="70" w:type="dxa"/>
              <w:start w:w="70" w:type="dxa"/>
              <w:bottom w:w="70" w:type="dxa"/>
              <w:end w:w="70" w:type="dxa"/>
            </w:tcMar>
            <w:vAlign w:val="center"/>
          </w:tcPr>
          <w:p>
            <w:pPr>
              <w:spacing w:after="0"/>
            </w:pPr>
            <w:r>
              <w:rPr>
                <w:b/>
                <w:color w:val="FFFFFF"/>
                <w:sz w:val="16"/>
              </w:rPr>
              <w:t>Current state</w:t>
            </w:r>
          </w:p>
        </w:tc>
        <w:tc>
          <w:tcPr>
            <w:tcW w:type="dxa" w:w="4248"/>
            <w:shd w:fill="10261C"/>
            <w:tcMar>
              <w:top w:w="70" w:type="dxa"/>
              <w:start w:w="70" w:type="dxa"/>
              <w:bottom w:w="70" w:type="dxa"/>
              <w:end w:w="70" w:type="dxa"/>
            </w:tcMar>
            <w:vAlign w:val="center"/>
          </w:tcPr>
          <w:p>
            <w:pPr>
              <w:spacing w:after="0"/>
            </w:pPr>
            <w:r>
              <w:rPr>
                <w:b/>
                <w:color w:val="FFFFFF"/>
                <w:sz w:val="16"/>
              </w:rPr>
              <w:t>V2 disposition</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6"/>
              </w:rPr>
              <w:t>Encryption</w:t>
            </w:r>
          </w:p>
        </w:tc>
        <w:tc>
          <w:tcPr>
            <w:tcW w:type="dxa" w:w="3888"/>
            <w:tcMar>
              <w:top w:w="58" w:type="dxa"/>
              <w:start w:w="65" w:type="dxa"/>
              <w:bottom w:w="58" w:type="dxa"/>
              <w:end w:w="65" w:type="dxa"/>
            </w:tcMar>
            <w:shd w:fill="F8FAF9"/>
            <w:vAlign w:val="center"/>
          </w:tcPr>
          <w:p>
            <w:pPr>
              <w:pStyle w:val="MMTableText"/>
              <w:spacing w:after="0"/>
            </w:pPr>
            <w:r>
              <w:rPr>
                <w:sz w:val="16"/>
              </w:rPr>
              <w:t>AES-256-GCM encrypted state object.</w:t>
            </w:r>
          </w:p>
        </w:tc>
        <w:tc>
          <w:tcPr>
            <w:tcW w:type="dxa" w:w="4248"/>
            <w:tcMar>
              <w:top w:w="58" w:type="dxa"/>
              <w:start w:w="65" w:type="dxa"/>
              <w:bottom w:w="58" w:type="dxa"/>
              <w:end w:w="65" w:type="dxa"/>
            </w:tcMar>
            <w:shd w:fill="F8FAF9"/>
            <w:vAlign w:val="center"/>
          </w:tcPr>
          <w:p>
            <w:pPr>
              <w:pStyle w:val="MMTableText"/>
              <w:spacing w:after="0"/>
            </w:pPr>
            <w:r>
              <w:rPr>
                <w:sz w:val="16"/>
              </w:rPr>
              <w:t>Retain concept; adapt to V2 database/storage architecture.</w:t>
            </w:r>
          </w:p>
        </w:tc>
      </w:tr>
      <w:tr>
        <w:trPr>
          <w:cantSplit/>
        </w:trPr>
        <w:tc>
          <w:tcPr>
            <w:tcW w:type="dxa" w:w="1944"/>
            <w:tcMar>
              <w:top w:w="58" w:type="dxa"/>
              <w:start w:w="65" w:type="dxa"/>
              <w:bottom w:w="58" w:type="dxa"/>
              <w:end w:w="65" w:type="dxa"/>
            </w:tcMar>
            <w:vAlign w:val="center"/>
          </w:tcPr>
          <w:p>
            <w:pPr>
              <w:pStyle w:val="MMTableText"/>
              <w:spacing w:after="0"/>
            </w:pPr>
            <w:r>
              <w:rPr>
                <w:sz w:val="16"/>
              </w:rPr>
              <w:t>Key derivation</w:t>
            </w:r>
          </w:p>
        </w:tc>
        <w:tc>
          <w:tcPr>
            <w:tcW w:type="dxa" w:w="3888"/>
            <w:tcMar>
              <w:top w:w="58" w:type="dxa"/>
              <w:start w:w="65" w:type="dxa"/>
              <w:bottom w:w="58" w:type="dxa"/>
              <w:end w:w="65" w:type="dxa"/>
            </w:tcMar>
            <w:vAlign w:val="center"/>
          </w:tcPr>
          <w:p>
            <w:pPr>
              <w:pStyle w:val="MMTableText"/>
              <w:spacing w:after="0"/>
            </w:pPr>
            <w:r>
              <w:rPr>
                <w:sz w:val="16"/>
              </w:rPr>
              <w:t>PBKDF2-SHA-256, 600,000 iterations, random salt.</w:t>
            </w:r>
          </w:p>
        </w:tc>
        <w:tc>
          <w:tcPr>
            <w:tcW w:type="dxa" w:w="4248"/>
            <w:tcMar>
              <w:top w:w="58" w:type="dxa"/>
              <w:start w:w="65" w:type="dxa"/>
              <w:bottom w:w="58" w:type="dxa"/>
              <w:end w:w="65" w:type="dxa"/>
            </w:tcMar>
            <w:vAlign w:val="center"/>
          </w:tcPr>
          <w:p>
            <w:pPr>
              <w:pStyle w:val="MMTableText"/>
              <w:spacing w:after="0"/>
            </w:pPr>
            <w:r>
              <w:rPr>
                <w:sz w:val="16"/>
              </w:rPr>
              <w:t>Retain or upgrade through a versioned cryptographic envelope.</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6"/>
              </w:rPr>
              <w:t>Initialization vector</w:t>
            </w:r>
          </w:p>
        </w:tc>
        <w:tc>
          <w:tcPr>
            <w:tcW w:type="dxa" w:w="3888"/>
            <w:tcMar>
              <w:top w:w="58" w:type="dxa"/>
              <w:start w:w="65" w:type="dxa"/>
              <w:bottom w:w="58" w:type="dxa"/>
              <w:end w:w="65" w:type="dxa"/>
            </w:tcMar>
            <w:shd w:fill="F8FAF9"/>
            <w:vAlign w:val="center"/>
          </w:tcPr>
          <w:p>
            <w:pPr>
              <w:pStyle w:val="MMTableText"/>
              <w:spacing w:after="0"/>
            </w:pPr>
            <w:r>
              <w:rPr>
                <w:sz w:val="16"/>
              </w:rPr>
              <w:t>Fresh random IV for every save.</w:t>
            </w:r>
          </w:p>
        </w:tc>
        <w:tc>
          <w:tcPr>
            <w:tcW w:type="dxa" w:w="4248"/>
            <w:tcMar>
              <w:top w:w="58" w:type="dxa"/>
              <w:start w:w="65" w:type="dxa"/>
              <w:bottom w:w="58" w:type="dxa"/>
              <w:end w:w="65" w:type="dxa"/>
            </w:tcMar>
            <w:shd w:fill="F8FAF9"/>
            <w:vAlign w:val="center"/>
          </w:tcPr>
          <w:p>
            <w:pPr>
              <w:pStyle w:val="MMTableText"/>
              <w:spacing w:after="0"/>
            </w:pPr>
            <w:r>
              <w:rPr>
                <w:sz w:val="16"/>
              </w:rPr>
              <w:t>Retain.</w:t>
            </w:r>
          </w:p>
        </w:tc>
      </w:tr>
      <w:tr>
        <w:trPr>
          <w:cantSplit/>
        </w:trPr>
        <w:tc>
          <w:tcPr>
            <w:tcW w:type="dxa" w:w="1944"/>
            <w:tcMar>
              <w:top w:w="58" w:type="dxa"/>
              <w:start w:w="65" w:type="dxa"/>
              <w:bottom w:w="58" w:type="dxa"/>
              <w:end w:w="65" w:type="dxa"/>
            </w:tcMar>
            <w:vAlign w:val="center"/>
          </w:tcPr>
          <w:p>
            <w:pPr>
              <w:pStyle w:val="MMTableText"/>
              <w:spacing w:after="0"/>
            </w:pPr>
            <w:r>
              <w:rPr>
                <w:sz w:val="16"/>
              </w:rPr>
              <w:t>Passphrase</w:t>
            </w:r>
          </w:p>
        </w:tc>
        <w:tc>
          <w:tcPr>
            <w:tcW w:type="dxa" w:w="3888"/>
            <w:tcMar>
              <w:top w:w="58" w:type="dxa"/>
              <w:start w:w="65" w:type="dxa"/>
              <w:bottom w:w="58" w:type="dxa"/>
              <w:end w:w="65" w:type="dxa"/>
            </w:tcMar>
            <w:vAlign w:val="center"/>
          </w:tcPr>
          <w:p>
            <w:pPr>
              <w:pStyle w:val="MMTableText"/>
              <w:spacing w:after="0"/>
            </w:pPr>
            <w:r>
              <w:rPr>
                <w:sz w:val="16"/>
              </w:rPr>
              <w:t>Not persisted; cannot be recovered.</w:t>
            </w:r>
          </w:p>
        </w:tc>
        <w:tc>
          <w:tcPr>
            <w:tcW w:type="dxa" w:w="4248"/>
            <w:tcMar>
              <w:top w:w="58" w:type="dxa"/>
              <w:start w:w="65" w:type="dxa"/>
              <w:bottom w:w="58" w:type="dxa"/>
              <w:end w:w="65" w:type="dxa"/>
            </w:tcMar>
            <w:vAlign w:val="center"/>
          </w:tcPr>
          <w:p>
            <w:pPr>
              <w:pStyle w:val="MMTableText"/>
              <w:spacing w:after="0"/>
            </w:pPr>
            <w:r>
              <w:rPr>
                <w:sz w:val="16"/>
              </w:rPr>
              <w:t>Retain clear warning and recovery limitations.</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6"/>
              </w:rPr>
              <w:t>Backup</w:t>
            </w:r>
          </w:p>
        </w:tc>
        <w:tc>
          <w:tcPr>
            <w:tcW w:type="dxa" w:w="3888"/>
            <w:tcMar>
              <w:top w:w="58" w:type="dxa"/>
              <w:start w:w="65" w:type="dxa"/>
              <w:bottom w:w="58" w:type="dxa"/>
              <w:end w:w="65" w:type="dxa"/>
            </w:tcMar>
            <w:shd w:fill="F8FAF9"/>
            <w:vAlign w:val="center"/>
          </w:tcPr>
          <w:p>
            <w:pPr>
              <w:pStyle w:val="MMTableText"/>
              <w:spacing w:after="0"/>
            </w:pPr>
            <w:r>
              <w:rPr>
                <w:sz w:val="16"/>
              </w:rPr>
              <w:t>Encrypted JSON export and verified restore.</w:t>
            </w:r>
          </w:p>
        </w:tc>
        <w:tc>
          <w:tcPr>
            <w:tcW w:type="dxa" w:w="4248"/>
            <w:tcMar>
              <w:top w:w="58" w:type="dxa"/>
              <w:start w:w="65" w:type="dxa"/>
              <w:bottom w:w="58" w:type="dxa"/>
              <w:end w:w="65" w:type="dxa"/>
            </w:tcMar>
            <w:shd w:fill="F8FAF9"/>
            <w:vAlign w:val="center"/>
          </w:tcPr>
          <w:p>
            <w:pPr>
              <w:pStyle w:val="MMTableText"/>
              <w:spacing w:after="0"/>
            </w:pPr>
            <w:r>
              <w:rPr>
                <w:sz w:val="16"/>
              </w:rPr>
              <w:t>Retain, add schema/version manifest and migration validation.</w:t>
            </w:r>
          </w:p>
        </w:tc>
      </w:tr>
      <w:tr>
        <w:trPr>
          <w:cantSplit/>
        </w:trPr>
        <w:tc>
          <w:tcPr>
            <w:tcW w:type="dxa" w:w="1944"/>
            <w:tcMar>
              <w:top w:w="58" w:type="dxa"/>
              <w:start w:w="65" w:type="dxa"/>
              <w:bottom w:w="58" w:type="dxa"/>
              <w:end w:w="65" w:type="dxa"/>
            </w:tcMar>
            <w:vAlign w:val="center"/>
          </w:tcPr>
          <w:p>
            <w:pPr>
              <w:pStyle w:val="MMTableText"/>
              <w:spacing w:after="0"/>
            </w:pPr>
            <w:r>
              <w:rPr>
                <w:sz w:val="16"/>
              </w:rPr>
              <w:t>Auto-lock</w:t>
            </w:r>
          </w:p>
        </w:tc>
        <w:tc>
          <w:tcPr>
            <w:tcW w:type="dxa" w:w="3888"/>
            <w:tcMar>
              <w:top w:w="58" w:type="dxa"/>
              <w:start w:w="65" w:type="dxa"/>
              <w:bottom w:w="58" w:type="dxa"/>
              <w:end w:w="65" w:type="dxa"/>
            </w:tcMar>
            <w:vAlign w:val="center"/>
          </w:tcPr>
          <w:p>
            <w:pPr>
              <w:pStyle w:val="MMTableText"/>
              <w:spacing w:after="0"/>
            </w:pPr>
            <w:r>
              <w:rPr>
                <w:sz w:val="16"/>
              </w:rPr>
              <w:t>60 minutes of inactivity.</w:t>
            </w:r>
          </w:p>
        </w:tc>
        <w:tc>
          <w:tcPr>
            <w:tcW w:type="dxa" w:w="4248"/>
            <w:tcMar>
              <w:top w:w="58" w:type="dxa"/>
              <w:start w:w="65" w:type="dxa"/>
              <w:bottom w:w="58" w:type="dxa"/>
              <w:end w:w="65" w:type="dxa"/>
            </w:tcMar>
            <w:vAlign w:val="center"/>
          </w:tcPr>
          <w:p>
            <w:pPr>
              <w:pStyle w:val="MMTableText"/>
              <w:spacing w:after="0"/>
            </w:pPr>
            <w:r>
              <w:rPr>
                <w:sz w:val="16"/>
              </w:rPr>
              <w:t>Retain as configurable preference with safe limits.</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6"/>
              </w:rPr>
              <w:t>Threat boundary</w:t>
            </w:r>
          </w:p>
        </w:tc>
        <w:tc>
          <w:tcPr>
            <w:tcW w:type="dxa" w:w="3888"/>
            <w:tcMar>
              <w:top w:w="58" w:type="dxa"/>
              <w:start w:w="65" w:type="dxa"/>
              <w:bottom w:w="58" w:type="dxa"/>
              <w:end w:w="65" w:type="dxa"/>
            </w:tcMar>
            <w:shd w:fill="F8FAF9"/>
            <w:vAlign w:val="center"/>
          </w:tcPr>
          <w:p>
            <w:pPr>
              <w:pStyle w:val="MMTableText"/>
              <w:spacing w:after="0"/>
            </w:pPr>
            <w:r>
              <w:rPr>
                <w:sz w:val="16"/>
              </w:rPr>
              <w:t>Does not protect against malware or hostile extensions while unlocked.</w:t>
            </w:r>
          </w:p>
        </w:tc>
        <w:tc>
          <w:tcPr>
            <w:tcW w:type="dxa" w:w="4248"/>
            <w:tcMar>
              <w:top w:w="58" w:type="dxa"/>
              <w:start w:w="65" w:type="dxa"/>
              <w:bottom w:w="58" w:type="dxa"/>
              <w:end w:w="65" w:type="dxa"/>
            </w:tcMar>
            <w:shd w:fill="F8FAF9"/>
            <w:vAlign w:val="center"/>
          </w:tcPr>
          <w:p>
            <w:pPr>
              <w:pStyle w:val="MMTableText"/>
              <w:spacing w:after="0"/>
            </w:pPr>
            <w:r>
              <w:rPr>
                <w:sz w:val="16"/>
              </w:rPr>
              <w:t>Retain in user-facing security documentation.</w:t>
            </w:r>
          </w:p>
        </w:tc>
      </w:tr>
    </w:tbl>
    <w:p>
      <w:pPr>
        <w:spacing w:after="0"/>
      </w:pPr>
    </w:p>
    <w:p>
      <w:pPr>
        <w:pStyle w:val="Heading2"/>
      </w:pPr>
      <w:r>
        <w:t>5.6 V1 limitations and defects</w:t>
      </w:r>
    </w:p>
    <w:p>
      <w:pPr>
        <w:pStyle w:val="ListBullet"/>
      </w:pPr>
      <w:r>
        <w:t>No transaction-level data, transaction history, or transaction drill-down.</w:t>
      </w:r>
    </w:p>
    <w:p>
      <w:pPr>
        <w:pStyle w:val="ListBullet"/>
      </w:pPr>
      <w:r>
        <w:t>No weekly review workflow.</w:t>
      </w:r>
    </w:p>
    <w:p>
      <w:pPr>
        <w:pStyle w:val="ListBullet"/>
      </w:pPr>
      <w:r>
        <w:t>No CSV import or provider adapter.</w:t>
      </w:r>
    </w:p>
    <w:p>
      <w:pPr>
        <w:pStyle w:val="ListBullet"/>
      </w:pPr>
      <w:r>
        <w:t>No user-created buckets, sub-buckets, or bucket ordering.</w:t>
      </w:r>
    </w:p>
    <w:p>
      <w:pPr>
        <w:pStyle w:val="ListBullet"/>
      </w:pPr>
      <w:r>
        <w:t>No merchant rules or reusable categorization suggestions.</w:t>
      </w:r>
    </w:p>
    <w:p>
      <w:pPr>
        <w:pStyle w:val="ListBullet"/>
      </w:pPr>
      <w:r>
        <w:t>No split transactions or mixed-purpose purchases.</w:t>
      </w:r>
    </w:p>
    <w:p>
      <w:pPr>
        <w:pStyle w:val="ListBullet"/>
      </w:pPr>
      <w:r>
        <w:t>No reimbursement, refund, or shared-expense model.</w:t>
      </w:r>
    </w:p>
    <w:p>
      <w:pPr>
        <w:pStyle w:val="ListBullet"/>
      </w:pPr>
      <w:r>
        <w:t>No account identity on a transaction because transactions do not exist.</w:t>
      </w:r>
    </w:p>
    <w:p>
      <w:pPr>
        <w:pStyle w:val="ListBullet"/>
      </w:pPr>
      <w:r>
        <w:t>No state/country transaction location.</w:t>
      </w:r>
    </w:p>
    <w:p>
      <w:pPr>
        <w:pStyle w:val="ListBullet"/>
      </w:pPr>
      <w:r>
        <w:t>No distinction between gross cash movement and personal spending responsibility.</w:t>
      </w:r>
    </w:p>
    <w:p>
      <w:pPr>
        <w:pStyle w:val="ListBullet"/>
      </w:pPr>
      <w:r>
        <w:t>No pending-versus-posted transaction lifecycle.</w:t>
      </w:r>
    </w:p>
    <w:p>
      <w:pPr>
        <w:pStyle w:val="ListBullet"/>
      </w:pPr>
      <w:r>
        <w:t>No duplicate detection or reconciliation.</w:t>
      </w:r>
    </w:p>
    <w:p>
      <w:pPr>
        <w:pStyle w:val="ListBullet"/>
      </w:pPr>
      <w:r>
        <w:t>No debt payoff schedule, emergency savings workflow, or goal contribution history.</w:t>
      </w:r>
    </w:p>
    <w:p>
      <w:pPr>
        <w:pStyle w:val="ListBullet"/>
      </w:pPr>
      <w:r>
        <w:t>No month rollover or historical month navigation.</w:t>
      </w:r>
    </w:p>
    <w:p>
      <w:pPr>
        <w:pStyle w:val="ListBullet"/>
      </w:pPr>
      <w:r>
        <w:t>No live integration with a financial-data provider.</w:t>
      </w:r>
    </w:p>
    <w:p>
      <w:pPr>
        <w:pStyle w:val="ListBullet"/>
      </w:pPr>
      <w:r>
        <w:t>Obsolete product naming remains in V1 UI strings, filenames, backup names, and storage keys.</w:t>
      </w:r>
    </w:p>
    <w:p>
      <w:pPr>
        <w:pStyle w:val="Heading1"/>
      </w:pPr>
      <w:r>
        <w:t>6. V1-to-V2 Change Summary</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V2A</w:t>
            </w:r>
          </w:p>
        </w:tc>
        <w:tc>
          <w:tcPr>
            <w:tcW w:type="dxa" w:w="5112"/>
            <w:tcMar>
              <w:top w:w="45" w:type="dxa"/>
              <w:start w:w="75" w:type="dxa"/>
              <w:bottom w:w="45" w:type="dxa"/>
              <w:end w:w="75" w:type="dxa"/>
            </w:tcMar>
            <w:shd w:fill="FFF0E2"/>
            <w:vAlign w:val="center"/>
          </w:tcPr>
          <w:p>
            <w:pPr>
              <w:spacing w:after="0"/>
            </w:pPr>
            <w:r>
              <w:rPr>
                <w:b/>
                <w:color w:val="B86119"/>
                <w:sz w:val="16"/>
              </w:rPr>
              <w:t>Owner: Product + Engineering</w:t>
            </w:r>
          </w:p>
        </w:tc>
      </w:tr>
    </w:tbl>
    <w:p>
      <w:r>
        <w:t>V2 is not a cosmetic redesign. It changes the source of truth from aggregate category totals to transactions and allocations. Existing V1 calculations should be reimplemented on top of the canonical ledger rather than copied as static arithmetic.</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3389"/>
        <w:gridCol w:w="3389"/>
        <w:gridCol w:w="3389"/>
      </w:tblGrid>
      <w:tr>
        <w:trPr>
          <w:tblHeader w:val="true"/>
          <w:cantSplit/>
        </w:trPr>
        <w:tc>
          <w:tcPr>
            <w:tcW w:type="dxa" w:w="1944"/>
            <w:shd w:fill="10261C"/>
            <w:tcMar>
              <w:top w:w="70" w:type="dxa"/>
              <w:start w:w="70" w:type="dxa"/>
              <w:bottom w:w="70" w:type="dxa"/>
              <w:end w:w="70" w:type="dxa"/>
            </w:tcMar>
            <w:vAlign w:val="center"/>
          </w:tcPr>
          <w:p>
            <w:pPr>
              <w:spacing w:after="0"/>
            </w:pPr>
            <w:r>
              <w:rPr>
                <w:b/>
                <w:color w:val="FFFFFF"/>
                <w:sz w:val="16"/>
              </w:rPr>
              <w:t>Area</w:t>
            </w:r>
          </w:p>
        </w:tc>
        <w:tc>
          <w:tcPr>
            <w:tcW w:type="dxa" w:w="3528"/>
            <w:shd w:fill="10261C"/>
            <w:tcMar>
              <w:top w:w="70" w:type="dxa"/>
              <w:start w:w="70" w:type="dxa"/>
              <w:bottom w:w="70" w:type="dxa"/>
              <w:end w:w="70" w:type="dxa"/>
            </w:tcMar>
            <w:vAlign w:val="center"/>
          </w:tcPr>
          <w:p>
            <w:pPr>
              <w:spacing w:after="0"/>
            </w:pPr>
            <w:r>
              <w:rPr>
                <w:b/>
                <w:color w:val="FFFFFF"/>
                <w:sz w:val="16"/>
              </w:rPr>
              <w:t>V1 current</w:t>
            </w:r>
          </w:p>
        </w:tc>
        <w:tc>
          <w:tcPr>
            <w:tcW w:type="dxa" w:w="4608"/>
            <w:shd w:fill="10261C"/>
            <w:tcMar>
              <w:top w:w="70" w:type="dxa"/>
              <w:start w:w="70" w:type="dxa"/>
              <w:bottom w:w="70" w:type="dxa"/>
              <w:end w:w="70" w:type="dxa"/>
            </w:tcMar>
            <w:vAlign w:val="center"/>
          </w:tcPr>
          <w:p>
            <w:pPr>
              <w:spacing w:after="0"/>
            </w:pPr>
            <w:r>
              <w:rPr>
                <w:b/>
                <w:color w:val="FFFFFF"/>
                <w:sz w:val="16"/>
              </w:rPr>
              <w:t>V2 proposed</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6"/>
              </w:rPr>
              <w:t>Product structure</w:t>
            </w:r>
          </w:p>
        </w:tc>
        <w:tc>
          <w:tcPr>
            <w:tcW w:type="dxa" w:w="3528"/>
            <w:tcMar>
              <w:top w:w="58" w:type="dxa"/>
              <w:start w:w="65" w:type="dxa"/>
              <w:bottom w:w="58" w:type="dxa"/>
              <w:end w:w="65" w:type="dxa"/>
            </w:tcMar>
            <w:shd w:fill="F8FAF9"/>
            <w:vAlign w:val="center"/>
          </w:tcPr>
          <w:p>
            <w:pPr>
              <w:pStyle w:val="MMTableText"/>
              <w:spacing w:after="0"/>
            </w:pPr>
            <w:r>
              <w:rPr>
                <w:sz w:val="16"/>
              </w:rPr>
              <w:t>One analytics console.</w:t>
            </w:r>
          </w:p>
        </w:tc>
        <w:tc>
          <w:tcPr>
            <w:tcW w:type="dxa" w:w="4608"/>
            <w:tcMar>
              <w:top w:w="58" w:type="dxa"/>
              <w:start w:w="65" w:type="dxa"/>
              <w:bottom w:w="58" w:type="dxa"/>
              <w:end w:w="65" w:type="dxa"/>
            </w:tcMar>
            <w:shd w:fill="F8FAF9"/>
            <w:vAlign w:val="center"/>
          </w:tcPr>
          <w:p>
            <w:pPr>
              <w:pStyle w:val="MMTableText"/>
              <w:spacing w:after="0"/>
            </w:pPr>
            <w:r>
              <w:rPr>
                <w:sz w:val="16"/>
              </w:rPr>
              <w:t>Focused navigation: Overview, Weekly Review, Transactions, Buckets &amp; Rules, Shared Expenses, Debt &amp; Goals, Travel, Settings &amp; Vault.</w:t>
            </w:r>
          </w:p>
        </w:tc>
      </w:tr>
      <w:tr>
        <w:trPr>
          <w:cantSplit/>
        </w:trPr>
        <w:tc>
          <w:tcPr>
            <w:tcW w:type="dxa" w:w="1944"/>
            <w:tcMar>
              <w:top w:w="58" w:type="dxa"/>
              <w:start w:w="65" w:type="dxa"/>
              <w:bottom w:w="58" w:type="dxa"/>
              <w:end w:w="65" w:type="dxa"/>
            </w:tcMar>
            <w:vAlign w:val="center"/>
          </w:tcPr>
          <w:p>
            <w:pPr>
              <w:pStyle w:val="MMTableText"/>
              <w:spacing w:after="0"/>
            </w:pPr>
            <w:r>
              <w:rPr>
                <w:sz w:val="16"/>
              </w:rPr>
              <w:t>Financial source of truth</w:t>
            </w:r>
          </w:p>
        </w:tc>
        <w:tc>
          <w:tcPr>
            <w:tcW w:type="dxa" w:w="3528"/>
            <w:tcMar>
              <w:top w:w="58" w:type="dxa"/>
              <w:start w:w="65" w:type="dxa"/>
              <w:bottom w:w="58" w:type="dxa"/>
              <w:end w:w="65" w:type="dxa"/>
            </w:tcMar>
            <w:vAlign w:val="center"/>
          </w:tcPr>
          <w:p>
            <w:pPr>
              <w:pStyle w:val="MMTableText"/>
              <w:spacing w:after="0"/>
            </w:pPr>
            <w:r>
              <w:rPr>
                <w:sz w:val="16"/>
              </w:rPr>
              <w:t>Static aggregate seed.</w:t>
            </w:r>
          </w:p>
        </w:tc>
        <w:tc>
          <w:tcPr>
            <w:tcW w:type="dxa" w:w="4608"/>
            <w:tcMar>
              <w:top w:w="58" w:type="dxa"/>
              <w:start w:w="65" w:type="dxa"/>
              <w:bottom w:w="58" w:type="dxa"/>
              <w:end w:w="65" w:type="dxa"/>
            </w:tcMar>
            <w:vAlign w:val="center"/>
          </w:tcPr>
          <w:p>
            <w:pPr>
              <w:pStyle w:val="MMTableText"/>
              <w:spacing w:after="0"/>
            </w:pPr>
            <w:r>
              <w:rPr>
                <w:sz w:val="16"/>
              </w:rPr>
              <w:t>Canonical transactions plus reviewed allocations.</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6"/>
              </w:rPr>
              <w:t>Categories</w:t>
            </w:r>
          </w:p>
        </w:tc>
        <w:tc>
          <w:tcPr>
            <w:tcW w:type="dxa" w:w="3528"/>
            <w:tcMar>
              <w:top w:w="58" w:type="dxa"/>
              <w:start w:w="65" w:type="dxa"/>
              <w:bottom w:w="58" w:type="dxa"/>
              <w:end w:w="65" w:type="dxa"/>
            </w:tcMar>
            <w:shd w:fill="F8FAF9"/>
            <w:vAlign w:val="center"/>
          </w:tcPr>
          <w:p>
            <w:pPr>
              <w:pStyle w:val="MMTableText"/>
              <w:spacing w:after="0"/>
            </w:pPr>
            <w:r>
              <w:rPr>
                <w:sz w:val="16"/>
              </w:rPr>
              <w:t>Fixed aggregate categories.</w:t>
            </w:r>
          </w:p>
        </w:tc>
        <w:tc>
          <w:tcPr>
            <w:tcW w:type="dxa" w:w="4608"/>
            <w:tcMar>
              <w:top w:w="58" w:type="dxa"/>
              <w:start w:w="65" w:type="dxa"/>
              <w:bottom w:w="58" w:type="dxa"/>
              <w:end w:w="65" w:type="dxa"/>
            </w:tcMar>
            <w:shd w:fill="F8FAF9"/>
            <w:vAlign w:val="center"/>
          </w:tcPr>
          <w:p>
            <w:pPr>
              <w:pStyle w:val="MMTableText"/>
              <w:spacing w:after="0"/>
            </w:pPr>
            <w:r>
              <w:rPr>
                <w:sz w:val="16"/>
              </w:rPr>
              <w:t>User-owned parent buckets and optional sub-buckets.</w:t>
            </w:r>
          </w:p>
        </w:tc>
      </w:tr>
      <w:tr>
        <w:trPr>
          <w:cantSplit/>
        </w:trPr>
        <w:tc>
          <w:tcPr>
            <w:tcW w:type="dxa" w:w="1944"/>
            <w:tcMar>
              <w:top w:w="58" w:type="dxa"/>
              <w:start w:w="65" w:type="dxa"/>
              <w:bottom w:w="58" w:type="dxa"/>
              <w:end w:w="65" w:type="dxa"/>
            </w:tcMar>
            <w:vAlign w:val="center"/>
          </w:tcPr>
          <w:p>
            <w:pPr>
              <w:pStyle w:val="MMTableText"/>
              <w:spacing w:after="0"/>
            </w:pPr>
            <w:r>
              <w:rPr>
                <w:sz w:val="16"/>
              </w:rPr>
              <w:t>Actual spend</w:t>
            </w:r>
          </w:p>
        </w:tc>
        <w:tc>
          <w:tcPr>
            <w:tcW w:type="dxa" w:w="3528"/>
            <w:tcMar>
              <w:top w:w="58" w:type="dxa"/>
              <w:start w:w="65" w:type="dxa"/>
              <w:bottom w:w="58" w:type="dxa"/>
              <w:end w:w="65" w:type="dxa"/>
            </w:tcMar>
            <w:vAlign w:val="center"/>
          </w:tcPr>
          <w:p>
            <w:pPr>
              <w:pStyle w:val="MMTableText"/>
              <w:spacing w:after="0"/>
            </w:pPr>
            <w:r>
              <w:rPr>
                <w:sz w:val="16"/>
              </w:rPr>
              <w:t>Stored aggregate amount.</w:t>
            </w:r>
          </w:p>
        </w:tc>
        <w:tc>
          <w:tcPr>
            <w:tcW w:type="dxa" w:w="4608"/>
            <w:tcMar>
              <w:top w:w="58" w:type="dxa"/>
              <w:start w:w="65" w:type="dxa"/>
              <w:bottom w:w="58" w:type="dxa"/>
              <w:end w:w="65" w:type="dxa"/>
            </w:tcMar>
            <w:vAlign w:val="center"/>
          </w:tcPr>
          <w:p>
            <w:pPr>
              <w:pStyle w:val="MMTableText"/>
              <w:spacing w:after="0"/>
            </w:pPr>
            <w:r>
              <w:rPr>
                <w:sz w:val="16"/>
              </w:rPr>
              <w:t>Calculated from allocations for the selected month.</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6"/>
              </w:rPr>
              <w:t>Income</w:t>
            </w:r>
          </w:p>
        </w:tc>
        <w:tc>
          <w:tcPr>
            <w:tcW w:type="dxa" w:w="3528"/>
            <w:tcMar>
              <w:top w:w="58" w:type="dxa"/>
              <w:start w:w="65" w:type="dxa"/>
              <w:bottom w:w="58" w:type="dxa"/>
              <w:end w:w="65" w:type="dxa"/>
            </w:tcMar>
            <w:shd w:fill="F8FAF9"/>
            <w:vAlign w:val="center"/>
          </w:tcPr>
          <w:p>
            <w:pPr>
              <w:pStyle w:val="MMTableText"/>
              <w:spacing w:after="0"/>
            </w:pPr>
            <w:r>
              <w:rPr>
                <w:sz w:val="16"/>
              </w:rPr>
              <w:t>One average monthly input.</w:t>
            </w:r>
          </w:p>
        </w:tc>
        <w:tc>
          <w:tcPr>
            <w:tcW w:type="dxa" w:w="4608"/>
            <w:tcMar>
              <w:top w:w="58" w:type="dxa"/>
              <w:start w:w="65" w:type="dxa"/>
              <w:bottom w:w="58" w:type="dxa"/>
              <w:end w:w="65" w:type="dxa"/>
            </w:tcMar>
            <w:shd w:fill="F8FAF9"/>
            <w:vAlign w:val="center"/>
          </w:tcPr>
          <w:p>
            <w:pPr>
              <w:pStyle w:val="MMTableText"/>
              <w:spacing w:after="0"/>
            </w:pPr>
            <w:r>
              <w:rPr>
                <w:sz w:val="16"/>
              </w:rPr>
              <w:t>Classified inflows plus planning baseline, kept separate.</w:t>
            </w:r>
          </w:p>
        </w:tc>
      </w:tr>
      <w:tr>
        <w:trPr>
          <w:cantSplit/>
        </w:trPr>
        <w:tc>
          <w:tcPr>
            <w:tcW w:type="dxa" w:w="1944"/>
            <w:tcMar>
              <w:top w:w="58" w:type="dxa"/>
              <w:start w:w="65" w:type="dxa"/>
              <w:bottom w:w="58" w:type="dxa"/>
              <w:end w:w="65" w:type="dxa"/>
            </w:tcMar>
            <w:vAlign w:val="center"/>
          </w:tcPr>
          <w:p>
            <w:pPr>
              <w:pStyle w:val="MMTableText"/>
              <w:spacing w:after="0"/>
            </w:pPr>
            <w:r>
              <w:rPr>
                <w:sz w:val="16"/>
              </w:rPr>
              <w:t>Account details</w:t>
            </w:r>
          </w:p>
        </w:tc>
        <w:tc>
          <w:tcPr>
            <w:tcW w:type="dxa" w:w="3528"/>
            <w:tcMar>
              <w:top w:w="58" w:type="dxa"/>
              <w:start w:w="65" w:type="dxa"/>
              <w:bottom w:w="58" w:type="dxa"/>
              <w:end w:w="65" w:type="dxa"/>
            </w:tcMar>
            <w:vAlign w:val="center"/>
          </w:tcPr>
          <w:p>
            <w:pPr>
              <w:pStyle w:val="MMTableText"/>
              <w:spacing w:after="0"/>
            </w:pPr>
            <w:r>
              <w:rPr>
                <w:sz w:val="16"/>
              </w:rPr>
              <w:t>Static balances only.</w:t>
            </w:r>
          </w:p>
        </w:tc>
        <w:tc>
          <w:tcPr>
            <w:tcW w:type="dxa" w:w="4608"/>
            <w:tcMar>
              <w:top w:w="58" w:type="dxa"/>
              <w:start w:w="65" w:type="dxa"/>
              <w:bottom w:w="58" w:type="dxa"/>
              <w:end w:w="65" w:type="dxa"/>
            </w:tcMar>
            <w:vAlign w:val="center"/>
          </w:tcPr>
          <w:p>
            <w:pPr>
              <w:pStyle w:val="MMTableText"/>
              <w:spacing w:after="0"/>
            </w:pPr>
            <w:r>
              <w:rPr>
                <w:sz w:val="16"/>
              </w:rPr>
              <w:t>Normalized account records; every transaction references an account or explicit Unknown account.</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6"/>
              </w:rPr>
              <w:t>Location</w:t>
            </w:r>
          </w:p>
        </w:tc>
        <w:tc>
          <w:tcPr>
            <w:tcW w:type="dxa" w:w="3528"/>
            <w:tcMar>
              <w:top w:w="58" w:type="dxa"/>
              <w:start w:w="65" w:type="dxa"/>
              <w:bottom w:w="58" w:type="dxa"/>
              <w:end w:w="65" w:type="dxa"/>
            </w:tcMar>
            <w:shd w:fill="F8FAF9"/>
            <w:vAlign w:val="center"/>
          </w:tcPr>
          <w:p>
            <w:pPr>
              <w:pStyle w:val="MMTableText"/>
              <w:spacing w:after="0"/>
            </w:pPr>
            <w:r>
              <w:rPr>
                <w:sz w:val="16"/>
              </w:rPr>
              <w:t>None.</w:t>
            </w:r>
          </w:p>
        </w:tc>
        <w:tc>
          <w:tcPr>
            <w:tcW w:type="dxa" w:w="4608"/>
            <w:tcMar>
              <w:top w:w="58" w:type="dxa"/>
              <w:start w:w="65" w:type="dxa"/>
              <w:bottom w:w="58" w:type="dxa"/>
              <w:end w:w="65" w:type="dxa"/>
            </w:tcMar>
            <w:shd w:fill="F8FAF9"/>
            <w:vAlign w:val="center"/>
          </w:tcPr>
          <w:p>
            <w:pPr>
              <w:pStyle w:val="MMTableText"/>
              <w:spacing w:after="0"/>
            </w:pPr>
            <w:r>
              <w:rPr>
                <w:sz w:val="16"/>
              </w:rPr>
              <w:t>State and country when available, with provenance and manual correction.</w:t>
            </w:r>
          </w:p>
        </w:tc>
      </w:tr>
      <w:tr>
        <w:trPr>
          <w:cantSplit/>
        </w:trPr>
        <w:tc>
          <w:tcPr>
            <w:tcW w:type="dxa" w:w="1944"/>
            <w:tcMar>
              <w:top w:w="58" w:type="dxa"/>
              <w:start w:w="65" w:type="dxa"/>
              <w:bottom w:w="58" w:type="dxa"/>
              <w:end w:w="65" w:type="dxa"/>
            </w:tcMar>
            <w:vAlign w:val="center"/>
          </w:tcPr>
          <w:p>
            <w:pPr>
              <w:pStyle w:val="MMTableText"/>
              <w:spacing w:after="0"/>
            </w:pPr>
            <w:r>
              <w:rPr>
                <w:sz w:val="16"/>
              </w:rPr>
              <w:t>Shared expenses</w:t>
            </w:r>
          </w:p>
        </w:tc>
        <w:tc>
          <w:tcPr>
            <w:tcW w:type="dxa" w:w="3528"/>
            <w:tcMar>
              <w:top w:w="58" w:type="dxa"/>
              <w:start w:w="65" w:type="dxa"/>
              <w:bottom w:w="58" w:type="dxa"/>
              <w:end w:w="65" w:type="dxa"/>
            </w:tcMar>
            <w:vAlign w:val="center"/>
          </w:tcPr>
          <w:p>
            <w:pPr>
              <w:pStyle w:val="MMTableText"/>
              <w:spacing w:after="0"/>
            </w:pPr>
            <w:r>
              <w:rPr>
                <w:sz w:val="16"/>
              </w:rPr>
              <w:t>None.</w:t>
            </w:r>
          </w:p>
        </w:tc>
        <w:tc>
          <w:tcPr>
            <w:tcW w:type="dxa" w:w="4608"/>
            <w:tcMar>
              <w:top w:w="58" w:type="dxa"/>
              <w:start w:w="65" w:type="dxa"/>
              <w:bottom w:w="58" w:type="dxa"/>
              <w:end w:w="65" w:type="dxa"/>
            </w:tcMar>
            <w:vAlign w:val="center"/>
          </w:tcPr>
          <w:p>
            <w:pPr>
              <w:pStyle w:val="MMTableText"/>
              <w:spacing w:after="0"/>
            </w:pPr>
            <w:r>
              <w:rPr>
                <w:sz w:val="16"/>
              </w:rPr>
              <w:t>Expense ownership, reimbursement claims, linked repayments, outstanding receivables, and write-offs.</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6"/>
              </w:rPr>
              <w:t>Automation</w:t>
            </w:r>
          </w:p>
        </w:tc>
        <w:tc>
          <w:tcPr>
            <w:tcW w:type="dxa" w:w="3528"/>
            <w:tcMar>
              <w:top w:w="58" w:type="dxa"/>
              <w:start w:w="65" w:type="dxa"/>
              <w:bottom w:w="58" w:type="dxa"/>
              <w:end w:w="65" w:type="dxa"/>
            </w:tcMar>
            <w:shd w:fill="F8FAF9"/>
            <w:vAlign w:val="center"/>
          </w:tcPr>
          <w:p>
            <w:pPr>
              <w:pStyle w:val="MMTableText"/>
              <w:spacing w:after="0"/>
            </w:pPr>
            <w:r>
              <w:rPr>
                <w:sz w:val="16"/>
              </w:rPr>
              <w:t>None.</w:t>
            </w:r>
          </w:p>
        </w:tc>
        <w:tc>
          <w:tcPr>
            <w:tcW w:type="dxa" w:w="4608"/>
            <w:tcMar>
              <w:top w:w="58" w:type="dxa"/>
              <w:start w:w="65" w:type="dxa"/>
              <w:bottom w:w="58" w:type="dxa"/>
              <w:end w:w="65" w:type="dxa"/>
            </w:tcMar>
            <w:shd w:fill="F8FAF9"/>
            <w:vAlign w:val="center"/>
          </w:tcPr>
          <w:p>
            <w:pPr>
              <w:pStyle w:val="MMTableText"/>
              <w:spacing w:after="0"/>
            </w:pPr>
            <w:r>
              <w:rPr>
                <w:sz w:val="16"/>
              </w:rPr>
              <w:t>Supervised merchant rules and suggestions; no silent finalization.</w:t>
            </w:r>
          </w:p>
        </w:tc>
      </w:tr>
      <w:tr>
        <w:trPr>
          <w:cantSplit/>
        </w:trPr>
        <w:tc>
          <w:tcPr>
            <w:tcW w:type="dxa" w:w="1944"/>
            <w:tcMar>
              <w:top w:w="58" w:type="dxa"/>
              <w:start w:w="65" w:type="dxa"/>
              <w:bottom w:w="58" w:type="dxa"/>
              <w:end w:w="65" w:type="dxa"/>
            </w:tcMar>
            <w:vAlign w:val="center"/>
          </w:tcPr>
          <w:p>
            <w:pPr>
              <w:pStyle w:val="MMTableText"/>
              <w:spacing w:after="0"/>
            </w:pPr>
            <w:r>
              <w:rPr>
                <w:sz w:val="16"/>
              </w:rPr>
              <w:t>Persistence</w:t>
            </w:r>
          </w:p>
        </w:tc>
        <w:tc>
          <w:tcPr>
            <w:tcW w:type="dxa" w:w="3528"/>
            <w:tcMar>
              <w:top w:w="58" w:type="dxa"/>
              <w:start w:w="65" w:type="dxa"/>
              <w:bottom w:w="58" w:type="dxa"/>
              <w:end w:w="65" w:type="dxa"/>
            </w:tcMar>
            <w:vAlign w:val="center"/>
          </w:tcPr>
          <w:p>
            <w:pPr>
              <w:pStyle w:val="MMTableText"/>
              <w:spacing w:after="0"/>
            </w:pPr>
            <w:r>
              <w:rPr>
                <w:sz w:val="16"/>
              </w:rPr>
              <w:t>Encrypted localStorage object.</w:t>
            </w:r>
          </w:p>
        </w:tc>
        <w:tc>
          <w:tcPr>
            <w:tcW w:type="dxa" w:w="4608"/>
            <w:tcMar>
              <w:top w:w="58" w:type="dxa"/>
              <w:start w:w="65" w:type="dxa"/>
              <w:bottom w:w="58" w:type="dxa"/>
              <w:end w:w="65" w:type="dxa"/>
            </w:tcMar>
            <w:vAlign w:val="center"/>
          </w:tcPr>
          <w:p>
            <w:pPr>
              <w:pStyle w:val="MMTableText"/>
              <w:spacing w:after="0"/>
            </w:pPr>
            <w:r>
              <w:rPr>
                <w:sz w:val="16"/>
              </w:rPr>
              <w:t>Versioned local data store with migrations and encrypted backups.</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6"/>
              </w:rPr>
              <w:t>Plaid</w:t>
            </w:r>
          </w:p>
        </w:tc>
        <w:tc>
          <w:tcPr>
            <w:tcW w:type="dxa" w:w="3528"/>
            <w:tcMar>
              <w:top w:w="58" w:type="dxa"/>
              <w:start w:w="65" w:type="dxa"/>
              <w:bottom w:w="58" w:type="dxa"/>
              <w:end w:w="65" w:type="dxa"/>
            </w:tcMar>
            <w:shd w:fill="F8FAF9"/>
            <w:vAlign w:val="center"/>
          </w:tcPr>
          <w:p>
            <w:pPr>
              <w:pStyle w:val="MMTableText"/>
              <w:spacing w:after="0"/>
            </w:pPr>
            <w:r>
              <w:rPr>
                <w:sz w:val="16"/>
              </w:rPr>
              <w:t>None.</w:t>
            </w:r>
          </w:p>
        </w:tc>
        <w:tc>
          <w:tcPr>
            <w:tcW w:type="dxa" w:w="4608"/>
            <w:tcMar>
              <w:top w:w="58" w:type="dxa"/>
              <w:start w:w="65" w:type="dxa"/>
              <w:bottom w:w="58" w:type="dxa"/>
              <w:end w:w="65" w:type="dxa"/>
            </w:tcMar>
            <w:shd w:fill="F8FAF9"/>
            <w:vAlign w:val="center"/>
          </w:tcPr>
          <w:p>
            <w:pPr>
              <w:pStyle w:val="MMTableText"/>
              <w:spacing w:after="0"/>
            </w:pPr>
            <w:r>
              <w:rPr>
                <w:sz w:val="16"/>
              </w:rPr>
              <w:t>Later adapter into the canonical model; never the owner of user buckets.</w:t>
            </w:r>
          </w:p>
        </w:tc>
      </w:tr>
    </w:tbl>
    <w:p>
      <w:pPr>
        <w:spacing w:after="0"/>
      </w:pPr>
    </w:p>
    <w:p>
      <w:pPr>
        <w:pStyle w:val="Heading1"/>
      </w:pPr>
      <w:r>
        <w:t>7. Users, Jobs, and Success Measures</w:t>
      </w:r>
    </w:p>
    <w:p>
      <w:pPr>
        <w:pStyle w:val="Heading2"/>
      </w:pPr>
      <w:r>
        <w:t>7.1 Primary user</w:t>
      </w:r>
    </w:p>
    <w:p>
      <w:r>
        <w:t>The primary user is a financially engaged individual who wants more control and explanation than a conventional banking app provides, but does not want to maintain a formal accounting system. The product assumes one owner and one local financial profile in V2.</w:t>
      </w:r>
    </w:p>
    <w:p>
      <w:pPr>
        <w:pStyle w:val="Heading2"/>
      </w:pPr>
      <w:r>
        <w:t>7.2 Core jobs to be done</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2592"/>
            <w:shd w:fill="10261C"/>
            <w:tcMar>
              <w:top w:w="70" w:type="dxa"/>
              <w:start w:w="70" w:type="dxa"/>
              <w:bottom w:w="70" w:type="dxa"/>
              <w:end w:w="70" w:type="dxa"/>
            </w:tcMar>
            <w:vAlign w:val="center"/>
          </w:tcPr>
          <w:p>
            <w:pPr>
              <w:spacing w:after="0"/>
            </w:pPr>
            <w:r>
              <w:rPr>
                <w:b/>
                <w:color w:val="FFFFFF"/>
                <w:sz w:val="17"/>
              </w:rPr>
              <w:t>Job</w:t>
            </w:r>
          </w:p>
        </w:tc>
        <w:tc>
          <w:tcPr>
            <w:tcW w:type="dxa" w:w="7488"/>
            <w:shd w:fill="10261C"/>
            <w:tcMar>
              <w:top w:w="70" w:type="dxa"/>
              <w:start w:w="70" w:type="dxa"/>
              <w:bottom w:w="70" w:type="dxa"/>
              <w:end w:w="70" w:type="dxa"/>
            </w:tcMar>
            <w:vAlign w:val="center"/>
          </w:tcPr>
          <w:p>
            <w:pPr>
              <w:spacing w:after="0"/>
            </w:pPr>
            <w:r>
              <w:rPr>
                <w:b/>
                <w:color w:val="FFFFFF"/>
                <w:sz w:val="17"/>
              </w:rPr>
              <w:t>Desired outcome</w:t>
            </w:r>
          </w:p>
        </w:tc>
      </w:tr>
      <w:tr>
        <w:trPr>
          <w:cantSplit/>
        </w:trPr>
        <w:tc>
          <w:tcPr>
            <w:tcW w:type="dxa" w:w="2592"/>
            <w:tcMar>
              <w:top w:w="58" w:type="dxa"/>
              <w:start w:w="65" w:type="dxa"/>
              <w:bottom w:w="58" w:type="dxa"/>
              <w:end w:w="65" w:type="dxa"/>
            </w:tcMar>
            <w:shd w:fill="F8FAF9"/>
            <w:vAlign w:val="center"/>
          </w:tcPr>
          <w:p>
            <w:pPr>
              <w:pStyle w:val="MMTableText"/>
              <w:spacing w:after="0"/>
            </w:pPr>
            <w:r>
              <w:rPr>
                <w:sz w:val="17"/>
              </w:rPr>
              <w:t>Review the week</w:t>
            </w:r>
          </w:p>
        </w:tc>
        <w:tc>
          <w:tcPr>
            <w:tcW w:type="dxa" w:w="7488"/>
            <w:tcMar>
              <w:top w:w="58" w:type="dxa"/>
              <w:start w:w="65" w:type="dxa"/>
              <w:bottom w:w="58" w:type="dxa"/>
              <w:end w:w="65" w:type="dxa"/>
            </w:tcMar>
            <w:shd w:fill="F8FAF9"/>
            <w:vAlign w:val="center"/>
          </w:tcPr>
          <w:p>
            <w:pPr>
              <w:pStyle w:val="MMTableText"/>
              <w:spacing w:after="0"/>
            </w:pPr>
            <w:r>
              <w:rPr>
                <w:sz w:val="17"/>
              </w:rPr>
              <w:t>Quickly understand every new transaction and decide what it means.</w:t>
            </w:r>
          </w:p>
        </w:tc>
      </w:tr>
      <w:tr>
        <w:trPr>
          <w:cantSplit/>
        </w:trPr>
        <w:tc>
          <w:tcPr>
            <w:tcW w:type="dxa" w:w="2592"/>
            <w:tcMar>
              <w:top w:w="58" w:type="dxa"/>
              <w:start w:w="65" w:type="dxa"/>
              <w:bottom w:w="58" w:type="dxa"/>
              <w:end w:w="65" w:type="dxa"/>
            </w:tcMar>
            <w:vAlign w:val="center"/>
          </w:tcPr>
          <w:p>
            <w:pPr>
              <w:pStyle w:val="MMTableText"/>
              <w:spacing w:after="0"/>
            </w:pPr>
            <w:r>
              <w:rPr>
                <w:sz w:val="17"/>
              </w:rPr>
              <w:t>Know true spending</w:t>
            </w:r>
          </w:p>
        </w:tc>
        <w:tc>
          <w:tcPr>
            <w:tcW w:type="dxa" w:w="7488"/>
            <w:tcMar>
              <w:top w:w="58" w:type="dxa"/>
              <w:start w:w="65" w:type="dxa"/>
              <w:bottom w:w="58" w:type="dxa"/>
              <w:end w:w="65" w:type="dxa"/>
            </w:tcMar>
            <w:vAlign w:val="center"/>
          </w:tcPr>
          <w:p>
            <w:pPr>
              <w:pStyle w:val="MMTableText"/>
              <w:spacing w:after="0"/>
            </w:pPr>
            <w:r>
              <w:rPr>
                <w:sz w:val="17"/>
              </w:rPr>
              <w:t>See personal responsibility after shared costs, repayments, and refunds.</w:t>
            </w:r>
          </w:p>
        </w:tc>
      </w:tr>
      <w:tr>
        <w:trPr>
          <w:cantSplit/>
        </w:trPr>
        <w:tc>
          <w:tcPr>
            <w:tcW w:type="dxa" w:w="2592"/>
            <w:tcMar>
              <w:top w:w="58" w:type="dxa"/>
              <w:start w:w="65" w:type="dxa"/>
              <w:bottom w:w="58" w:type="dxa"/>
              <w:end w:w="65" w:type="dxa"/>
            </w:tcMar>
            <w:shd w:fill="F8FAF9"/>
            <w:vAlign w:val="center"/>
          </w:tcPr>
          <w:p>
            <w:pPr>
              <w:pStyle w:val="MMTableText"/>
              <w:spacing w:after="0"/>
            </w:pPr>
            <w:r>
              <w:rPr>
                <w:sz w:val="17"/>
              </w:rPr>
              <w:t>Control categories</w:t>
            </w:r>
          </w:p>
        </w:tc>
        <w:tc>
          <w:tcPr>
            <w:tcW w:type="dxa" w:w="7488"/>
            <w:tcMar>
              <w:top w:w="58" w:type="dxa"/>
              <w:start w:w="65" w:type="dxa"/>
              <w:bottom w:w="58" w:type="dxa"/>
              <w:end w:w="65" w:type="dxa"/>
            </w:tcMar>
            <w:shd w:fill="F8FAF9"/>
            <w:vAlign w:val="center"/>
          </w:tcPr>
          <w:p>
            <w:pPr>
              <w:pStyle w:val="MMTableText"/>
              <w:spacing w:after="0"/>
            </w:pPr>
            <w:r>
              <w:rPr>
                <w:sz w:val="17"/>
              </w:rPr>
              <w:t>Use personal buckets and sub-buckets instead of institution labels.</w:t>
            </w:r>
          </w:p>
        </w:tc>
      </w:tr>
      <w:tr>
        <w:trPr>
          <w:cantSplit/>
        </w:trPr>
        <w:tc>
          <w:tcPr>
            <w:tcW w:type="dxa" w:w="2592"/>
            <w:tcMar>
              <w:top w:w="58" w:type="dxa"/>
              <w:start w:w="65" w:type="dxa"/>
              <w:bottom w:w="58" w:type="dxa"/>
              <w:end w:w="65" w:type="dxa"/>
            </w:tcMar>
            <w:vAlign w:val="center"/>
          </w:tcPr>
          <w:p>
            <w:pPr>
              <w:pStyle w:val="MMTableText"/>
              <w:spacing w:after="0"/>
            </w:pPr>
            <w:r>
              <w:rPr>
                <w:sz w:val="17"/>
              </w:rPr>
              <w:t>Track debt</w:t>
            </w:r>
          </w:p>
        </w:tc>
        <w:tc>
          <w:tcPr>
            <w:tcW w:type="dxa" w:w="7488"/>
            <w:tcMar>
              <w:top w:w="58" w:type="dxa"/>
              <w:start w:w="65" w:type="dxa"/>
              <w:bottom w:w="58" w:type="dxa"/>
              <w:end w:w="65" w:type="dxa"/>
            </w:tcMar>
            <w:vAlign w:val="center"/>
          </w:tcPr>
          <w:p>
            <w:pPr>
              <w:pStyle w:val="MMTableText"/>
              <w:spacing w:after="0"/>
            </w:pPr>
            <w:r>
              <w:rPr>
                <w:sz w:val="17"/>
              </w:rPr>
              <w:t>Understand balances, utilization, and an explicit payoff priority.</w:t>
            </w:r>
          </w:p>
        </w:tc>
      </w:tr>
      <w:tr>
        <w:trPr>
          <w:cantSplit/>
        </w:trPr>
        <w:tc>
          <w:tcPr>
            <w:tcW w:type="dxa" w:w="2592"/>
            <w:tcMar>
              <w:top w:w="58" w:type="dxa"/>
              <w:start w:w="65" w:type="dxa"/>
              <w:bottom w:w="58" w:type="dxa"/>
              <w:end w:w="65" w:type="dxa"/>
            </w:tcMar>
            <w:shd w:fill="F8FAF9"/>
            <w:vAlign w:val="center"/>
          </w:tcPr>
          <w:p>
            <w:pPr>
              <w:pStyle w:val="MMTableText"/>
              <w:spacing w:after="0"/>
            </w:pPr>
            <w:r>
              <w:rPr>
                <w:sz w:val="17"/>
              </w:rPr>
              <w:t>Protect savings</w:t>
            </w:r>
          </w:p>
        </w:tc>
        <w:tc>
          <w:tcPr>
            <w:tcW w:type="dxa" w:w="7488"/>
            <w:tcMar>
              <w:top w:w="58" w:type="dxa"/>
              <w:start w:w="65" w:type="dxa"/>
              <w:bottom w:w="58" w:type="dxa"/>
              <w:end w:w="65" w:type="dxa"/>
            </w:tcMar>
            <w:shd w:fill="F8FAF9"/>
            <w:vAlign w:val="center"/>
          </w:tcPr>
          <w:p>
            <w:pPr>
              <w:pStyle w:val="MMTableText"/>
              <w:spacing w:after="0"/>
            </w:pPr>
            <w:r>
              <w:rPr>
                <w:sz w:val="17"/>
              </w:rPr>
              <w:t>Fund emergency and travel goals before discretionary spending expands.</w:t>
            </w:r>
          </w:p>
        </w:tc>
      </w:tr>
      <w:tr>
        <w:trPr>
          <w:cantSplit/>
        </w:trPr>
        <w:tc>
          <w:tcPr>
            <w:tcW w:type="dxa" w:w="2592"/>
            <w:tcMar>
              <w:top w:w="58" w:type="dxa"/>
              <w:start w:w="65" w:type="dxa"/>
              <w:bottom w:w="58" w:type="dxa"/>
              <w:end w:w="65" w:type="dxa"/>
            </w:tcMar>
            <w:vAlign w:val="center"/>
          </w:tcPr>
          <w:p>
            <w:pPr>
              <w:pStyle w:val="MMTableText"/>
              <w:spacing w:after="0"/>
            </w:pPr>
            <w:r>
              <w:rPr>
                <w:sz w:val="17"/>
              </w:rPr>
              <w:t>Explain a total</w:t>
            </w:r>
          </w:p>
        </w:tc>
        <w:tc>
          <w:tcPr>
            <w:tcW w:type="dxa" w:w="7488"/>
            <w:tcMar>
              <w:top w:w="58" w:type="dxa"/>
              <w:start w:w="65" w:type="dxa"/>
              <w:bottom w:w="58" w:type="dxa"/>
              <w:end w:w="65" w:type="dxa"/>
            </w:tcMar>
            <w:vAlign w:val="center"/>
          </w:tcPr>
          <w:p>
            <w:pPr>
              <w:pStyle w:val="MMTableText"/>
              <w:spacing w:after="0"/>
            </w:pPr>
            <w:r>
              <w:rPr>
                <w:sz w:val="17"/>
              </w:rPr>
              <w:t>Open any dashboard number and see the records behind it.</w:t>
            </w:r>
          </w:p>
        </w:tc>
      </w:tr>
      <w:tr>
        <w:trPr>
          <w:cantSplit/>
        </w:trPr>
        <w:tc>
          <w:tcPr>
            <w:tcW w:type="dxa" w:w="2592"/>
            <w:tcMar>
              <w:top w:w="58" w:type="dxa"/>
              <w:start w:w="65" w:type="dxa"/>
              <w:bottom w:w="58" w:type="dxa"/>
              <w:end w:w="65" w:type="dxa"/>
            </w:tcMar>
            <w:shd w:fill="F8FAF9"/>
            <w:vAlign w:val="center"/>
          </w:tcPr>
          <w:p>
            <w:pPr>
              <w:pStyle w:val="MMTableText"/>
              <w:spacing w:after="0"/>
            </w:pPr>
            <w:r>
              <w:rPr>
                <w:sz w:val="17"/>
              </w:rPr>
              <w:t>Preserve privacy</w:t>
            </w:r>
          </w:p>
        </w:tc>
        <w:tc>
          <w:tcPr>
            <w:tcW w:type="dxa" w:w="7488"/>
            <w:tcMar>
              <w:top w:w="58" w:type="dxa"/>
              <w:start w:w="65" w:type="dxa"/>
              <w:bottom w:w="58" w:type="dxa"/>
              <w:end w:w="65" w:type="dxa"/>
            </w:tcMar>
            <w:shd w:fill="F8FAF9"/>
            <w:vAlign w:val="center"/>
          </w:tcPr>
          <w:p>
            <w:pPr>
              <w:pStyle w:val="MMTableText"/>
              <w:spacing w:after="0"/>
            </w:pPr>
            <w:r>
              <w:rPr>
                <w:sz w:val="17"/>
              </w:rPr>
              <w:t>Keep data local, encrypted, exportable, and recoverable only with the user’s passphrase.</w:t>
            </w:r>
          </w:p>
        </w:tc>
      </w:tr>
    </w:tbl>
    <w:p>
      <w:pPr>
        <w:spacing w:after="0"/>
      </w:pPr>
    </w:p>
    <w:p>
      <w:pPr>
        <w:pStyle w:val="Heading2"/>
      </w:pPr>
      <w:r>
        <w:t>7.3 Product success measures</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2376"/>
            <w:shd w:fill="10261C"/>
            <w:tcMar>
              <w:top w:w="70" w:type="dxa"/>
              <w:start w:w="70" w:type="dxa"/>
              <w:bottom w:w="70" w:type="dxa"/>
              <w:end w:w="70" w:type="dxa"/>
            </w:tcMar>
            <w:vAlign w:val="center"/>
          </w:tcPr>
          <w:p>
            <w:pPr>
              <w:spacing w:after="0"/>
            </w:pPr>
            <w:r>
              <w:rPr>
                <w:b/>
                <w:color w:val="FFFFFF"/>
                <w:sz w:val="17"/>
              </w:rPr>
              <w:t>Measure</w:t>
            </w:r>
          </w:p>
        </w:tc>
        <w:tc>
          <w:tcPr>
            <w:tcW w:type="dxa" w:w="7704"/>
            <w:shd w:fill="10261C"/>
            <w:tcMar>
              <w:top w:w="70" w:type="dxa"/>
              <w:start w:w="70" w:type="dxa"/>
              <w:bottom w:w="70" w:type="dxa"/>
              <w:end w:w="70" w:type="dxa"/>
            </w:tcMar>
            <w:vAlign w:val="center"/>
          </w:tcPr>
          <w:p>
            <w:pPr>
              <w:spacing w:after="0"/>
            </w:pPr>
            <w:r>
              <w:rPr>
                <w:b/>
                <w:color w:val="FFFFFF"/>
                <w:sz w:val="17"/>
              </w:rPr>
              <w:t>Target for V2</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7"/>
              </w:rPr>
              <w:t>Traceability</w:t>
            </w:r>
          </w:p>
        </w:tc>
        <w:tc>
          <w:tcPr>
            <w:tcW w:type="dxa" w:w="7704"/>
            <w:tcMar>
              <w:top w:w="58" w:type="dxa"/>
              <w:start w:w="65" w:type="dxa"/>
              <w:bottom w:w="58" w:type="dxa"/>
              <w:end w:w="65" w:type="dxa"/>
            </w:tcMar>
            <w:shd w:fill="F8FAF9"/>
            <w:vAlign w:val="center"/>
          </w:tcPr>
          <w:p>
            <w:pPr>
              <w:pStyle w:val="MMTableText"/>
              <w:spacing w:after="0"/>
            </w:pPr>
            <w:r>
              <w:rPr>
                <w:sz w:val="17"/>
              </w:rPr>
              <w:t>100% of spending totals can be drilled down to transactions and allocations.</w:t>
            </w:r>
          </w:p>
        </w:tc>
      </w:tr>
      <w:tr>
        <w:trPr>
          <w:cantSplit/>
        </w:trPr>
        <w:tc>
          <w:tcPr>
            <w:tcW w:type="dxa" w:w="2376"/>
            <w:tcMar>
              <w:top w:w="58" w:type="dxa"/>
              <w:start w:w="65" w:type="dxa"/>
              <w:bottom w:w="58" w:type="dxa"/>
              <w:end w:w="65" w:type="dxa"/>
            </w:tcMar>
            <w:vAlign w:val="center"/>
          </w:tcPr>
          <w:p>
            <w:pPr>
              <w:pStyle w:val="MMTableText"/>
              <w:spacing w:after="0"/>
            </w:pPr>
            <w:r>
              <w:rPr>
                <w:sz w:val="17"/>
              </w:rPr>
              <w:t>Review completion</w:t>
            </w:r>
          </w:p>
        </w:tc>
        <w:tc>
          <w:tcPr>
            <w:tcW w:type="dxa" w:w="7704"/>
            <w:tcMar>
              <w:top w:w="58" w:type="dxa"/>
              <w:start w:w="65" w:type="dxa"/>
              <w:bottom w:w="58" w:type="dxa"/>
              <w:end w:w="65" w:type="dxa"/>
            </w:tcMar>
            <w:vAlign w:val="center"/>
          </w:tcPr>
          <w:p>
            <w:pPr>
              <w:pStyle w:val="MMTableText"/>
              <w:spacing w:after="0"/>
            </w:pPr>
            <w:r>
              <w:rPr>
                <w:sz w:val="17"/>
              </w:rPr>
              <w:t>User can complete a typical week of 25 transactions in under 10 minutes after rules are established.</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7"/>
              </w:rPr>
              <w:t>Accounting integrity</w:t>
            </w:r>
          </w:p>
        </w:tc>
        <w:tc>
          <w:tcPr>
            <w:tcW w:type="dxa" w:w="7704"/>
            <w:tcMar>
              <w:top w:w="58" w:type="dxa"/>
              <w:start w:w="65" w:type="dxa"/>
              <w:bottom w:w="58" w:type="dxa"/>
              <w:end w:w="65" w:type="dxa"/>
            </w:tcMar>
            <w:shd w:fill="F8FAF9"/>
            <w:vAlign w:val="center"/>
          </w:tcPr>
          <w:p>
            <w:pPr>
              <w:pStyle w:val="MMTableText"/>
              <w:spacing w:after="0"/>
            </w:pPr>
            <w:r>
              <w:rPr>
                <w:sz w:val="17"/>
              </w:rPr>
              <w:t>Allocation and reimbursement invariants prevent unexplained differences.</w:t>
            </w:r>
          </w:p>
        </w:tc>
      </w:tr>
      <w:tr>
        <w:trPr>
          <w:cantSplit/>
        </w:trPr>
        <w:tc>
          <w:tcPr>
            <w:tcW w:type="dxa" w:w="2376"/>
            <w:tcMar>
              <w:top w:w="58" w:type="dxa"/>
              <w:start w:w="65" w:type="dxa"/>
              <w:bottom w:w="58" w:type="dxa"/>
              <w:end w:w="65" w:type="dxa"/>
            </w:tcMar>
            <w:vAlign w:val="center"/>
          </w:tcPr>
          <w:p>
            <w:pPr>
              <w:pStyle w:val="MMTableText"/>
              <w:spacing w:after="0"/>
            </w:pPr>
            <w:r>
              <w:rPr>
                <w:sz w:val="17"/>
              </w:rPr>
              <w:t>Data ownership</w:t>
            </w:r>
          </w:p>
        </w:tc>
        <w:tc>
          <w:tcPr>
            <w:tcW w:type="dxa" w:w="7704"/>
            <w:tcMar>
              <w:top w:w="58" w:type="dxa"/>
              <w:start w:w="65" w:type="dxa"/>
              <w:bottom w:w="58" w:type="dxa"/>
              <w:end w:w="65" w:type="dxa"/>
            </w:tcMar>
            <w:vAlign w:val="center"/>
          </w:tcPr>
          <w:p>
            <w:pPr>
              <w:pStyle w:val="MMTableText"/>
              <w:spacing w:after="0"/>
            </w:pPr>
            <w:r>
              <w:rPr>
                <w:sz w:val="17"/>
              </w:rPr>
              <w:t>No provider category changes a user bucket without review.</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7"/>
              </w:rPr>
              <w:t>Recoverability</w:t>
            </w:r>
          </w:p>
        </w:tc>
        <w:tc>
          <w:tcPr>
            <w:tcW w:type="dxa" w:w="7704"/>
            <w:tcMar>
              <w:top w:w="58" w:type="dxa"/>
              <w:start w:w="65" w:type="dxa"/>
              <w:bottom w:w="58" w:type="dxa"/>
              <w:end w:w="65" w:type="dxa"/>
            </w:tcMar>
            <w:shd w:fill="F8FAF9"/>
            <w:vAlign w:val="center"/>
          </w:tcPr>
          <w:p>
            <w:pPr>
              <w:pStyle w:val="MMTableText"/>
              <w:spacing w:after="0"/>
            </w:pPr>
            <w:r>
              <w:rPr>
                <w:sz w:val="17"/>
              </w:rPr>
              <w:t>Encrypted backup restores into a clean installation and passes schema validation.</w:t>
            </w:r>
          </w:p>
        </w:tc>
      </w:tr>
      <w:tr>
        <w:trPr>
          <w:cantSplit/>
        </w:trPr>
        <w:tc>
          <w:tcPr>
            <w:tcW w:type="dxa" w:w="2376"/>
            <w:tcMar>
              <w:top w:w="58" w:type="dxa"/>
              <w:start w:w="65" w:type="dxa"/>
              <w:bottom w:w="58" w:type="dxa"/>
              <w:end w:w="65" w:type="dxa"/>
            </w:tcMar>
            <w:vAlign w:val="center"/>
          </w:tcPr>
          <w:p>
            <w:pPr>
              <w:pStyle w:val="MMTableText"/>
              <w:spacing w:after="0"/>
            </w:pPr>
            <w:r>
              <w:rPr>
                <w:sz w:val="17"/>
              </w:rPr>
              <w:t>Migration</w:t>
            </w:r>
          </w:p>
        </w:tc>
        <w:tc>
          <w:tcPr>
            <w:tcW w:type="dxa" w:w="7704"/>
            <w:tcMar>
              <w:top w:w="58" w:type="dxa"/>
              <w:start w:w="65" w:type="dxa"/>
              <w:bottom w:w="58" w:type="dxa"/>
              <w:end w:w="65" w:type="dxa"/>
            </w:tcMar>
            <w:vAlign w:val="center"/>
          </w:tcPr>
          <w:p>
            <w:pPr>
              <w:pStyle w:val="MMTableText"/>
              <w:spacing w:after="0"/>
            </w:pPr>
            <w:r>
              <w:rPr>
                <w:sz w:val="17"/>
              </w:rPr>
              <w:t>Existing V1 vault can be migrated without losing income, targets, travel history, or security settings.</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7"/>
              </w:rPr>
              <w:t>Usability</w:t>
            </w:r>
          </w:p>
        </w:tc>
        <w:tc>
          <w:tcPr>
            <w:tcW w:type="dxa" w:w="7704"/>
            <w:tcMar>
              <w:top w:w="58" w:type="dxa"/>
              <w:start w:w="65" w:type="dxa"/>
              <w:bottom w:w="58" w:type="dxa"/>
              <w:end w:w="65" w:type="dxa"/>
            </w:tcMar>
            <w:shd w:fill="F8FAF9"/>
            <w:vAlign w:val="center"/>
          </w:tcPr>
          <w:p>
            <w:pPr>
              <w:pStyle w:val="MMTableText"/>
              <w:spacing w:after="0"/>
            </w:pPr>
            <w:r>
              <w:rPr>
                <w:sz w:val="17"/>
              </w:rPr>
              <w:t>Core review and drill-down flows are understandable without reading technical documentation.</w:t>
            </w:r>
          </w:p>
        </w:tc>
      </w:tr>
    </w:tbl>
    <w:p>
      <w:pPr>
        <w:spacing w:after="0"/>
      </w:pPr>
    </w:p>
    <w:p>
      <w:pPr>
        <w:pStyle w:val="Heading1"/>
      </w:pPr>
      <w:r>
        <w:t>8. Scope, Non-Goals, and Release Boundaries</w:t>
      </w:r>
    </w:p>
    <w:p>
      <w:pPr>
        <w:pStyle w:val="Heading2"/>
      </w:pPr>
      <w:r>
        <w:t>8.1 V2A in scope</w:t>
      </w:r>
    </w:p>
    <w:p>
      <w:pPr>
        <w:pStyle w:val="ListBullet"/>
      </w:pPr>
      <w:r>
        <w:t>Transaction model, manual entries, and CSV import.</w:t>
      </w:r>
    </w:p>
    <w:p>
      <w:pPr>
        <w:pStyle w:val="ListBullet"/>
      </w:pPr>
      <w:r>
        <w:t>Weekly review, transaction classification, and reversible decisions.</w:t>
      </w:r>
    </w:p>
    <w:p>
      <w:pPr>
        <w:pStyle w:val="ListBullet"/>
      </w:pPr>
      <w:r>
        <w:t>Parent buckets, two-level sub-buckets, and bucket drill-down.</w:t>
      </w:r>
    </w:p>
    <w:p>
      <w:pPr>
        <w:pStyle w:val="ListBullet"/>
      </w:pPr>
      <w:r>
        <w:t>Split allocations across categories and ownership shares.</w:t>
      </w:r>
    </w:p>
    <w:p>
      <w:pPr>
        <w:pStyle w:val="ListBullet"/>
      </w:pPr>
      <w:r>
        <w:t>Reimbursement claims, repayment matching, refunds, and shared-expense tracking.</w:t>
      </w:r>
    </w:p>
    <w:p>
      <w:pPr>
        <w:pStyle w:val="ListBullet"/>
      </w:pPr>
      <w:r>
        <w:t>Account identity, friendly names, and masked identifiers where available.</w:t>
      </w:r>
    </w:p>
    <w:p>
      <w:pPr>
        <w:pStyle w:val="ListBullet"/>
      </w:pPr>
      <w:r>
        <w:t>State and country transaction metadata with source and manual correction.</w:t>
      </w:r>
    </w:p>
    <w:p>
      <w:pPr>
        <w:pStyle w:val="ListBullet"/>
      </w:pPr>
      <w:r>
        <w:t>Gross cash movement, expected personal spend, realized net spend, and outstanding reimbursement reporting.</w:t>
      </w:r>
    </w:p>
    <w:p>
      <w:pPr>
        <w:pStyle w:val="ListBullet"/>
      </w:pPr>
      <w:r>
        <w:t>Merchant rules that make supervised suggestions.</w:t>
      </w:r>
    </w:p>
    <w:p>
      <w:pPr>
        <w:pStyle w:val="ListBullet"/>
      </w:pPr>
      <w:r>
        <w:t>Debt, emergency savings, travel, and monthly planning screens.</w:t>
      </w:r>
    </w:p>
    <w:p>
      <w:pPr>
        <w:pStyle w:val="ListBullet"/>
      </w:pPr>
      <w:r>
        <w:t>Local encrypted persistence, versioned migrations, backup, restore, and lock behavior.</w:t>
      </w:r>
    </w:p>
    <w:p>
      <w:pPr>
        <w:pStyle w:val="ListBullet"/>
      </w:pPr>
      <w:r>
        <w:t>Preparation for a future local backend and Plaid adapter.</w:t>
      </w:r>
    </w:p>
    <w:p>
      <w:pPr>
        <w:pStyle w:val="Heading2"/>
      </w:pPr>
      <w:r>
        <w:t>8.2 V2A not in scope</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1F3F2"/>
            <w:vAlign w:val="center"/>
          </w:tcPr>
          <w:p>
            <w:pPr>
              <w:spacing w:after="0"/>
            </w:pPr>
            <w:r>
              <w:rPr>
                <w:b/>
                <w:color w:val="5F6B65"/>
                <w:sz w:val="16"/>
              </w:rPr>
              <w:t>OUT OF SCOPE</w:t>
            </w:r>
          </w:p>
        </w:tc>
        <w:tc>
          <w:tcPr>
            <w:tcW w:type="dxa" w:w="1944"/>
            <w:tcMar>
              <w:top w:w="45" w:type="dxa"/>
              <w:start w:w="75" w:type="dxa"/>
              <w:bottom w:w="45" w:type="dxa"/>
              <w:end w:w="75" w:type="dxa"/>
            </w:tcMar>
            <w:shd w:fill="F1F3F2"/>
            <w:vAlign w:val="center"/>
          </w:tcPr>
          <w:p>
            <w:pPr>
              <w:spacing w:after="0"/>
            </w:pPr>
            <w:r>
              <w:rPr>
                <w:b/>
                <w:color w:val="5F6B65"/>
                <w:sz w:val="16"/>
              </w:rPr>
              <w:t>V2A</w:t>
            </w:r>
          </w:p>
        </w:tc>
        <w:tc>
          <w:tcPr>
            <w:tcW w:type="dxa" w:w="5112"/>
            <w:tcMar>
              <w:top w:w="45" w:type="dxa"/>
              <w:start w:w="75" w:type="dxa"/>
              <w:bottom w:w="45" w:type="dxa"/>
              <w:end w:w="75" w:type="dxa"/>
            </w:tcMar>
            <w:shd w:fill="F1F3F2"/>
            <w:vAlign w:val="center"/>
          </w:tcPr>
          <w:p>
            <w:pPr>
              <w:spacing w:after="0"/>
            </w:pPr>
            <w:r>
              <w:rPr>
                <w:b/>
                <w:color w:val="5F6B65"/>
                <w:sz w:val="16"/>
              </w:rPr>
              <w:t>Owner: Engineering</w:t>
            </w:r>
          </w:p>
        </w:tc>
      </w:tr>
    </w:tbl>
    <w:p>
      <w:pPr>
        <w:pStyle w:val="ListBullet"/>
      </w:pPr>
      <w:r>
        <w:t>Live Plaid production credentials or bank connection.</w:t>
      </w:r>
    </w:p>
    <w:p>
      <w:pPr>
        <w:pStyle w:val="ListBullet"/>
      </w:pPr>
      <w:r>
        <w:t>Payment initiation, bill pay, Venmo requests, collections, or moving money.</w:t>
      </w:r>
    </w:p>
    <w:p>
      <w:pPr>
        <w:pStyle w:val="ListBullet"/>
      </w:pPr>
      <w:r>
        <w:t>Autonomous reclassification without user review.</w:t>
      </w:r>
    </w:p>
    <w:p>
      <w:pPr>
        <w:pStyle w:val="ListBullet"/>
      </w:pPr>
      <w:r>
        <w:t>Tax preparation, tax categorization guarantees, or business bookkeeping certification.</w:t>
      </w:r>
    </w:p>
    <w:p>
      <w:pPr>
        <w:pStyle w:val="ListBullet"/>
      </w:pPr>
      <w:r>
        <w:t>Multi-user household accounts and permissions.</w:t>
      </w:r>
    </w:p>
    <w:p>
      <w:pPr>
        <w:pStyle w:val="ListBullet"/>
      </w:pPr>
      <w:r>
        <w:t>Cloud synchronization between devices.</w:t>
      </w:r>
    </w:p>
    <w:p>
      <w:pPr>
        <w:pStyle w:val="ListBullet"/>
      </w:pPr>
      <w:r>
        <w:t>Investment trading or portfolio recommendations.</w:t>
      </w:r>
    </w:p>
    <w:p>
      <w:pPr>
        <w:pStyle w:val="ListBullet"/>
      </w:pPr>
      <w:r>
        <w:t>Unlimited bucket nesting; V2 supports a maximum of two levels.</w:t>
      </w:r>
    </w:p>
    <w:p>
      <w:pPr>
        <w:pStyle w:val="ListBullet"/>
      </w:pPr>
      <w:r>
        <w:t>Full street-address retention; V2 location is limited to state/region and country by product policy.</w:t>
      </w:r>
    </w:p>
    <w:p>
      <w:pPr>
        <w:pStyle w:val="ListBullet"/>
      </w:pPr>
      <w:r>
        <w:t>Automated debt payments or transfers to goals.</w:t>
      </w:r>
    </w:p>
    <w:p>
      <w:pPr>
        <w:pStyle w:val="Heading2"/>
      </w:pPr>
      <w:r>
        <w:t>8.3 Future phases</w:t>
      </w:r>
    </w:p>
    <w:p>
      <w:pPr>
        <w:pStyle w:val="ListBullet"/>
      </w:pPr>
      <w:r>
        <w:t>Plaid Sandbox and local transaction synchronization after V2A acceptance.</w:t>
      </w:r>
    </w:p>
    <w:p>
      <w:pPr>
        <w:pStyle w:val="ListBullet"/>
      </w:pPr>
      <w:r>
        <w:t>Production Plaid access, institution reconnect, and account repair flows.</w:t>
      </w:r>
    </w:p>
    <w:p>
      <w:pPr>
        <w:pStyle w:val="ListBullet"/>
      </w:pPr>
      <w:r>
        <w:t>Optional cloud backup or multi-device sync after a separate privacy design review.</w:t>
      </w:r>
    </w:p>
    <w:p>
      <w:pPr>
        <w:pStyle w:val="ListBullet"/>
      </w:pPr>
      <w:r>
        <w:t>More advanced rule confidence, batch review, and anomaly detection after sufficient reviewed history exists.</w:t>
      </w:r>
    </w:p>
    <w:p>
      <w:pPr>
        <w:pStyle w:val="Heading1"/>
      </w:pPr>
      <w:r>
        <w:t>9. V2 Information Architecture and Navigation</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V2A</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Heading2"/>
      </w:pPr>
      <w:r>
        <w:t>9.1 Primary navigation</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3389"/>
        <w:gridCol w:w="3389"/>
        <w:gridCol w:w="3389"/>
      </w:tblGrid>
      <w:tr>
        <w:trPr>
          <w:tblHeader w:val="true"/>
          <w:cantSplit/>
        </w:trPr>
        <w:tc>
          <w:tcPr>
            <w:tcW w:type="dxa" w:w="1800"/>
            <w:shd w:fill="10261C"/>
            <w:tcMar>
              <w:top w:w="70" w:type="dxa"/>
              <w:start w:w="70" w:type="dxa"/>
              <w:bottom w:w="70" w:type="dxa"/>
              <w:end w:w="70" w:type="dxa"/>
            </w:tcMar>
            <w:vAlign w:val="center"/>
          </w:tcPr>
          <w:p>
            <w:pPr>
              <w:spacing w:after="0"/>
            </w:pPr>
            <w:r>
              <w:rPr>
                <w:b/>
                <w:color w:val="FFFFFF"/>
                <w:sz w:val="16"/>
              </w:rPr>
              <w:t>Area</w:t>
            </w:r>
          </w:p>
        </w:tc>
        <w:tc>
          <w:tcPr>
            <w:tcW w:type="dxa" w:w="2376"/>
            <w:shd w:fill="10261C"/>
            <w:tcMar>
              <w:top w:w="70" w:type="dxa"/>
              <w:start w:w="70" w:type="dxa"/>
              <w:bottom w:w="70" w:type="dxa"/>
              <w:end w:w="70" w:type="dxa"/>
            </w:tcMar>
            <w:vAlign w:val="center"/>
          </w:tcPr>
          <w:p>
            <w:pPr>
              <w:spacing w:after="0"/>
            </w:pPr>
            <w:r>
              <w:rPr>
                <w:b/>
                <w:color w:val="FFFFFF"/>
                <w:sz w:val="16"/>
              </w:rPr>
              <w:t>Purpose</w:t>
            </w:r>
          </w:p>
        </w:tc>
        <w:tc>
          <w:tcPr>
            <w:tcW w:type="dxa" w:w="5904"/>
            <w:shd w:fill="10261C"/>
            <w:tcMar>
              <w:top w:w="70" w:type="dxa"/>
              <w:start w:w="70" w:type="dxa"/>
              <w:bottom w:w="70" w:type="dxa"/>
              <w:end w:w="70" w:type="dxa"/>
            </w:tcMar>
            <w:vAlign w:val="center"/>
          </w:tcPr>
          <w:p>
            <w:pPr>
              <w:spacing w:after="0"/>
            </w:pPr>
            <w:r>
              <w:rPr>
                <w:b/>
                <w:color w:val="FFFFFF"/>
                <w:sz w:val="16"/>
              </w:rPr>
              <w:t>Primary content</w:t>
            </w:r>
          </w:p>
        </w:tc>
      </w:tr>
      <w:tr>
        <w:trPr>
          <w:cantSplit/>
        </w:trPr>
        <w:tc>
          <w:tcPr>
            <w:tcW w:type="dxa" w:w="1800"/>
            <w:tcMar>
              <w:top w:w="58" w:type="dxa"/>
              <w:start w:w="65" w:type="dxa"/>
              <w:bottom w:w="58" w:type="dxa"/>
              <w:end w:w="65" w:type="dxa"/>
            </w:tcMar>
            <w:shd w:fill="F8FAF9"/>
            <w:vAlign w:val="center"/>
          </w:tcPr>
          <w:p>
            <w:pPr>
              <w:pStyle w:val="MMTableText"/>
              <w:spacing w:after="0"/>
            </w:pPr>
            <w:r>
              <w:rPr>
                <w:sz w:val="16"/>
              </w:rPr>
              <w:t>Overview</w:t>
            </w:r>
          </w:p>
        </w:tc>
        <w:tc>
          <w:tcPr>
            <w:tcW w:type="dxa" w:w="2376"/>
            <w:tcMar>
              <w:top w:w="58" w:type="dxa"/>
              <w:start w:w="65" w:type="dxa"/>
              <w:bottom w:w="58" w:type="dxa"/>
              <w:end w:w="65" w:type="dxa"/>
            </w:tcMar>
            <w:shd w:fill="F8FAF9"/>
            <w:vAlign w:val="center"/>
          </w:tcPr>
          <w:p>
            <w:pPr>
              <w:pStyle w:val="MMTableText"/>
              <w:spacing w:after="0"/>
            </w:pPr>
            <w:r>
              <w:rPr>
                <w:sz w:val="16"/>
              </w:rPr>
              <w:t>Decision summary.</w:t>
            </w:r>
          </w:p>
        </w:tc>
        <w:tc>
          <w:tcPr>
            <w:tcW w:type="dxa" w:w="5904"/>
            <w:tcMar>
              <w:top w:w="58" w:type="dxa"/>
              <w:start w:w="65" w:type="dxa"/>
              <w:bottom w:w="58" w:type="dxa"/>
              <w:end w:w="65" w:type="dxa"/>
            </w:tcMar>
            <w:shd w:fill="F8FAF9"/>
            <w:vAlign w:val="center"/>
          </w:tcPr>
          <w:p>
            <w:pPr>
              <w:pStyle w:val="MMTableText"/>
              <w:spacing w:after="0"/>
            </w:pPr>
            <w:r>
              <w:rPr>
                <w:sz w:val="16"/>
              </w:rPr>
              <w:t>Cash, spending, outstanding reimbursements, debt, goals, and review status.</w:t>
            </w:r>
          </w:p>
        </w:tc>
      </w:tr>
      <w:tr>
        <w:trPr>
          <w:cantSplit/>
        </w:trPr>
        <w:tc>
          <w:tcPr>
            <w:tcW w:type="dxa" w:w="1800"/>
            <w:tcMar>
              <w:top w:w="58" w:type="dxa"/>
              <w:start w:w="65" w:type="dxa"/>
              <w:bottom w:w="58" w:type="dxa"/>
              <w:end w:w="65" w:type="dxa"/>
            </w:tcMar>
            <w:vAlign w:val="center"/>
          </w:tcPr>
          <w:p>
            <w:pPr>
              <w:pStyle w:val="MMTableText"/>
              <w:spacing w:after="0"/>
            </w:pPr>
            <w:r>
              <w:rPr>
                <w:sz w:val="16"/>
              </w:rPr>
              <w:t>Weekly Review</w:t>
            </w:r>
          </w:p>
        </w:tc>
        <w:tc>
          <w:tcPr>
            <w:tcW w:type="dxa" w:w="2376"/>
            <w:tcMar>
              <w:top w:w="58" w:type="dxa"/>
              <w:start w:w="65" w:type="dxa"/>
              <w:bottom w:w="58" w:type="dxa"/>
              <w:end w:w="65" w:type="dxa"/>
            </w:tcMar>
            <w:vAlign w:val="center"/>
          </w:tcPr>
          <w:p>
            <w:pPr>
              <w:pStyle w:val="MMTableText"/>
              <w:spacing w:after="0"/>
            </w:pPr>
            <w:r>
              <w:rPr>
                <w:sz w:val="16"/>
              </w:rPr>
              <w:t>Supervised classification.</w:t>
            </w:r>
          </w:p>
        </w:tc>
        <w:tc>
          <w:tcPr>
            <w:tcW w:type="dxa" w:w="5904"/>
            <w:tcMar>
              <w:top w:w="58" w:type="dxa"/>
              <w:start w:w="65" w:type="dxa"/>
              <w:bottom w:w="58" w:type="dxa"/>
              <w:end w:w="65" w:type="dxa"/>
            </w:tcMar>
            <w:vAlign w:val="center"/>
          </w:tcPr>
          <w:p>
            <w:pPr>
              <w:pStyle w:val="MMTableText"/>
              <w:spacing w:after="0"/>
            </w:pPr>
            <w:r>
              <w:rPr>
                <w:sz w:val="16"/>
              </w:rPr>
              <w:t>Unreviewed queue, suggestions, splits, reimbursements, rules, and completion.</w:t>
            </w:r>
          </w:p>
        </w:tc>
      </w:tr>
      <w:tr>
        <w:trPr>
          <w:cantSplit/>
        </w:trPr>
        <w:tc>
          <w:tcPr>
            <w:tcW w:type="dxa" w:w="1800"/>
            <w:tcMar>
              <w:top w:w="58" w:type="dxa"/>
              <w:start w:w="65" w:type="dxa"/>
              <w:bottom w:w="58" w:type="dxa"/>
              <w:end w:w="65" w:type="dxa"/>
            </w:tcMar>
            <w:shd w:fill="F8FAF9"/>
            <w:vAlign w:val="center"/>
          </w:tcPr>
          <w:p>
            <w:pPr>
              <w:pStyle w:val="MMTableText"/>
              <w:spacing w:after="0"/>
            </w:pPr>
            <w:r>
              <w:rPr>
                <w:sz w:val="16"/>
              </w:rPr>
              <w:t>Transactions</w:t>
            </w:r>
          </w:p>
        </w:tc>
        <w:tc>
          <w:tcPr>
            <w:tcW w:type="dxa" w:w="2376"/>
            <w:tcMar>
              <w:top w:w="58" w:type="dxa"/>
              <w:start w:w="65" w:type="dxa"/>
              <w:bottom w:w="58" w:type="dxa"/>
              <w:end w:w="65" w:type="dxa"/>
            </w:tcMar>
            <w:shd w:fill="F8FAF9"/>
            <w:vAlign w:val="center"/>
          </w:tcPr>
          <w:p>
            <w:pPr>
              <w:pStyle w:val="MMTableText"/>
              <w:spacing w:after="0"/>
            </w:pPr>
            <w:r>
              <w:rPr>
                <w:sz w:val="16"/>
              </w:rPr>
              <w:t>Full record browser.</w:t>
            </w:r>
          </w:p>
        </w:tc>
        <w:tc>
          <w:tcPr>
            <w:tcW w:type="dxa" w:w="5904"/>
            <w:tcMar>
              <w:top w:w="58" w:type="dxa"/>
              <w:start w:w="65" w:type="dxa"/>
              <w:bottom w:w="58" w:type="dxa"/>
              <w:end w:w="65" w:type="dxa"/>
            </w:tcMar>
            <w:shd w:fill="F8FAF9"/>
            <w:vAlign w:val="center"/>
          </w:tcPr>
          <w:p>
            <w:pPr>
              <w:pStyle w:val="MMTableText"/>
              <w:spacing w:after="0"/>
            </w:pPr>
            <w:r>
              <w:rPr>
                <w:sz w:val="16"/>
              </w:rPr>
              <w:t>Search, filters, account, bucket, location, movement type, and audit history.</w:t>
            </w:r>
          </w:p>
        </w:tc>
      </w:tr>
      <w:tr>
        <w:trPr>
          <w:cantSplit/>
        </w:trPr>
        <w:tc>
          <w:tcPr>
            <w:tcW w:type="dxa" w:w="1800"/>
            <w:tcMar>
              <w:top w:w="58" w:type="dxa"/>
              <w:start w:w="65" w:type="dxa"/>
              <w:bottom w:w="58" w:type="dxa"/>
              <w:end w:w="65" w:type="dxa"/>
            </w:tcMar>
            <w:vAlign w:val="center"/>
          </w:tcPr>
          <w:p>
            <w:pPr>
              <w:pStyle w:val="MMTableText"/>
              <w:spacing w:after="0"/>
            </w:pPr>
            <w:r>
              <w:rPr>
                <w:sz w:val="16"/>
              </w:rPr>
              <w:t>Buckets &amp; Rules</w:t>
            </w:r>
          </w:p>
        </w:tc>
        <w:tc>
          <w:tcPr>
            <w:tcW w:type="dxa" w:w="2376"/>
            <w:tcMar>
              <w:top w:w="58" w:type="dxa"/>
              <w:start w:w="65" w:type="dxa"/>
              <w:bottom w:w="58" w:type="dxa"/>
              <w:end w:w="65" w:type="dxa"/>
            </w:tcMar>
            <w:vAlign w:val="center"/>
          </w:tcPr>
          <w:p>
            <w:pPr>
              <w:pStyle w:val="MMTableText"/>
              <w:spacing w:after="0"/>
            </w:pPr>
            <w:r>
              <w:rPr>
                <w:sz w:val="16"/>
              </w:rPr>
              <w:t>User-owned structure.</w:t>
            </w:r>
          </w:p>
        </w:tc>
        <w:tc>
          <w:tcPr>
            <w:tcW w:type="dxa" w:w="5904"/>
            <w:tcMar>
              <w:top w:w="58" w:type="dxa"/>
              <w:start w:w="65" w:type="dxa"/>
              <w:bottom w:w="58" w:type="dxa"/>
              <w:end w:w="65" w:type="dxa"/>
            </w:tcMar>
            <w:vAlign w:val="center"/>
          </w:tcPr>
          <w:p>
            <w:pPr>
              <w:pStyle w:val="MMTableText"/>
              <w:spacing w:after="0"/>
            </w:pPr>
            <w:r>
              <w:rPr>
                <w:sz w:val="16"/>
              </w:rPr>
              <w:t>Parent/sub-buckets, targets, order, protected status, merchant rules.</w:t>
            </w:r>
          </w:p>
        </w:tc>
      </w:tr>
      <w:tr>
        <w:trPr>
          <w:cantSplit/>
        </w:trPr>
        <w:tc>
          <w:tcPr>
            <w:tcW w:type="dxa" w:w="1800"/>
            <w:tcMar>
              <w:top w:w="58" w:type="dxa"/>
              <w:start w:w="65" w:type="dxa"/>
              <w:bottom w:w="58" w:type="dxa"/>
              <w:end w:w="65" w:type="dxa"/>
            </w:tcMar>
            <w:shd w:fill="F8FAF9"/>
            <w:vAlign w:val="center"/>
          </w:tcPr>
          <w:p>
            <w:pPr>
              <w:pStyle w:val="MMTableText"/>
              <w:spacing w:after="0"/>
            </w:pPr>
            <w:r>
              <w:rPr>
                <w:sz w:val="16"/>
              </w:rPr>
              <w:t>Shared Expenses</w:t>
            </w:r>
          </w:p>
        </w:tc>
        <w:tc>
          <w:tcPr>
            <w:tcW w:type="dxa" w:w="2376"/>
            <w:tcMar>
              <w:top w:w="58" w:type="dxa"/>
              <w:start w:w="65" w:type="dxa"/>
              <w:bottom w:w="58" w:type="dxa"/>
              <w:end w:w="65" w:type="dxa"/>
            </w:tcMar>
            <w:shd w:fill="F8FAF9"/>
            <w:vAlign w:val="center"/>
          </w:tcPr>
          <w:p>
            <w:pPr>
              <w:pStyle w:val="MMTableText"/>
              <w:spacing w:after="0"/>
            </w:pPr>
            <w:r>
              <w:rPr>
                <w:sz w:val="16"/>
              </w:rPr>
              <w:t>Receivable and repayment control.</w:t>
            </w:r>
          </w:p>
        </w:tc>
        <w:tc>
          <w:tcPr>
            <w:tcW w:type="dxa" w:w="5904"/>
            <w:tcMar>
              <w:top w:w="58" w:type="dxa"/>
              <w:start w:w="65" w:type="dxa"/>
              <w:bottom w:w="58" w:type="dxa"/>
              <w:end w:w="65" w:type="dxa"/>
            </w:tcMar>
            <w:shd w:fill="F8FAF9"/>
            <w:vAlign w:val="center"/>
          </w:tcPr>
          <w:p>
            <w:pPr>
              <w:pStyle w:val="MMTableText"/>
              <w:spacing w:after="0"/>
            </w:pPr>
            <w:r>
              <w:rPr>
                <w:sz w:val="16"/>
              </w:rPr>
              <w:t>Awaiting, partial, settled, unmatched inflows, write-offs.</w:t>
            </w:r>
          </w:p>
        </w:tc>
      </w:tr>
      <w:tr>
        <w:trPr>
          <w:cantSplit/>
        </w:trPr>
        <w:tc>
          <w:tcPr>
            <w:tcW w:type="dxa" w:w="1800"/>
            <w:tcMar>
              <w:top w:w="58" w:type="dxa"/>
              <w:start w:w="65" w:type="dxa"/>
              <w:bottom w:w="58" w:type="dxa"/>
              <w:end w:w="65" w:type="dxa"/>
            </w:tcMar>
            <w:vAlign w:val="center"/>
          </w:tcPr>
          <w:p>
            <w:pPr>
              <w:pStyle w:val="MMTableText"/>
              <w:spacing w:after="0"/>
            </w:pPr>
            <w:r>
              <w:rPr>
                <w:sz w:val="16"/>
              </w:rPr>
              <w:t>Debt &amp; Goals</w:t>
            </w:r>
          </w:p>
        </w:tc>
        <w:tc>
          <w:tcPr>
            <w:tcW w:type="dxa" w:w="2376"/>
            <w:tcMar>
              <w:top w:w="58" w:type="dxa"/>
              <w:start w:w="65" w:type="dxa"/>
              <w:bottom w:w="58" w:type="dxa"/>
              <w:end w:w="65" w:type="dxa"/>
            </w:tcMar>
            <w:vAlign w:val="center"/>
          </w:tcPr>
          <w:p>
            <w:pPr>
              <w:pStyle w:val="MMTableText"/>
              <w:spacing w:after="0"/>
            </w:pPr>
            <w:r>
              <w:rPr>
                <w:sz w:val="16"/>
              </w:rPr>
              <w:t>Financial priorities.</w:t>
            </w:r>
          </w:p>
        </w:tc>
        <w:tc>
          <w:tcPr>
            <w:tcW w:type="dxa" w:w="5904"/>
            <w:tcMar>
              <w:top w:w="58" w:type="dxa"/>
              <w:start w:w="65" w:type="dxa"/>
              <w:bottom w:w="58" w:type="dxa"/>
              <w:end w:w="65" w:type="dxa"/>
            </w:tcMar>
            <w:vAlign w:val="center"/>
          </w:tcPr>
          <w:p>
            <w:pPr>
              <w:pStyle w:val="MMTableText"/>
              <w:spacing w:after="0"/>
            </w:pPr>
            <w:r>
              <w:rPr>
                <w:sz w:val="16"/>
              </w:rPr>
              <w:t>Credit cards, payoff order, emergency savings, travel fund, contribution history.</w:t>
            </w:r>
          </w:p>
        </w:tc>
      </w:tr>
      <w:tr>
        <w:trPr>
          <w:cantSplit/>
        </w:trPr>
        <w:tc>
          <w:tcPr>
            <w:tcW w:type="dxa" w:w="1800"/>
            <w:tcMar>
              <w:top w:w="58" w:type="dxa"/>
              <w:start w:w="65" w:type="dxa"/>
              <w:bottom w:w="58" w:type="dxa"/>
              <w:end w:w="65" w:type="dxa"/>
            </w:tcMar>
            <w:shd w:fill="F8FAF9"/>
            <w:vAlign w:val="center"/>
          </w:tcPr>
          <w:p>
            <w:pPr>
              <w:pStyle w:val="MMTableText"/>
              <w:spacing w:after="0"/>
            </w:pPr>
            <w:r>
              <w:rPr>
                <w:sz w:val="16"/>
              </w:rPr>
              <w:t>Travel</w:t>
            </w:r>
          </w:p>
        </w:tc>
        <w:tc>
          <w:tcPr>
            <w:tcW w:type="dxa" w:w="2376"/>
            <w:tcMar>
              <w:top w:w="58" w:type="dxa"/>
              <w:start w:w="65" w:type="dxa"/>
              <w:bottom w:w="58" w:type="dxa"/>
              <w:end w:w="65" w:type="dxa"/>
            </w:tcMar>
            <w:shd w:fill="F8FAF9"/>
            <w:vAlign w:val="center"/>
          </w:tcPr>
          <w:p>
            <w:pPr>
              <w:pStyle w:val="MMTableText"/>
              <w:spacing w:after="0"/>
            </w:pPr>
            <w:r>
              <w:rPr>
                <w:sz w:val="16"/>
              </w:rPr>
              <w:t>Budget-constrained trip planning.</w:t>
            </w:r>
          </w:p>
        </w:tc>
        <w:tc>
          <w:tcPr>
            <w:tcW w:type="dxa" w:w="5904"/>
            <w:tcMar>
              <w:top w:w="58" w:type="dxa"/>
              <w:start w:w="65" w:type="dxa"/>
              <w:bottom w:w="58" w:type="dxa"/>
              <w:end w:w="65" w:type="dxa"/>
            </w:tcMar>
            <w:shd w:fill="F8FAF9"/>
            <w:vAlign w:val="center"/>
          </w:tcPr>
          <w:p>
            <w:pPr>
              <w:pStyle w:val="MMTableText"/>
              <w:spacing w:after="0"/>
            </w:pPr>
            <w:r>
              <w:rPr>
                <w:sz w:val="16"/>
              </w:rPr>
              <w:t>Rules, visited places, ranked destinations, travel fund readiness.</w:t>
            </w:r>
          </w:p>
        </w:tc>
      </w:tr>
      <w:tr>
        <w:trPr>
          <w:cantSplit/>
        </w:trPr>
        <w:tc>
          <w:tcPr>
            <w:tcW w:type="dxa" w:w="1800"/>
            <w:tcMar>
              <w:top w:w="58" w:type="dxa"/>
              <w:start w:w="65" w:type="dxa"/>
              <w:bottom w:w="58" w:type="dxa"/>
              <w:end w:w="65" w:type="dxa"/>
            </w:tcMar>
            <w:vAlign w:val="center"/>
          </w:tcPr>
          <w:p>
            <w:pPr>
              <w:pStyle w:val="MMTableText"/>
              <w:spacing w:after="0"/>
            </w:pPr>
            <w:r>
              <w:rPr>
                <w:sz w:val="16"/>
              </w:rPr>
              <w:t>Settings &amp; Vault</w:t>
            </w:r>
          </w:p>
        </w:tc>
        <w:tc>
          <w:tcPr>
            <w:tcW w:type="dxa" w:w="2376"/>
            <w:tcMar>
              <w:top w:w="58" w:type="dxa"/>
              <w:start w:w="65" w:type="dxa"/>
              <w:bottom w:w="58" w:type="dxa"/>
              <w:end w:w="65" w:type="dxa"/>
            </w:tcMar>
            <w:vAlign w:val="center"/>
          </w:tcPr>
          <w:p>
            <w:pPr>
              <w:pStyle w:val="MMTableText"/>
              <w:spacing w:after="0"/>
            </w:pPr>
            <w:r>
              <w:rPr>
                <w:sz w:val="16"/>
              </w:rPr>
              <w:t>Privacy and maintenance.</w:t>
            </w:r>
          </w:p>
        </w:tc>
        <w:tc>
          <w:tcPr>
            <w:tcW w:type="dxa" w:w="5904"/>
            <w:tcMar>
              <w:top w:w="58" w:type="dxa"/>
              <w:start w:w="65" w:type="dxa"/>
              <w:bottom w:w="58" w:type="dxa"/>
              <w:end w:w="65" w:type="dxa"/>
            </w:tcMar>
            <w:vAlign w:val="center"/>
          </w:tcPr>
          <w:p>
            <w:pPr>
              <w:pStyle w:val="MMTableText"/>
              <w:spacing w:after="0"/>
            </w:pPr>
            <w:r>
              <w:rPr>
                <w:sz w:val="16"/>
              </w:rPr>
              <w:t>Passphrase, lock timeout, backup/restore, account names, imports, migration diagnostics.</w:t>
            </w:r>
          </w:p>
        </w:tc>
      </w:tr>
    </w:tbl>
    <w:p>
      <w:pPr>
        <w:spacing w:after="0"/>
      </w:pPr>
    </w:p>
    <w:p>
      <w:pPr>
        <w:pStyle w:val="Heading2"/>
      </w:pPr>
      <w:r>
        <w:t>9.2 Navigation behavior</w:t>
      </w:r>
    </w:p>
    <w:p>
      <w:pPr>
        <w:pStyle w:val="ListBullet"/>
      </w:pPr>
      <w:r>
        <w:t>Desktop: persistent left navigation with current section highlighted.</w:t>
      </w:r>
    </w:p>
    <w:p>
      <w:pPr>
        <w:pStyle w:val="ListBullet"/>
      </w:pPr>
      <w:r>
        <w:t>Small screens: collapsible navigation with no loss of core transaction review controls.</w:t>
      </w:r>
    </w:p>
    <w:p>
      <w:pPr>
        <w:pStyle w:val="ListBullet"/>
      </w:pPr>
      <w:r>
        <w:t>The global month selector appears on Overview, Transactions, Buckets, Shared Expenses, Debt &amp; Goals, and Reports where relevant.</w:t>
      </w:r>
    </w:p>
    <w:p>
      <w:pPr>
        <w:pStyle w:val="ListBullet"/>
      </w:pPr>
      <w:r>
        <w:t>The current vault lock state and synchronization/import status are visible without exposing sensitive balances on the lock screen.</w:t>
      </w:r>
    </w:p>
    <w:p>
      <w:pPr>
        <w:pStyle w:val="ListBullet"/>
      </w:pPr>
      <w:r>
        <w:t>Back navigation preserves the prior filter state and scroll position when drilling into a transaction from a bucket or report.</w:t>
      </w:r>
    </w:p>
    <w:p>
      <w:pPr>
        <w:pStyle w:val="Heading1"/>
      </w:pPr>
      <w:r>
        <w:t>10. Functional Requirements by Product Area</w:t>
      </w:r>
    </w:p>
    <w:p>
      <w:pPr>
        <w:pStyle w:val="Heading2"/>
      </w:pPr>
      <w:r>
        <w:t>10.1 Overview dashboard</w:t>
      </w:r>
    </w:p>
    <w:p>
      <w:pPr>
        <w:pStyle w:val="Heading3"/>
      </w:pPr>
      <w:r>
        <w:t>OVR-001 — Traceable dashboard metrics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The Overview must display metrics derived from V2 records, not static seed totals. Selecting a metric opens the transactions, allocations, accounts, or claims used in the calculation.</w:t>
      </w:r>
    </w:p>
    <w:p>
      <w:r>
        <w:rPr>
          <w:b/>
        </w:rPr>
        <w:t>Acceptance criteria</w:t>
      </w:r>
    </w:p>
    <w:p>
      <w:pPr>
        <w:pStyle w:val="ListBullet"/>
      </w:pPr>
      <w:r>
        <w:t>Every spending metric offers a drill-down action.</w:t>
      </w:r>
    </w:p>
    <w:p>
      <w:pPr>
        <w:pStyle w:val="ListBullet"/>
      </w:pPr>
      <w:r>
        <w:t>The selected month is shown alongside all period-sensitive totals.</w:t>
      </w:r>
    </w:p>
    <w:p>
      <w:pPr>
        <w:pStyle w:val="ListBullet"/>
      </w:pPr>
      <w:r>
        <w:t>Pending, provisional, reviewed, expected, and realized amounts are labeled rather than silently combined.</w:t>
      </w:r>
    </w:p>
    <w:p>
      <w:pPr>
        <w:pStyle w:val="Heading3"/>
      </w:pPr>
      <w:r>
        <w:t>OVR-002 — Core overview cards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Provide at minimum: available cash snapshot, expected personal spend, realized net personal spend, cash flow, safe-to-spend, outstanding reimbursements, debt balance/utilization priority, emergency savings progress, travel fund progress, and weekly review completion.</w:t>
      </w:r>
    </w:p>
    <w:p>
      <w:r>
        <w:rPr>
          <w:b/>
        </w:rPr>
        <w:t>Acceptance criteria</w:t>
      </w:r>
    </w:p>
    <w:p>
      <w:pPr>
        <w:pStyle w:val="ListBullet"/>
      </w:pPr>
      <w:r>
        <w:t>Each card shows its calculation definition in accessible help text.</w:t>
      </w:r>
    </w:p>
    <w:p>
      <w:pPr>
        <w:pStyle w:val="ListBullet"/>
      </w:pPr>
      <w:r>
        <w:t>Cards tolerate missing account balances or incomplete transaction coverage without showing a false zero.</w:t>
      </w:r>
    </w:p>
    <w:p>
      <w:pPr>
        <w:pStyle w:val="Heading3"/>
      </w:pPr>
      <w:r>
        <w:t>OVR-003 — Financial status callouts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Surface review backlog, unclassified inflows, overdue reimbursements, duplicate candidates, account import issues, and protected-goal shortfalls as actionable callouts.</w:t>
      </w:r>
    </w:p>
    <w:p>
      <w:pPr>
        <w:pStyle w:val="MMSmall"/>
      </w:pPr>
      <w:r>
        <w:rPr>
          <w:b/>
        </w:rPr>
        <w:t xml:space="preserve">Design note: </w:t>
      </w:r>
      <w:r>
        <w:t>Callouts should be explanatory, not alarmist.</w:t>
      </w:r>
    </w:p>
    <w:p>
      <w:pPr>
        <w:pStyle w:val="Heading2"/>
      </w:pPr>
      <w:r>
        <w:t>10.2 Weekly Review</w:t>
      </w:r>
    </w:p>
    <w:p>
      <w:pPr>
        <w:pStyle w:val="Heading3"/>
      </w:pPr>
      <w:r>
        <w:t>REV-001 — Review queue</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Display unreviewed transactions for a selected week. Default sort is newest first, with the option to filter by account, inflow/outflow, pending/posted, suggested bucket, and confidence.</w:t>
      </w:r>
    </w:p>
    <w:p>
      <w:r>
        <w:rPr>
          <w:b/>
        </w:rPr>
        <w:t>Acceptance criteria</w:t>
      </w:r>
    </w:p>
    <w:p>
      <w:pPr>
        <w:pStyle w:val="ListBullet"/>
      </w:pPr>
      <w:r>
        <w:t>A transaction remains in the queue until the user explicitly confirms its meaning.</w:t>
      </w:r>
    </w:p>
    <w:p>
      <w:pPr>
        <w:pStyle w:val="ListBullet"/>
      </w:pPr>
      <w:r>
        <w:t>Rule-based suggestions do not count as reviewed.</w:t>
      </w:r>
    </w:p>
    <w:p>
      <w:pPr>
        <w:pStyle w:val="ListBullet"/>
      </w:pPr>
      <w:r>
        <w:t>The user can defer an item without losing it.</w:t>
      </w:r>
    </w:p>
    <w:p>
      <w:pPr>
        <w:pStyle w:val="Heading3"/>
      </w:pPr>
      <w:r>
        <w:t>REV-002 — Required transaction context</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Every review card must show date, merchant or description, signed amount, account friendly name, institution, masked digits where available, pending/posted status, state/country when available, and provider metadata as secondary reference.</w:t>
      </w:r>
    </w:p>
    <w:p>
      <w:r>
        <w:rPr>
          <w:b/>
        </w:rPr>
        <w:t>Acceptance criteria</w:t>
      </w:r>
    </w:p>
    <w:p>
      <w:pPr>
        <w:pStyle w:val="ListBullet"/>
      </w:pPr>
      <w:r>
        <w:t>Unknown account and unavailable location are explicit labels.</w:t>
      </w:r>
    </w:p>
    <w:p>
      <w:pPr>
        <w:pStyle w:val="ListBullet"/>
      </w:pPr>
      <w:r>
        <w:t>Provider categories are visually subordinate to user buckets.</w:t>
      </w:r>
    </w:p>
    <w:p>
      <w:pPr>
        <w:pStyle w:val="Heading3"/>
      </w:pPr>
      <w:r>
        <w:t>REV-003 — Movement classification</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Before or alongside bucket assignment, the user can classify the movement as purchase/expense, earned income, reimbursement, merchant refund, internal transfer, gift, debt payment, savings contribution, or other.</w:t>
      </w:r>
    </w:p>
    <w:p>
      <w:r>
        <w:rPr>
          <w:b/>
        </w:rPr>
        <w:t>Acceptance criteria</w:t>
      </w:r>
    </w:p>
    <w:p>
      <w:pPr>
        <w:pStyle w:val="ListBullet"/>
      </w:pPr>
      <w:r>
        <w:t>A reimbursement is not counted as earned income.</w:t>
      </w:r>
    </w:p>
    <w:p>
      <w:pPr>
        <w:pStyle w:val="ListBullet"/>
      </w:pPr>
      <w:r>
        <w:t>An internal transfer is excluded from spending and income reports.</w:t>
      </w:r>
    </w:p>
    <w:p>
      <w:pPr>
        <w:pStyle w:val="ListBullet"/>
      </w:pPr>
      <w:r>
        <w:t>A merchant refund can be linked to an original purchase.</w:t>
      </w:r>
    </w:p>
    <w:p>
      <w:pPr>
        <w:pStyle w:val="Heading3"/>
      </w:pPr>
      <w:r>
        <w:t>REV-004 — Bucket and sub-bucket assignment</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An expense can be assigned to a parent bucket or a sub-bucket. The interaction must be fast for common items while still allowing search and creation of a new bucket.</w:t>
      </w:r>
    </w:p>
    <w:p>
      <w:r>
        <w:rPr>
          <w:b/>
        </w:rPr>
        <w:t>Acceptance criteria</w:t>
      </w:r>
    </w:p>
    <w:p>
      <w:pPr>
        <w:pStyle w:val="ListBullet"/>
      </w:pPr>
      <w:r>
        <w:t>Assignment is reversible.</w:t>
      </w:r>
    </w:p>
    <w:p>
      <w:pPr>
        <w:pStyle w:val="ListBullet"/>
      </w:pPr>
      <w:r>
        <w:t>Historical assignments are not automatically changed when a bucket is renamed.</w:t>
      </w:r>
    </w:p>
    <w:p>
      <w:pPr>
        <w:pStyle w:val="ListBullet"/>
      </w:pPr>
      <w:r>
        <w:t>Archived buckets remain visible on historical records.</w:t>
      </w:r>
    </w:p>
    <w:p>
      <w:pPr>
        <w:pStyle w:val="Heading3"/>
      </w:pPr>
      <w:r>
        <w:t>REV-005 — Split during review</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The user can divide a transaction across multiple allocations, including multiple buckets and reimbursable shares. The interface continuously shows assigned and remaining amounts.</w:t>
      </w:r>
    </w:p>
    <w:p>
      <w:r>
        <w:rPr>
          <w:b/>
        </w:rPr>
        <w:t>Acceptance criteria</w:t>
      </w:r>
    </w:p>
    <w:p>
      <w:pPr>
        <w:pStyle w:val="ListBullet"/>
      </w:pPr>
      <w:r>
        <w:t>The review cannot finalize until allocations equal the transaction magnitude within one cent.</w:t>
      </w:r>
    </w:p>
    <w:p>
      <w:pPr>
        <w:pStyle w:val="ListBullet"/>
      </w:pPr>
      <w:r>
        <w:t>The user can enter fixed amounts or percentages and the final line absorbs a rounding cent when confirmed.</w:t>
      </w:r>
    </w:p>
    <w:p>
      <w:pPr>
        <w:pStyle w:val="Heading3"/>
      </w:pPr>
      <w:r>
        <w:t>REV-006 — Reimbursement action</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 user can mark all or part of an expense as owed by a person or group, specify expected amount, optional due date, note, and payer label, and create a reimbursement claim linked to the source allocation.</w:t>
      </w:r>
    </w:p>
    <w:p>
      <w:r>
        <w:rPr>
          <w:b/>
        </w:rPr>
        <w:t>Acceptance criteria</w:t>
      </w:r>
    </w:p>
    <w:p>
      <w:pPr>
        <w:pStyle w:val="ListBullet"/>
      </w:pPr>
      <w:r>
        <w:t>The expense remains a real cash outflow.</w:t>
      </w:r>
    </w:p>
    <w:p>
      <w:pPr>
        <w:pStyle w:val="ListBullet"/>
      </w:pPr>
      <w:r>
        <w:t>Expected reimbursement is shown as a receivable rather than income.</w:t>
      </w:r>
    </w:p>
    <w:p>
      <w:pPr>
        <w:pStyle w:val="ListBullet"/>
      </w:pPr>
      <w:r>
        <w:t>The claim can be partially or fully settled later.</w:t>
      </w:r>
    </w:p>
    <w:p>
      <w:pPr>
        <w:pStyle w:val="Heading3"/>
      </w:pPr>
      <w:r>
        <w:t>REV-007 — Remember merchant rule</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After confirmation, the user may save a merchant rule that suggests movement type, bucket, sub-bucket, or split template on future matching records.</w:t>
      </w:r>
    </w:p>
    <w:p>
      <w:r>
        <w:rPr>
          <w:b/>
        </w:rPr>
        <w:t>Acceptance criteria</w:t>
      </w:r>
    </w:p>
    <w:p>
      <w:pPr>
        <w:pStyle w:val="ListBullet"/>
      </w:pPr>
      <w:r>
        <w:t>Saving a rule is an explicit opt-in action.</w:t>
      </w:r>
    </w:p>
    <w:p>
      <w:pPr>
        <w:pStyle w:val="ListBullet"/>
      </w:pPr>
      <w:r>
        <w:t>A future rule match remains a suggestion until reviewed.</w:t>
      </w:r>
    </w:p>
    <w:p>
      <w:pPr>
        <w:pStyle w:val="ListBullet"/>
      </w:pPr>
      <w:r>
        <w:t>The rule that produced a suggestion is visible and editable.</w:t>
      </w:r>
    </w:p>
    <w:p>
      <w:pPr>
        <w:pStyle w:val="Heading3"/>
      </w:pPr>
      <w:r>
        <w:t>REV-008 — Review completion and undo</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Show reviewed count, remaining count, and completion percentage for the selected week. Provide an immediate undo action after each confirmation and a full edit path later.</w:t>
      </w:r>
    </w:p>
    <w:p>
      <w:r>
        <w:rPr>
          <w:b/>
        </w:rPr>
        <w:t>Acceptance criteria</w:t>
      </w:r>
    </w:p>
    <w:p>
      <w:pPr>
        <w:pStyle w:val="ListBullet"/>
      </w:pPr>
      <w:r>
        <w:t>Undo restores the previous allocations, claim links, and rule state as applicable.</w:t>
      </w:r>
    </w:p>
    <w:p>
      <w:pPr>
        <w:pStyle w:val="ListBullet"/>
      </w:pPr>
      <w:r>
        <w:t>No confirmed decision is destructive without a recoverable audit record.</w:t>
      </w:r>
    </w:p>
    <w:p>
      <w:pPr>
        <w:pStyle w:val="Heading2"/>
      </w:pPr>
      <w:r>
        <w:t>10.3 Transaction browser and detail</w:t>
      </w:r>
    </w:p>
    <w:p>
      <w:pPr>
        <w:pStyle w:val="Heading3"/>
      </w:pPr>
      <w:r>
        <w:t>TXN-001 — All-transactions view</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Provide a searchable, sortable list of all transactions across months and accounts. Filters include date, amount, account, institution, movement type, bucket, sub-bucket, review status, reimbursement status, location, pending status, and source.</w:t>
      </w:r>
    </w:p>
    <w:p>
      <w:r>
        <w:rPr>
          <w:b/>
        </w:rPr>
        <w:t>Acceptance criteria</w:t>
      </w:r>
    </w:p>
    <w:p>
      <w:pPr>
        <w:pStyle w:val="ListBullet"/>
      </w:pPr>
      <w:r>
        <w:t>Filters can be cleared together.</w:t>
      </w:r>
    </w:p>
    <w:p>
      <w:pPr>
        <w:pStyle w:val="ListBullet"/>
      </w:pPr>
      <w:r>
        <w:t>Opening a transaction and returning preserves the current list state.</w:t>
      </w:r>
    </w:p>
    <w:p>
      <w:pPr>
        <w:pStyle w:val="Heading3"/>
      </w:pPr>
      <w:r>
        <w:t>TXN-002 — Transaction detail record</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The detail screen shows raw imported/provider facts, normalized fields, account identity, location, allocations, reimbursement links, refund links, rule provenance, review history, and notes.</w:t>
      </w:r>
    </w:p>
    <w:p>
      <w:r>
        <w:rPr>
          <w:b/>
        </w:rPr>
        <w:t>Acceptance criteria</w:t>
      </w:r>
    </w:p>
    <w:p>
      <w:pPr>
        <w:pStyle w:val="ListBullet"/>
      </w:pPr>
      <w:r>
        <w:t>Raw source values are preserved for audit and never overwritten by normalized user fields.</w:t>
      </w:r>
    </w:p>
    <w:p>
      <w:pPr>
        <w:pStyle w:val="ListBullet"/>
      </w:pPr>
      <w:r>
        <w:t>Edits create an audit event with timestamp and changed fields.</w:t>
      </w:r>
    </w:p>
    <w:p>
      <w:pPr>
        <w:pStyle w:val="Heading3"/>
      </w:pPr>
      <w:r>
        <w:t>TXN-003 — Manual transaction entry</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Allow a user to add a cash or missing transaction with account, date, amount, movement type, merchant/description, state/country, and allocations.</w:t>
      </w:r>
    </w:p>
    <w:p>
      <w:r>
        <w:rPr>
          <w:b/>
        </w:rPr>
        <w:t>Acceptance criteria</w:t>
      </w:r>
    </w:p>
    <w:p>
      <w:pPr>
        <w:pStyle w:val="ListBullet"/>
      </w:pPr>
      <w:r>
        <w:t>Manual rows are visibly marked as manual.</w:t>
      </w:r>
    </w:p>
    <w:p>
      <w:pPr>
        <w:pStyle w:val="ListBullet"/>
      </w:pPr>
      <w:r>
        <w:t>They participate in reporting using the same canonical model.</w:t>
      </w:r>
    </w:p>
    <w:p>
      <w:pPr>
        <w:pStyle w:val="ListBullet"/>
      </w:pPr>
      <w:r>
        <w:t>They can be edited or deleted with confirmation.</w:t>
      </w:r>
    </w:p>
    <w:p>
      <w:pPr>
        <w:pStyle w:val="Heading3"/>
      </w:pPr>
      <w:r>
        <w:t>TXN-004 — Pending and posted lifecycle</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Represent pending and posted records separately while allowing later reconciliation. A posted transaction may replace a pending record without duplicating personal spending.</w:t>
      </w:r>
    </w:p>
    <w:p>
      <w:pPr>
        <w:pStyle w:val="MMSmall"/>
      </w:pPr>
      <w:r>
        <w:rPr>
          <w:b/>
        </w:rPr>
        <w:t xml:space="preserve">Design note: </w:t>
      </w:r>
      <w:r>
        <w:t>Required before live Plaid, but the data model must exist in V2A.</w:t>
      </w:r>
    </w:p>
    <w:p>
      <w:r>
        <w:rPr>
          <w:b/>
        </w:rPr>
        <w:t>Acceptance criteria</w:t>
      </w:r>
    </w:p>
    <w:p>
      <w:pPr>
        <w:pStyle w:val="ListBullet"/>
      </w:pPr>
      <w:r>
        <w:t>Reconciliation preserves user allocations and review decisions where confidence is sufficient.</w:t>
      </w:r>
    </w:p>
    <w:p>
      <w:pPr>
        <w:pStyle w:val="ListBullet"/>
      </w:pPr>
      <w:r>
        <w:t>Ambiguous replacements are placed in a resolution queue.</w:t>
      </w:r>
    </w:p>
    <w:p>
      <w:pPr>
        <w:pStyle w:val="Heading2"/>
      </w:pPr>
      <w:r>
        <w:t>10.4 Buckets and sub-buckets</w:t>
      </w:r>
    </w:p>
    <w:p>
      <w:pPr>
        <w:pStyle w:val="Heading3"/>
      </w:pPr>
      <w:r>
        <w:t>BKT-001 — Parent bucket management</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Create, rename, reorder, archive, and set monthly targets for user-owned parent buckets. Buckets may be grouped for planning views, but provider categories never control them.</w:t>
      </w:r>
    </w:p>
    <w:p>
      <w:r>
        <w:rPr>
          <w:b/>
        </w:rPr>
        <w:t>Acceptance criteria</w:t>
      </w:r>
    </w:p>
    <w:p>
      <w:pPr>
        <w:pStyle w:val="ListBullet"/>
      </w:pPr>
      <w:r>
        <w:t>Deleting a bucket with history is not allowed; archive or merge is offered instead.</w:t>
      </w:r>
    </w:p>
    <w:p>
      <w:pPr>
        <w:pStyle w:val="ListBullet"/>
      </w:pPr>
      <w:r>
        <w:t>Reordering affects display only, not historical data.</w:t>
      </w:r>
    </w:p>
    <w:p>
      <w:pPr>
        <w:pStyle w:val="Heading3"/>
      </w:pPr>
      <w:r>
        <w:t>BKT-002 — Two-level sub-buckets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 parent bucket may contain sub-buckets. V2 supports at most one parent and one child level.</w:t>
      </w:r>
    </w:p>
    <w:p>
      <w:pPr>
        <w:pStyle w:val="MMSmall"/>
      </w:pPr>
      <w:r>
        <w:rPr>
          <w:b/>
        </w:rPr>
        <w:t xml:space="preserve">Design note: </w:t>
      </w:r>
      <w:r>
        <w:t>Two levels provide useful detail without turning the product into a filing hierarchy.</w:t>
      </w:r>
    </w:p>
    <w:p>
      <w:r>
        <w:rPr>
          <w:b/>
        </w:rPr>
        <w:t>Acceptance criteria</w:t>
      </w:r>
    </w:p>
    <w:p>
      <w:pPr>
        <w:pStyle w:val="ListBullet"/>
      </w:pPr>
      <w:r>
        <w:t>Reports roll sub-bucket values into the parent total.</w:t>
      </w:r>
    </w:p>
    <w:p>
      <w:pPr>
        <w:pStyle w:val="ListBullet"/>
      </w:pPr>
      <w:r>
        <w:t>Sub-buckets can be independently filtered and targeted if enabled.</w:t>
      </w:r>
    </w:p>
    <w:p>
      <w:pPr>
        <w:pStyle w:val="ListBullet"/>
      </w:pPr>
      <w:r>
        <w:t>The UI prevents a third nesting level.</w:t>
      </w:r>
    </w:p>
    <w:p>
      <w:pPr>
        <w:pStyle w:val="Heading3"/>
      </w:pPr>
      <w:r>
        <w:t>BKT-003 — Bucket drill-down</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Opening a bucket shows its transactions and allocations, gross expense, expected reimbursements, received reimbursements, refunds, expected personal spend, realized net spend, target, and remaining amount.</w:t>
      </w:r>
    </w:p>
    <w:p>
      <w:r>
        <w:rPr>
          <w:b/>
        </w:rPr>
        <w:t>Acceptance criteria</w:t>
      </w:r>
    </w:p>
    <w:p>
      <w:pPr>
        <w:pStyle w:val="ListBullet"/>
      </w:pPr>
      <w:r>
        <w:t>A parent view can group by child bucket.</w:t>
      </w:r>
    </w:p>
    <w:p>
      <w:pPr>
        <w:pStyle w:val="ListBullet"/>
      </w:pPr>
      <w:r>
        <w:t>A transaction split across buckets appears only for the allocation amount attributable to the selected bucket.</w:t>
      </w:r>
    </w:p>
    <w:p>
      <w:pPr>
        <w:pStyle w:val="ListBullet"/>
      </w:pPr>
      <w:r>
        <w:t>The user can filter by account and location.</w:t>
      </w:r>
    </w:p>
    <w:p>
      <w:pPr>
        <w:pStyle w:val="Heading3"/>
      </w:pPr>
      <w:r>
        <w:t>BKT-004 — Bucket merge and archive</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Provide safe operations to merge one bucket into another or archive it. Historical references must remain explainable.</w:t>
      </w:r>
    </w:p>
    <w:p>
      <w:r>
        <w:rPr>
          <w:b/>
        </w:rPr>
        <w:t>Acceptance criteria</w:t>
      </w:r>
    </w:p>
    <w:p>
      <w:pPr>
        <w:pStyle w:val="ListBullet"/>
      </w:pPr>
      <w:r>
        <w:t>Merge previews the number of affected allocations and rules.</w:t>
      </w:r>
    </w:p>
    <w:p>
      <w:pPr>
        <w:pStyle w:val="ListBullet"/>
      </w:pPr>
      <w:r>
        <w:t>Archive removes the bucket from normal assignment but retains historical visibility.</w:t>
      </w:r>
    </w:p>
    <w:p>
      <w:pPr>
        <w:pStyle w:val="ListBullet"/>
      </w:pPr>
      <w:r>
        <w:t>System movement buckets such as Transfer and Excluded cannot be deleted.</w:t>
      </w:r>
    </w:p>
    <w:p>
      <w:pPr>
        <w:pStyle w:val="Heading2"/>
      </w:pPr>
      <w:r>
        <w:t>10.5 Split allocations</w:t>
      </w:r>
    </w:p>
    <w:p>
      <w:pPr>
        <w:pStyle w:val="Heading3"/>
      </w:pPr>
      <w:r>
        <w:t>SPL-001 — Allocation model</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Every expense transaction has at least one allocation. An allocation records amount, bucket, optional sub-bucket, ownership type, notes, and optional reimbursement claim link.</w:t>
      </w:r>
    </w:p>
    <w:p>
      <w:r>
        <w:rPr>
          <w:b/>
        </w:rPr>
        <w:t>Acceptance criteria</w:t>
      </w:r>
    </w:p>
    <w:p>
      <w:pPr>
        <w:pStyle w:val="ListBullet"/>
      </w:pPr>
      <w:r>
        <w:t>Allocation amounts sum to the transaction magnitude.</w:t>
      </w:r>
    </w:p>
    <w:p>
      <w:pPr>
        <w:pStyle w:val="ListBullet"/>
      </w:pPr>
      <w:r>
        <w:t>Allocation IDs remain stable when unrelated transaction metadata changes.</w:t>
      </w:r>
    </w:p>
    <w:p>
      <w:pPr>
        <w:pStyle w:val="ListBullet"/>
      </w:pPr>
      <w:r>
        <w:t>An allocation can be edited without replacing the source transaction.</w:t>
      </w:r>
    </w:p>
    <w:p>
      <w:pPr>
        <w:pStyle w:val="Heading3"/>
      </w:pPr>
      <w:r>
        <w:t>SPL-002 — Mixed-purpose purchase</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Support purchases such as a general retailer receipt containing groceries, household items, and clothing by allocating fixed amounts to multiple buckets.</w:t>
      </w:r>
    </w:p>
    <w:p>
      <w:r>
        <w:rPr>
          <w:b/>
        </w:rPr>
        <w:t>Acceptance criteria</w:t>
      </w:r>
    </w:p>
    <w:p>
      <w:pPr>
        <w:pStyle w:val="ListBullet"/>
      </w:pPr>
      <w:r>
        <w:t>The transaction list can show a Split badge.</w:t>
      </w:r>
    </w:p>
    <w:p>
      <w:pPr>
        <w:pStyle w:val="ListBullet"/>
      </w:pPr>
      <w:r>
        <w:t>Bucket reports use the allocation amount rather than the entire transaction.</w:t>
      </w:r>
    </w:p>
    <w:p>
      <w:pPr>
        <w:pStyle w:val="Heading3"/>
      </w:pPr>
      <w:r>
        <w:t>SPL-003 — Split templates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2ECF7"/>
            <w:vAlign w:val="center"/>
          </w:tcPr>
          <w:p>
            <w:pPr>
              <w:spacing w:after="0"/>
            </w:pPr>
            <w:r>
              <w:rPr>
                <w:b/>
                <w:color w:val="6B4C8A"/>
                <w:sz w:val="16"/>
              </w:rPr>
              <w:t>DECISION REQUIRED</w:t>
            </w:r>
          </w:p>
        </w:tc>
        <w:tc>
          <w:tcPr>
            <w:tcW w:type="dxa" w:w="1944"/>
            <w:tcMar>
              <w:top w:w="45" w:type="dxa"/>
              <w:start w:w="75" w:type="dxa"/>
              <w:bottom w:w="45" w:type="dxa"/>
              <w:end w:w="75" w:type="dxa"/>
            </w:tcMar>
            <w:shd w:fill="F2ECF7"/>
            <w:vAlign w:val="center"/>
          </w:tcPr>
          <w:p>
            <w:pPr>
              <w:spacing w:after="0"/>
            </w:pPr>
            <w:r>
              <w:rPr>
                <w:b/>
                <w:color w:val="6B4C8A"/>
                <w:sz w:val="16"/>
              </w:rPr>
              <w:t>V2</w:t>
            </w:r>
          </w:p>
        </w:tc>
        <w:tc>
          <w:tcPr>
            <w:tcW w:type="dxa" w:w="5112"/>
            <w:tcMar>
              <w:top w:w="45" w:type="dxa"/>
              <w:start w:w="75" w:type="dxa"/>
              <w:bottom w:w="45" w:type="dxa"/>
              <w:end w:w="75" w:type="dxa"/>
            </w:tcMar>
            <w:shd w:fill="F2ECF7"/>
            <w:vAlign w:val="center"/>
          </w:tcPr>
          <w:p>
            <w:pPr>
              <w:spacing w:after="0"/>
            </w:pPr>
            <w:r>
              <w:rPr>
                <w:b/>
                <w:color w:val="6B4C8A"/>
                <w:sz w:val="16"/>
              </w:rPr>
              <w:t>Owner: Engineering</w:t>
            </w:r>
          </w:p>
        </w:tc>
      </w:tr>
    </w:tbl>
    <w:p>
      <w:pPr>
        <w:pStyle w:val="MMRequirement"/>
      </w:pPr>
      <w:r>
        <w:t>A merchant rule may suggest a reusable split structure, but dollar amounts must be confirmed for each transaction unless the user chooses a percentage-based rule.</w:t>
      </w:r>
    </w:p>
    <w:p>
      <w:pPr>
        <w:pStyle w:val="MMSmall"/>
      </w:pPr>
      <w:r>
        <w:rPr>
          <w:b/>
        </w:rPr>
        <w:t xml:space="preserve">Design note: </w:t>
      </w:r>
      <w:r>
        <w:t>Decide whether fixed-amount split templates are allowed or only percentage templates.</w:t>
      </w:r>
    </w:p>
    <w:p>
      <w:r>
        <w:rPr>
          <w:b/>
        </w:rPr>
        <w:t>Acceptance criteria</w:t>
      </w:r>
    </w:p>
    <w:p>
      <w:pPr>
        <w:pStyle w:val="ListBullet"/>
      </w:pPr>
      <w:r>
        <w:t>The user sees the proposed split before finalizing.</w:t>
      </w:r>
    </w:p>
    <w:p>
      <w:pPr>
        <w:pStyle w:val="ListBullet"/>
      </w:pPr>
      <w:r>
        <w:t>Rounding is deterministic and disclosed.</w:t>
      </w:r>
    </w:p>
    <w:p>
      <w:pPr>
        <w:pStyle w:val="Heading2"/>
      </w:pPr>
      <w:r>
        <w:t>10.6 Shared expenses and reimbursements</w:t>
      </w:r>
    </w:p>
    <w:p>
      <w:pPr>
        <w:pStyle w:val="Heading3"/>
      </w:pPr>
      <w:r>
        <w:t>RMB-001 — Reimbursement claim</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 claim represents money expected from another person or organization for a specific portion of one or more expenses. It records expected amount, payer label, status, due date, notes, source allocations, linked inflows, and write-off state.</w:t>
      </w:r>
    </w:p>
    <w:p>
      <w:r>
        <w:rPr>
          <w:b/>
        </w:rPr>
        <w:t>Acceptance criteria</w:t>
      </w:r>
    </w:p>
    <w:p>
      <w:pPr>
        <w:pStyle w:val="ListBullet"/>
      </w:pPr>
      <w:r>
        <w:t>Expected amount cannot exceed the sum of linked reimbursable allocations unless an explicit overpayment adjustment is created.</w:t>
      </w:r>
    </w:p>
    <w:p>
      <w:pPr>
        <w:pStyle w:val="ListBullet"/>
      </w:pPr>
      <w:r>
        <w:t>Outstanding amount updates as linked inflows are added or removed.</w:t>
      </w:r>
    </w:p>
    <w:p>
      <w:pPr>
        <w:pStyle w:val="Heading3"/>
      </w:pPr>
      <w:r>
        <w:t>RMB-002 — Match incoming repayment</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When an inflow is classified as a reimbursement, Money Moves suggests open claims using amount, payer/counterparty, date proximity, notes, and account context. The user confirms the link.</w:t>
      </w:r>
    </w:p>
    <w:p>
      <w:r>
        <w:rPr>
          <w:b/>
        </w:rPr>
        <w:t>Acceptance criteria</w:t>
      </w:r>
    </w:p>
    <w:p>
      <w:pPr>
        <w:pStyle w:val="ListBullet"/>
      </w:pPr>
      <w:r>
        <w:t>Suggestions never finalize automatically.</w:t>
      </w:r>
    </w:p>
    <w:p>
      <w:pPr>
        <w:pStyle w:val="ListBullet"/>
      </w:pPr>
      <w:r>
        <w:t>One inflow may settle multiple claims.</w:t>
      </w:r>
    </w:p>
    <w:p>
      <w:pPr>
        <w:pStyle w:val="ListBullet"/>
      </w:pPr>
      <w:r>
        <w:t>Multiple inflows may settle one claim.</w:t>
      </w:r>
    </w:p>
    <w:p>
      <w:pPr>
        <w:pStyle w:val="Heading3"/>
      </w:pPr>
      <w:r>
        <w:t>RMB-003 — Shared Expenses center</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Provide views for Awaiting repayment, Partially repaid, Settled, Overdue, Written off, and Unmatched incoming reimbursements.</w:t>
      </w:r>
    </w:p>
    <w:p>
      <w:r>
        <w:rPr>
          <w:b/>
        </w:rPr>
        <w:t>Acceptance criteria</w:t>
      </w:r>
    </w:p>
    <w:p>
      <w:pPr>
        <w:pStyle w:val="ListBullet"/>
      </w:pPr>
      <w:r>
        <w:t>Each claim links to the original expense and repayment transactions.</w:t>
      </w:r>
    </w:p>
    <w:p>
      <w:pPr>
        <w:pStyle w:val="ListBullet"/>
      </w:pPr>
      <w:r>
        <w:t>The user can mark a claim written off, which converts the unpaid portion into personal spending for responsibility-based reports.</w:t>
      </w:r>
    </w:p>
    <w:p>
      <w:pPr>
        <w:pStyle w:val="Heading3"/>
      </w:pPr>
      <w:r>
        <w:t>RMB-004 — Partial, under, and overpayment</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Claims support partial payments, small mismatches, and overpayment. The user may leave a residual outstanding, adjust the expected amount, allocate an overpayment to another claim, or classify the difference separately.</w:t>
      </w:r>
    </w:p>
    <w:p>
      <w:r>
        <w:rPr>
          <w:b/>
        </w:rPr>
        <w:t>Acceptance criteria</w:t>
      </w:r>
    </w:p>
    <w:p>
      <w:pPr>
        <w:pStyle w:val="ListBullet"/>
      </w:pPr>
      <w:r>
        <w:t>The system never silently forces a claim to settled when amounts differ.</w:t>
      </w:r>
    </w:p>
    <w:p>
      <w:pPr>
        <w:pStyle w:val="ListBullet"/>
      </w:pPr>
      <w:r>
        <w:t>Every adjustment is recorded in the audit log.</w:t>
      </w:r>
    </w:p>
    <w:p>
      <w:pPr>
        <w:pStyle w:val="Heading3"/>
      </w:pPr>
      <w:r>
        <w:t>RMB-005 — Reimbursement reporting</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Report gross purchase, expected reimbursement, received reimbursement, outstanding receivable, expected personal spend, and realized net cash cost as distinct measures.</w:t>
      </w:r>
    </w:p>
    <w:p>
      <w:r>
        <w:rPr>
          <w:b/>
        </w:rPr>
        <w:t>Acceptance criteria</w:t>
      </w:r>
    </w:p>
    <w:p>
      <w:pPr>
        <w:pStyle w:val="ListBullet"/>
      </w:pPr>
      <w:r>
        <w:t>Reimbursements do not appear in earned-income totals.</w:t>
      </w:r>
    </w:p>
    <w:p>
      <w:pPr>
        <w:pStyle w:val="ListBullet"/>
      </w:pPr>
      <w:r>
        <w:t>The user can distinguish responsibility-based and cash-realized views.</w:t>
      </w:r>
    </w:p>
    <w:p>
      <w:pPr>
        <w:pStyle w:val="Heading2"/>
      </w:pPr>
      <w:r>
        <w:t>10.7 Inflows, refunds, and transfers</w:t>
      </w:r>
    </w:p>
    <w:p>
      <w:pPr>
        <w:pStyle w:val="Heading3"/>
      </w:pPr>
      <w:r>
        <w:t>INF-001 — Inflow classification</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All inflows must be classified or remain explicitly unclassified. Supported types include earned income, reimbursement, merchant refund, internal transfer, gift, interest, sale proceeds, and other inflow.</w:t>
      </w:r>
    </w:p>
    <w:p>
      <w:r>
        <w:rPr>
          <w:b/>
        </w:rPr>
        <w:t>Acceptance criteria</w:t>
      </w:r>
    </w:p>
    <w:p>
      <w:pPr>
        <w:pStyle w:val="ListBullet"/>
      </w:pPr>
      <w:r>
        <w:t>Unclassified inflows are excluded from earned-income totals until reviewed.</w:t>
      </w:r>
    </w:p>
    <w:p>
      <w:pPr>
        <w:pStyle w:val="ListBullet"/>
      </w:pPr>
      <w:r>
        <w:t>The Overview surfaces material unclassified inflows.</w:t>
      </w:r>
    </w:p>
    <w:p>
      <w:pPr>
        <w:pStyle w:val="Heading3"/>
      </w:pPr>
      <w:r>
        <w:t>INF-002 — Merchant refund linking</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 refund may be linked to one or more original expense allocations. The linked amount reduces the relevant bucket’s expense and preserves the gross purchase and refund events.</w:t>
      </w:r>
    </w:p>
    <w:p>
      <w:r>
        <w:rPr>
          <w:b/>
        </w:rPr>
        <w:t>Acceptance criteria</w:t>
      </w:r>
    </w:p>
    <w:p>
      <w:pPr>
        <w:pStyle w:val="ListBullet"/>
      </w:pPr>
      <w:r>
        <w:t>A partial refund reduces only the linked amount.</w:t>
      </w:r>
    </w:p>
    <w:p>
      <w:pPr>
        <w:pStyle w:val="ListBullet"/>
      </w:pPr>
      <w:r>
        <w:t>An unmatched refund remains visible for later resolution.</w:t>
      </w:r>
    </w:p>
    <w:p>
      <w:pPr>
        <w:pStyle w:val="Heading3"/>
      </w:pPr>
      <w:r>
        <w:t>INF-003 — Internal transfer matching</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Transfers between owned accounts must be linked when possible and excluded from income and spending. Card payments are represented as transfers or debt payments rather than expenses.</w:t>
      </w:r>
    </w:p>
    <w:p>
      <w:r>
        <w:rPr>
          <w:b/>
        </w:rPr>
        <w:t>Acceptance criteria</w:t>
      </w:r>
    </w:p>
    <w:p>
      <w:pPr>
        <w:pStyle w:val="ListBullet"/>
      </w:pPr>
      <w:r>
        <w:t>Both sides remain visible in account activity.</w:t>
      </w:r>
    </w:p>
    <w:p>
      <w:pPr>
        <w:pStyle w:val="ListBullet"/>
      </w:pPr>
      <w:r>
        <w:t>Reports do not double-count the transfer.</w:t>
      </w:r>
    </w:p>
    <w:p>
      <w:pPr>
        <w:pStyle w:val="ListBullet"/>
      </w:pPr>
      <w:r>
        <w:t>An unmatched transfer candidate remains reviewable rather than discarded.</w:t>
      </w:r>
    </w:p>
    <w:p>
      <w:pPr>
        <w:pStyle w:val="Heading2"/>
      </w:pPr>
      <w:r>
        <w:t>10.8 Account identity</w:t>
      </w:r>
    </w:p>
    <w:p>
      <w:pPr>
        <w:pStyle w:val="Heading3"/>
      </w:pPr>
      <w:r>
        <w:t>ACT-001 — Normalized account record</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Maintain a stable internal account with institution, provider account ID if available, user-friendly name, official name, mask/last four, type, subtype, currency, source, active state, and balance metadata.</w:t>
      </w:r>
    </w:p>
    <w:p>
      <w:r>
        <w:rPr>
          <w:b/>
        </w:rPr>
        <w:t>Acceptance criteria</w:t>
      </w:r>
    </w:p>
    <w:p>
      <w:pPr>
        <w:pStyle w:val="ListBullet"/>
      </w:pPr>
      <w:r>
        <w:t>Every transaction references a valid account ID or the explicit Unknown account record.</w:t>
      </w:r>
    </w:p>
    <w:p>
      <w:pPr>
        <w:pStyle w:val="ListBullet"/>
      </w:pPr>
      <w:r>
        <w:t>Account identity survives a friendly-name change.</w:t>
      </w:r>
    </w:p>
    <w:p>
      <w:pPr>
        <w:pStyle w:val="Heading3"/>
      </w:pPr>
      <w:r>
        <w:t>ACT-002 — Friendly account names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The user can rename generic account labels once, such as changing “Credit Card” to “Chase Freedom • 1234.” The friendly name appears across review, transaction lists, bucket drill-down, and reports.</w:t>
      </w:r>
    </w:p>
    <w:p>
      <w:r>
        <w:rPr>
          <w:b/>
        </w:rPr>
        <w:t>Acceptance criteria</w:t>
      </w:r>
    </w:p>
    <w:p>
      <w:pPr>
        <w:pStyle w:val="ListBullet"/>
      </w:pPr>
      <w:r>
        <w:t>The official/source name remains available in account settings.</w:t>
      </w:r>
    </w:p>
    <w:p>
      <w:pPr>
        <w:pStyle w:val="ListBullet"/>
      </w:pPr>
      <w:r>
        <w:t>Renaming does not alter provider identifiers.</w:t>
      </w:r>
    </w:p>
    <w:p>
      <w:pPr>
        <w:pStyle w:val="Heading3"/>
      </w:pPr>
      <w:r>
        <w:t>ACT-003 — Account context everywhere</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Where space permits, display institution, friendly account name, and masked digits. Compact views may use a chip; detailed views show the full normalized account metadata.</w:t>
      </w:r>
    </w:p>
    <w:p>
      <w:r>
        <w:rPr>
          <w:b/>
        </w:rPr>
        <w:t>Acceptance criteria</w:t>
      </w:r>
    </w:p>
    <w:p>
      <w:pPr>
        <w:pStyle w:val="ListBullet"/>
      </w:pPr>
      <w:r>
        <w:t>A transaction never omits account context merely because the provider label is generic.</w:t>
      </w:r>
    </w:p>
    <w:p>
      <w:pPr>
        <w:pStyle w:val="ListBullet"/>
      </w:pPr>
      <w:r>
        <w:t>Unknown account is filterable and actionable.</w:t>
      </w:r>
    </w:p>
    <w:p>
      <w:pPr>
        <w:pStyle w:val="Heading2"/>
      </w:pPr>
      <w:r>
        <w:t>10.9 Location metadata</w:t>
      </w:r>
    </w:p>
    <w:p>
      <w:pPr>
        <w:pStyle w:val="Heading3"/>
      </w:pPr>
      <w:r>
        <w:t>LOC-001 — State and country only</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Store and display transaction state/region and country when available. Street address, city, postal code, and coordinates are not required for the V2 user model.</w:t>
      </w:r>
    </w:p>
    <w:p>
      <w:r>
        <w:rPr>
          <w:b/>
        </w:rPr>
        <w:t>Acceptance criteria</w:t>
      </w:r>
    </w:p>
    <w:p>
      <w:pPr>
        <w:pStyle w:val="ListBullet"/>
      </w:pPr>
      <w:r>
        <w:t>Location fields may be null.</w:t>
      </w:r>
    </w:p>
    <w:p>
      <w:pPr>
        <w:pStyle w:val="ListBullet"/>
      </w:pPr>
      <w:r>
        <w:t>Unknown is not replaced with merchant headquarters or guessed geography.</w:t>
      </w:r>
    </w:p>
    <w:p>
      <w:pPr>
        <w:pStyle w:val="Heading3"/>
      </w:pPr>
      <w:r>
        <w:t>LOC-002 — Location provenance</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Track whether location was provider-supplied, import-supplied, merchant-default, user-entered, or unavailable, plus a manual-override flag.</w:t>
      </w:r>
    </w:p>
    <w:p>
      <w:r>
        <w:rPr>
          <w:b/>
        </w:rPr>
        <w:t>Acceptance criteria</w:t>
      </w:r>
    </w:p>
    <w:p>
      <w:pPr>
        <w:pStyle w:val="ListBullet"/>
      </w:pPr>
      <w:r>
        <w:t>The transaction detail screen shows the source of the location.</w:t>
      </w:r>
    </w:p>
    <w:p>
      <w:pPr>
        <w:pStyle w:val="ListBullet"/>
      </w:pPr>
      <w:r>
        <w:t>A user override is not overwritten by a later sync without confirmation.</w:t>
      </w:r>
    </w:p>
    <w:p>
      <w:pPr>
        <w:pStyle w:val="Heading3"/>
      </w:pPr>
      <w:r>
        <w:t>LOC-003 — Location editing and reporting</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Allow the user to correct state/country during review or from transaction detail. Bucket and transaction views may group or filter by state/country.</w:t>
      </w:r>
    </w:p>
    <w:p>
      <w:r>
        <w:rPr>
          <w:b/>
        </w:rPr>
        <w:t>Acceptance criteria</w:t>
      </w:r>
    </w:p>
    <w:p>
      <w:pPr>
        <w:pStyle w:val="ListBullet"/>
      </w:pPr>
      <w:r>
        <w:t>Online purchases may display Online with country or Location unavailable.</w:t>
      </w:r>
    </w:p>
    <w:p>
      <w:pPr>
        <w:pStyle w:val="ListBullet"/>
      </w:pPr>
      <w:r>
        <w:t>Location reporting excludes unknown values rather than assigning them to a false region.</w:t>
      </w:r>
    </w:p>
    <w:p>
      <w:pPr>
        <w:pStyle w:val="Heading2"/>
      </w:pPr>
      <w:r>
        <w:t>10.10 Merchant rules</w:t>
      </w:r>
    </w:p>
    <w:p>
      <w:pPr>
        <w:pStyle w:val="Heading3"/>
      </w:pPr>
      <w:r>
        <w:t>RUL-001 — Rule matching</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Rules match a normalized merchant key and may optionally be scoped by account, amount range, payment channel, or counterparty. The raw merchant string is retained for audit.</w:t>
      </w:r>
    </w:p>
    <w:p>
      <w:r>
        <w:rPr>
          <w:b/>
        </w:rPr>
        <w:t>Acceptance criteria</w:t>
      </w:r>
    </w:p>
    <w:p>
      <w:pPr>
        <w:pStyle w:val="ListBullet"/>
      </w:pPr>
      <w:r>
        <w:t>Rule precedence is deterministic and visible.</w:t>
      </w:r>
    </w:p>
    <w:p>
      <w:pPr>
        <w:pStyle w:val="ListBullet"/>
      </w:pPr>
      <w:r>
        <w:t>Conflicting rules create a review warning rather than arbitrary behavior.</w:t>
      </w:r>
    </w:p>
    <w:p>
      <w:pPr>
        <w:pStyle w:val="Heading3"/>
      </w:pPr>
      <w:r>
        <w:t>RUL-002 — Rule actions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 rule may suggest movement type, bucket/sub-bucket, reimbursement prompt, location, note template, or split template. It may not silently mark the transaction reviewed in V2.</w:t>
      </w:r>
    </w:p>
    <w:p>
      <w:r>
        <w:rPr>
          <w:b/>
        </w:rPr>
        <w:t>Acceptance criteria</w:t>
      </w:r>
    </w:p>
    <w:p>
      <w:pPr>
        <w:pStyle w:val="ListBullet"/>
      </w:pPr>
      <w:r>
        <w:t>A user can disable or delete a rule without changing historical reviewed transactions.</w:t>
      </w:r>
    </w:p>
    <w:p>
      <w:pPr>
        <w:pStyle w:val="ListBullet"/>
      </w:pPr>
      <w:r>
        <w:t>The review screen explains why a suggestion appeared.</w:t>
      </w:r>
    </w:p>
    <w:p>
      <w:pPr>
        <w:pStyle w:val="Heading3"/>
      </w:pPr>
      <w:r>
        <w:t>RUL-003 — Rule management</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The Buckets &amp; Rules screen lists rules, match conditions, suggested action, last used date, number of matches, and active state.</w:t>
      </w:r>
    </w:p>
    <w:p>
      <w:r>
        <w:rPr>
          <w:b/>
        </w:rPr>
        <w:t>Acceptance criteria</w:t>
      </w:r>
    </w:p>
    <w:p>
      <w:pPr>
        <w:pStyle w:val="ListBullet"/>
      </w:pPr>
      <w:r>
        <w:t>Rules can be tested against recent transactions before saving.</w:t>
      </w:r>
    </w:p>
    <w:p>
      <w:pPr>
        <w:pStyle w:val="ListBullet"/>
      </w:pPr>
      <w:r>
        <w:t>A rule edit applies only to future suggestions unless the user explicitly requests historical rebucketing.</w:t>
      </w:r>
    </w:p>
    <w:p>
      <w:pPr>
        <w:pStyle w:val="Heading2"/>
      </w:pPr>
      <w:r>
        <w:t>10.11 Debt and payoff</w:t>
      </w:r>
    </w:p>
    <w:p>
      <w:pPr>
        <w:pStyle w:val="Heading3"/>
      </w:pPr>
      <w:r>
        <w:t>DEB-001 — Debt account summary</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Show each credit account with balance, limit, utilization, APR when known, minimum payment when known, statement date, due date, and friendly account name.</w:t>
      </w:r>
    </w:p>
    <w:p>
      <w:r>
        <w:rPr>
          <w:b/>
        </w:rPr>
        <w:t>Acceptance criteria</w:t>
      </w:r>
    </w:p>
    <w:p>
      <w:pPr>
        <w:pStyle w:val="ListBullet"/>
      </w:pPr>
      <w:r>
        <w:t>Missing APR or limit is shown as unavailable, not zero.</w:t>
      </w:r>
    </w:p>
    <w:p>
      <w:pPr>
        <w:pStyle w:val="ListBullet"/>
      </w:pPr>
      <w:r>
        <w:t>Totals include only active debt accounts selected by the user.</w:t>
      </w:r>
    </w:p>
    <w:p>
      <w:pPr>
        <w:pStyle w:val="Heading3"/>
      </w:pPr>
      <w:r>
        <w:t>DEB-002 — Payoff priority</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Support a utilization-first default priority consistent with V1, while allowing the user to select highest APR, smallest balance, or manual order.</w:t>
      </w:r>
    </w:p>
    <w:p>
      <w:r>
        <w:rPr>
          <w:b/>
        </w:rPr>
        <w:t>Acceptance criteria</w:t>
      </w:r>
    </w:p>
    <w:p>
      <w:pPr>
        <w:pStyle w:val="ListBullet"/>
      </w:pPr>
      <w:r>
        <w:t>The selected strategy and rationale are visible.</w:t>
      </w:r>
    </w:p>
    <w:p>
      <w:pPr>
        <w:pStyle w:val="ListBullet"/>
      </w:pPr>
      <w:r>
        <w:t>Money Moves does not initiate payments.</w:t>
      </w:r>
    </w:p>
    <w:p>
      <w:pPr>
        <w:pStyle w:val="Heading3"/>
      </w:pPr>
      <w:r>
        <w:t>DEB-003 — Debt payment classification</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 credit-card payment is linked to the credit account and the funding account where possible. It reduces debt/cash but does not count as new spending.</w:t>
      </w:r>
    </w:p>
    <w:p>
      <w:r>
        <w:rPr>
          <w:b/>
        </w:rPr>
        <w:t>Acceptance criteria</w:t>
      </w:r>
    </w:p>
    <w:p>
      <w:pPr>
        <w:pStyle w:val="ListBullet"/>
      </w:pPr>
      <w:r>
        <w:t>The purchase remains the spending event.</w:t>
      </w:r>
    </w:p>
    <w:p>
      <w:pPr>
        <w:pStyle w:val="ListBullet"/>
      </w:pPr>
      <w:r>
        <w:t>The payment does not duplicate category spend.</w:t>
      </w:r>
    </w:p>
    <w:p>
      <w:pPr>
        <w:pStyle w:val="Heading2"/>
      </w:pPr>
      <w:r>
        <w:t>10.12 Savings and goals</w:t>
      </w:r>
    </w:p>
    <w:p>
      <w:pPr>
        <w:pStyle w:val="Heading3"/>
      </w:pPr>
      <w:r>
        <w:t>GOL-001 — Emergency savings goal</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Track target amount, target date, selected funding accounts, planned monthly contribution, actual contributions, withdrawals, and progress.</w:t>
      </w:r>
    </w:p>
    <w:p>
      <w:r>
        <w:rPr>
          <w:b/>
        </w:rPr>
        <w:t>Acceptance criteria</w:t>
      </w:r>
    </w:p>
    <w:p>
      <w:pPr>
        <w:pStyle w:val="ListBullet"/>
      </w:pPr>
      <w:r>
        <w:t>A transfer to savings is a movement between accounts, not spending.</w:t>
      </w:r>
    </w:p>
    <w:p>
      <w:pPr>
        <w:pStyle w:val="ListBullet"/>
      </w:pPr>
      <w:r>
        <w:t>Goal progress is based on designated account balances or confirmed contributions according to the selected method.</w:t>
      </w:r>
    </w:p>
    <w:p>
      <w:pPr>
        <w:pStyle w:val="Heading3"/>
      </w:pPr>
      <w:r>
        <w:t>GOL-002 — Travel fund goal</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Track a travel fund separately from trip research. The Overview and Travel screen show available fund, monthly target, and readiness against the selected trip budget.</w:t>
      </w:r>
    </w:p>
    <w:p>
      <w:r>
        <w:rPr>
          <w:b/>
        </w:rPr>
        <w:t>Acceptance criteria</w:t>
      </w:r>
    </w:p>
    <w:p>
      <w:pPr>
        <w:pStyle w:val="ListBullet"/>
      </w:pPr>
      <w:r>
        <w:t>Travel recommendations do not assume the fund is spendable if debt or protected-goal rules say otherwise.</w:t>
      </w:r>
    </w:p>
    <w:p>
      <w:pPr>
        <w:pStyle w:val="ListBullet"/>
      </w:pPr>
      <w:r>
        <w:t>No funds are moved automatically.</w:t>
      </w:r>
    </w:p>
    <w:p>
      <w:pPr>
        <w:pStyle w:val="Heading3"/>
      </w:pPr>
      <w:r>
        <w:t>GOL-003 — Protected goals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 bucket or goal can be marked protected. Safe-to-spend calculations reserve the remaining planned contribution before discretionary availability is shown.</w:t>
      </w:r>
    </w:p>
    <w:p>
      <w:r>
        <w:rPr>
          <w:b/>
        </w:rPr>
        <w:t>Acceptance criteria</w:t>
      </w:r>
    </w:p>
    <w:p>
      <w:pPr>
        <w:pStyle w:val="ListBullet"/>
      </w:pPr>
      <w:r>
        <w:t>The calculation is explained in a drill-down.</w:t>
      </w:r>
    </w:p>
    <w:p>
      <w:pPr>
        <w:pStyle w:val="ListBullet"/>
      </w:pPr>
      <w:r>
        <w:t>The user can see which protected items reduced safe-to-spend.</w:t>
      </w:r>
    </w:p>
    <w:p>
      <w:pPr>
        <w:pStyle w:val="Heading2"/>
      </w:pPr>
      <w:r>
        <w:t>10.13 Travel</w:t>
      </w:r>
    </w:p>
    <w:p>
      <w:pPr>
        <w:pStyle w:val="Heading3"/>
      </w:pPr>
      <w:r>
        <w:t>TRV-001 — Retain V1 travel operating rules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EAF5EE"/>
            <w:vAlign w:val="center"/>
          </w:tcPr>
          <w:p>
            <w:pPr>
              <w:spacing w:after="0"/>
            </w:pPr>
            <w:r>
              <w:rPr>
                <w:b/>
                <w:color w:val="287A4D"/>
                <w:sz w:val="16"/>
              </w:rPr>
              <w:t>IMPLEMENTED IN V1</w:t>
            </w:r>
          </w:p>
        </w:tc>
        <w:tc>
          <w:tcPr>
            <w:tcW w:type="dxa" w:w="1944"/>
            <w:tcMar>
              <w:top w:w="45" w:type="dxa"/>
              <w:start w:w="75" w:type="dxa"/>
              <w:bottom w:w="45" w:type="dxa"/>
              <w:end w:w="75" w:type="dxa"/>
            </w:tcMar>
            <w:shd w:fill="EAF5EE"/>
            <w:vAlign w:val="center"/>
          </w:tcPr>
          <w:p>
            <w:pPr>
              <w:spacing w:after="0"/>
            </w:pPr>
            <w:r>
              <w:rPr>
                <w:b/>
                <w:color w:val="287A4D"/>
                <w:sz w:val="16"/>
              </w:rPr>
              <w:t>V1 → migrate</w:t>
            </w:r>
          </w:p>
        </w:tc>
        <w:tc>
          <w:tcPr>
            <w:tcW w:type="dxa" w:w="5112"/>
            <w:tcMar>
              <w:top w:w="45" w:type="dxa"/>
              <w:start w:w="75" w:type="dxa"/>
              <w:bottom w:w="45" w:type="dxa"/>
              <w:end w:w="75" w:type="dxa"/>
            </w:tcMar>
            <w:shd w:fill="EAF5EE"/>
            <w:vAlign w:val="center"/>
          </w:tcPr>
          <w:p>
            <w:pPr>
              <w:spacing w:after="0"/>
            </w:pPr>
            <w:r>
              <w:rPr>
                <w:b/>
                <w:color w:val="287A4D"/>
                <w:sz w:val="16"/>
              </w:rPr>
              <w:t>Owner: Engineering</w:t>
            </w:r>
          </w:p>
        </w:tc>
      </w:tr>
    </w:tbl>
    <w:p>
      <w:pPr>
        <w:pStyle w:val="MMRequirement"/>
      </w:pPr>
      <w:r>
        <w:t>Carry forward the V1 assumptions: departure from IAD, trip length no greater than five days, ground budget at or below $1,500, at least one protected full Friday or Saturday with no flight on that day, and remote-work-friendly planning.</w:t>
      </w:r>
    </w:p>
    <w:p>
      <w:r>
        <w:rPr>
          <w:b/>
        </w:rPr>
        <w:t>Acceptance criteria</w:t>
      </w:r>
    </w:p>
    <w:p>
      <w:pPr>
        <w:pStyle w:val="ListBullet"/>
      </w:pPr>
      <w:r>
        <w:t>Rules migrate into V2 preferences.</w:t>
      </w:r>
    </w:p>
    <w:p>
      <w:pPr>
        <w:pStyle w:val="ListBullet"/>
      </w:pPr>
      <w:r>
        <w:t>The user can edit them in V2 settings if product policy allows.</w:t>
      </w:r>
    </w:p>
    <w:p>
      <w:pPr>
        <w:pStyle w:val="Heading3"/>
      </w:pPr>
      <w:r>
        <w:t>TRV-002 — Visited places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EAF5EE"/>
            <w:vAlign w:val="center"/>
          </w:tcPr>
          <w:p>
            <w:pPr>
              <w:spacing w:after="0"/>
            </w:pPr>
            <w:r>
              <w:rPr>
                <w:b/>
                <w:color w:val="287A4D"/>
                <w:sz w:val="16"/>
              </w:rPr>
              <w:t>IMPLEMENTED IN V1</w:t>
            </w:r>
          </w:p>
        </w:tc>
        <w:tc>
          <w:tcPr>
            <w:tcW w:type="dxa" w:w="1944"/>
            <w:tcMar>
              <w:top w:w="45" w:type="dxa"/>
              <w:start w:w="75" w:type="dxa"/>
              <w:bottom w:w="45" w:type="dxa"/>
              <w:end w:w="75" w:type="dxa"/>
            </w:tcMar>
            <w:shd w:fill="EAF5EE"/>
            <w:vAlign w:val="center"/>
          </w:tcPr>
          <w:p>
            <w:pPr>
              <w:spacing w:after="0"/>
            </w:pPr>
            <w:r>
              <w:rPr>
                <w:b/>
                <w:color w:val="287A4D"/>
                <w:sz w:val="16"/>
              </w:rPr>
              <w:t>V1 → migrate</w:t>
            </w:r>
          </w:p>
        </w:tc>
        <w:tc>
          <w:tcPr>
            <w:tcW w:type="dxa" w:w="5112"/>
            <w:tcMar>
              <w:top w:w="45" w:type="dxa"/>
              <w:start w:w="75" w:type="dxa"/>
              <w:bottom w:w="45" w:type="dxa"/>
              <w:end w:w="75" w:type="dxa"/>
            </w:tcMar>
            <w:shd w:fill="EAF5EE"/>
            <w:vAlign w:val="center"/>
          </w:tcPr>
          <w:p>
            <w:pPr>
              <w:spacing w:after="0"/>
            </w:pPr>
            <w:r>
              <w:rPr>
                <w:b/>
                <w:color w:val="287A4D"/>
                <w:sz w:val="16"/>
              </w:rPr>
              <w:t>Owner: Engineering</w:t>
            </w:r>
          </w:p>
        </w:tc>
      </w:tr>
    </w:tbl>
    <w:p>
      <w:pPr>
        <w:pStyle w:val="MMRequirement"/>
      </w:pPr>
      <w:r>
        <w:t>Retain manual visited city/state history and use it to avoid repeating destinations unless the user chooses to include revisits.</w:t>
      </w:r>
    </w:p>
    <w:p>
      <w:pPr>
        <w:pStyle w:val="Heading3"/>
      </w:pPr>
      <w:r>
        <w:t>TRV-003 — Ranked destination experience</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Show three ranked destination candidates with rationale, estimated ground cost, access, remote-work suitability, and fit against travel-fund readiness.</w:t>
      </w:r>
    </w:p>
    <w:p>
      <w:r>
        <w:rPr>
          <w:b/>
        </w:rPr>
        <w:t>Acceptance criteria</w:t>
      </w:r>
    </w:p>
    <w:p>
      <w:pPr>
        <w:pStyle w:val="ListBullet"/>
      </w:pPr>
      <w:r>
        <w:t>Any online research remains separated from locally stored financial data.</w:t>
      </w:r>
    </w:p>
    <w:p>
      <w:pPr>
        <w:pStyle w:val="ListBullet"/>
      </w:pPr>
      <w:r>
        <w:t>Static estimates are labeled with an as-of date and source type.</w:t>
      </w:r>
    </w:p>
    <w:p>
      <w:pPr>
        <w:pStyle w:val="Heading3"/>
      </w:pPr>
      <w:r>
        <w:t>TRV-004 — Trip plan and budget</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Allow a proposed destination to become a trip plan with dates, planned categories, expected total, funded amount, and status. Trip planning is a one-off budget, not a recurring monthly bucket.</w:t>
      </w:r>
    </w:p>
    <w:p>
      <w:pPr>
        <w:pStyle w:val="Heading2"/>
      </w:pPr>
      <w:r>
        <w:t>10.14 Reports</w:t>
      </w:r>
    </w:p>
    <w:p>
      <w:pPr>
        <w:pStyle w:val="Heading3"/>
      </w:pPr>
      <w:r>
        <w:t>RPT-001 — Gross and net spending views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Provide both gross purchase activity and personal-spending views. The user can switch between expected responsibility and cash-realized net cost.</w:t>
      </w:r>
    </w:p>
    <w:p>
      <w:r>
        <w:rPr>
          <w:b/>
        </w:rPr>
        <w:t>Acceptance criteria</w:t>
      </w:r>
    </w:p>
    <w:p>
      <w:pPr>
        <w:pStyle w:val="ListBullet"/>
      </w:pPr>
      <w:r>
        <w:t>Definitions are visible and consistent across Overview, buckets, and exports.</w:t>
      </w:r>
    </w:p>
    <w:p>
      <w:pPr>
        <w:pStyle w:val="ListBullet"/>
      </w:pPr>
      <w:r>
        <w:t>Refunds and reimbursements are not combined into earned income.</w:t>
      </w:r>
    </w:p>
    <w:p>
      <w:pPr>
        <w:pStyle w:val="Heading3"/>
      </w:pPr>
      <w:r>
        <w:t>RPT-002 — Report dimensions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Support period, bucket, sub-bucket, account, institution, merchant, state/country, movement type, review state, reimbursement state, and source as dimensions where applicable.</w:t>
      </w:r>
    </w:p>
    <w:p>
      <w:r>
        <w:rPr>
          <w:b/>
        </w:rPr>
        <w:t>Acceptance criteria</w:t>
      </w:r>
    </w:p>
    <w:p>
      <w:pPr>
        <w:pStyle w:val="ListBullet"/>
      </w:pPr>
      <w:r>
        <w:t>Split transactions contribute only their allocation amount to a bucket report.</w:t>
      </w:r>
    </w:p>
    <w:p>
      <w:pPr>
        <w:pStyle w:val="ListBullet"/>
      </w:pPr>
      <w:r>
        <w:t>Account reports show the full cash movement amount.</w:t>
      </w:r>
    </w:p>
    <w:p>
      <w:pPr>
        <w:pStyle w:val="Heading3"/>
      </w:pPr>
      <w:r>
        <w:t>RPT-003 — Monthly comparison</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Compare target, expected personal spend, realized net spend, and gross cash outflow across months while distinguishing legacy V1 aggregate snapshots from V2 transaction-derived history.</w:t>
      </w:r>
    </w:p>
    <w:p>
      <w:r>
        <w:rPr>
          <w:b/>
        </w:rPr>
        <w:t>Acceptance criteria</w:t>
      </w:r>
    </w:p>
    <w:p>
      <w:pPr>
        <w:pStyle w:val="ListBullet"/>
      </w:pPr>
      <w:r>
        <w:t>Legacy aggregate data is labeled and never presented as transaction-complete history.</w:t>
      </w:r>
    </w:p>
    <w:p>
      <w:pPr>
        <w:pStyle w:val="Heading2"/>
      </w:pPr>
      <w:r>
        <w:t>10.15 Settings and Vault</w:t>
      </w:r>
    </w:p>
    <w:p>
      <w:pPr>
        <w:pStyle w:val="Heading3"/>
      </w:pPr>
      <w:r>
        <w:t>SET-001 — Vault controls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EAF5EE"/>
            <w:vAlign w:val="center"/>
          </w:tcPr>
          <w:p>
            <w:pPr>
              <w:spacing w:after="0"/>
            </w:pPr>
            <w:r>
              <w:rPr>
                <w:b/>
                <w:color w:val="287A4D"/>
                <w:sz w:val="16"/>
              </w:rPr>
              <w:t>IMPLEMENTED IN V1</w:t>
            </w:r>
          </w:p>
        </w:tc>
        <w:tc>
          <w:tcPr>
            <w:tcW w:type="dxa" w:w="1944"/>
            <w:tcMar>
              <w:top w:w="45" w:type="dxa"/>
              <w:start w:w="75" w:type="dxa"/>
              <w:bottom w:w="45" w:type="dxa"/>
              <w:end w:w="75" w:type="dxa"/>
            </w:tcMar>
            <w:shd w:fill="EAF5EE"/>
            <w:vAlign w:val="center"/>
          </w:tcPr>
          <w:p>
            <w:pPr>
              <w:spacing w:after="0"/>
            </w:pPr>
            <w:r>
              <w:rPr>
                <w:b/>
                <w:color w:val="287A4D"/>
                <w:sz w:val="16"/>
              </w:rPr>
              <w:t>V1 → migrate</w:t>
            </w:r>
          </w:p>
        </w:tc>
        <w:tc>
          <w:tcPr>
            <w:tcW w:type="dxa" w:w="5112"/>
            <w:tcMar>
              <w:top w:w="45" w:type="dxa"/>
              <w:start w:w="75" w:type="dxa"/>
              <w:bottom w:w="45" w:type="dxa"/>
              <w:end w:w="75" w:type="dxa"/>
            </w:tcMar>
            <w:shd w:fill="EAF5EE"/>
            <w:vAlign w:val="center"/>
          </w:tcPr>
          <w:p>
            <w:pPr>
              <w:spacing w:after="0"/>
            </w:pPr>
            <w:r>
              <w:rPr>
                <w:b/>
                <w:color w:val="287A4D"/>
                <w:sz w:val="16"/>
              </w:rPr>
              <w:t>Owner: Engineering</w:t>
            </w:r>
          </w:p>
        </w:tc>
      </w:tr>
    </w:tbl>
    <w:p>
      <w:pPr>
        <w:pStyle w:val="MMRequirement"/>
      </w:pPr>
      <w:r>
        <w:t>Retain create, unlock, lock, passphrase change, encrypted backup export, verified restore, reset, and inactivity lock. Separate destructive reset from ordinary data maintenance.</w:t>
      </w:r>
    </w:p>
    <w:p>
      <w:pPr>
        <w:pStyle w:val="Heading3"/>
      </w:pPr>
      <w:r>
        <w:t>SET-002 — Versioned backup manifest</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V2 backups include schema version, app version, creation timestamp, encryption parameters, and integrity metadata before encryption.</w:t>
      </w:r>
    </w:p>
    <w:p>
      <w:r>
        <w:rPr>
          <w:b/>
        </w:rPr>
        <w:t>Acceptance criteria</w:t>
      </w:r>
    </w:p>
    <w:p>
      <w:pPr>
        <w:pStyle w:val="ListBullet"/>
      </w:pPr>
      <w:r>
        <w:t>Restore validates format before replacing the active store.</w:t>
      </w:r>
    </w:p>
    <w:p>
      <w:pPr>
        <w:pStyle w:val="ListBullet"/>
      </w:pPr>
      <w:r>
        <w:t>A failed restore leaves the existing vault untouched.</w:t>
      </w:r>
    </w:p>
    <w:p>
      <w:pPr>
        <w:pStyle w:val="Heading3"/>
      </w:pPr>
      <w:r>
        <w:t>SET-003 — Account and import settings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Provide friendly-name editing, account activation, CSV column mapping presets, amount-sign convention, default currency, and location privacy preferences.</w:t>
      </w:r>
    </w:p>
    <w:p>
      <w:r>
        <w:rPr>
          <w:b/>
        </w:rPr>
        <w:t>Acceptance criteria</w:t>
      </w:r>
    </w:p>
    <w:p>
      <w:pPr>
        <w:pStyle w:val="ListBullet"/>
      </w:pPr>
      <w:r>
        <w:t>Import settings can be saved per institution or file pattern.</w:t>
      </w:r>
    </w:p>
    <w:p>
      <w:pPr>
        <w:pStyle w:val="ListBullet"/>
      </w:pPr>
      <w:r>
        <w:t>No setting silently reinterprets previously reviewed transactions.</w:t>
      </w:r>
    </w:p>
    <w:p>
      <w:pPr>
        <w:pStyle w:val="Heading3"/>
      </w:pPr>
      <w:r>
        <w:t>SET-004 — Diagnostics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Show app version, schema version, last successful save, last backup, last import/sync, unresolved migration issues, and data counts without exposing secrets.</w:t>
      </w:r>
    </w:p>
    <w:p>
      <w:r>
        <w:rPr>
          <w:b/>
        </w:rPr>
        <w:t>Acceptance criteria</w:t>
      </w:r>
    </w:p>
    <w:p>
      <w:pPr>
        <w:pStyle w:val="ListBullet"/>
      </w:pPr>
      <w:r>
        <w:t>Diagnostic export contains no passphrase, encryption key, or Plaid access token.</w:t>
      </w:r>
    </w:p>
    <w:p>
      <w:pPr>
        <w:pStyle w:val="Heading2"/>
      </w:pPr>
      <w:r>
        <w:t>10.16 CSV import and export</w:t>
      </w:r>
    </w:p>
    <w:p>
      <w:pPr>
        <w:pStyle w:val="Heading3"/>
      </w:pPr>
      <w:r>
        <w:t>IMP-001 — CSV import workflow</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Import transactions from common bank/card CSV files. The user maps date, amount, description/merchant, account, transaction ID, state, country, pending status, and optional provider category.</w:t>
      </w:r>
    </w:p>
    <w:p>
      <w:r>
        <w:rPr>
          <w:b/>
        </w:rPr>
        <w:t>Acceptance criteria</w:t>
      </w:r>
    </w:p>
    <w:p>
      <w:pPr>
        <w:pStyle w:val="ListBullet"/>
      </w:pPr>
      <w:r>
        <w:t>A preview shows normalized rows before commit.</w:t>
      </w:r>
    </w:p>
    <w:p>
      <w:pPr>
        <w:pStyle w:val="ListBullet"/>
      </w:pPr>
      <w:r>
        <w:t>Amount-sign interpretation is explicit.</w:t>
      </w:r>
    </w:p>
    <w:p>
      <w:pPr>
        <w:pStyle w:val="ListBullet"/>
      </w:pPr>
      <w:r>
        <w:t>Rows with errors are isolated rather than silently skipped.</w:t>
      </w:r>
    </w:p>
    <w:p>
      <w:pPr>
        <w:pStyle w:val="Heading3"/>
      </w:pPr>
      <w:r>
        <w:t>IMP-002 — Duplicate detection</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Use provider transaction ID when present; otherwise use a documented fingerprint based on date, amount, account, normalized merchant, and optional reference fields.</w:t>
      </w:r>
    </w:p>
    <w:p>
      <w:r>
        <w:rPr>
          <w:b/>
        </w:rPr>
        <w:t>Acceptance criteria</w:t>
      </w:r>
    </w:p>
    <w:p>
      <w:pPr>
        <w:pStyle w:val="ListBullet"/>
      </w:pPr>
      <w:r>
        <w:t>Potential duplicates are shown for confirmation.</w:t>
      </w:r>
    </w:p>
    <w:p>
      <w:pPr>
        <w:pStyle w:val="ListBullet"/>
      </w:pPr>
      <w:r>
        <w:t>Previously reviewed data is not replaced without a reconciliation decision.</w:t>
      </w:r>
    </w:p>
    <w:p>
      <w:pPr>
        <w:pStyle w:val="Heading3"/>
      </w:pPr>
      <w:r>
        <w:t>IMP-003 — Export</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Support export of normalized transactions, allocations, claims, accounts, buckets, and rules in human-readable CSV/JSON formats in addition to the encrypted full backup.</w:t>
      </w:r>
    </w:p>
    <w:p>
      <w:r>
        <w:rPr>
          <w:b/>
        </w:rPr>
        <w:t>Acceptance criteria</w:t>
      </w:r>
    </w:p>
    <w:p>
      <w:pPr>
        <w:pStyle w:val="ListBullet"/>
      </w:pPr>
      <w:r>
        <w:t>Plain exports require an explicit warning because they are not encrypted.</w:t>
      </w:r>
    </w:p>
    <w:p>
      <w:pPr>
        <w:pStyle w:val="ListBullet"/>
      </w:pPr>
      <w:r>
        <w:t>Exported records include stable IDs for later reconciliation.</w:t>
      </w:r>
    </w:p>
    <w:p>
      <w:pPr>
        <w:pStyle w:val="Heading2"/>
      </w:pPr>
      <w:r>
        <w:t>10.17 Search, accessibility, and error behavior</w:t>
      </w:r>
    </w:p>
    <w:p>
      <w:pPr>
        <w:pStyle w:val="Heading3"/>
      </w:pPr>
      <w:r>
        <w:t>UX-001 — Global search</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Search merchant, raw description, account, payer, note, bucket, state, country, and amount. Search must not send financial text to a remote service.</w:t>
      </w:r>
    </w:p>
    <w:p>
      <w:r>
        <w:rPr>
          <w:b/>
        </w:rPr>
        <w:t>Acceptance criteria</w:t>
      </w:r>
    </w:p>
    <w:p>
      <w:pPr>
        <w:pStyle w:val="ListBullet"/>
      </w:pPr>
      <w:r>
        <w:t>Results indicate the matching field.</w:t>
      </w:r>
    </w:p>
    <w:p>
      <w:pPr>
        <w:pStyle w:val="ListBullet"/>
      </w:pPr>
      <w:r>
        <w:t>Search is available from Transactions and optionally from global navigation.</w:t>
      </w:r>
    </w:p>
    <w:p>
      <w:pPr>
        <w:pStyle w:val="Heading3"/>
      </w:pPr>
      <w:r>
        <w:t>UX-002 — Accessible interaction</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All core actions must be keyboard accessible, have visible focus, readable labels, sufficient contrast, and screen-reader-friendly structure.</w:t>
      </w:r>
    </w:p>
    <w:p>
      <w:r>
        <w:rPr>
          <w:b/>
        </w:rPr>
        <w:t>Acceptance criteria</w:t>
      </w:r>
    </w:p>
    <w:p>
      <w:pPr>
        <w:pStyle w:val="ListBullet"/>
      </w:pPr>
      <w:r>
        <w:t>Drag-and-drop bucket reordering has Move Up and Move Down alternatives.</w:t>
      </w:r>
    </w:p>
    <w:p>
      <w:pPr>
        <w:pStyle w:val="ListBullet"/>
      </w:pPr>
      <w:r>
        <w:t>Charts and progress indicators have textual equivalents.</w:t>
      </w:r>
    </w:p>
    <w:p>
      <w:pPr>
        <w:pStyle w:val="Heading3"/>
      </w:pPr>
      <w:r>
        <w:t>UX-003 — Empty, loading, and error states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Each product area must define helpful empty states, local processing states, recoverable errors, and next actions. Missing data must not appear as a trustworthy zero.</w:t>
      </w:r>
    </w:p>
    <w:p>
      <w:r>
        <w:rPr>
          <w:b/>
        </w:rPr>
        <w:t>Acceptance criteria</w:t>
      </w:r>
    </w:p>
    <w:p>
      <w:pPr>
        <w:pStyle w:val="ListBullet"/>
      </w:pPr>
      <w:r>
        <w:t>An empty month explains whether no data exists, no imports were made, or filters removed all results.</w:t>
      </w:r>
    </w:p>
    <w:p>
      <w:pPr>
        <w:pStyle w:val="ListBullet"/>
      </w:pPr>
      <w:r>
        <w:t>Import and migration errors identify affected rows or fields without exposing internal stack traces.</w:t>
      </w:r>
    </w:p>
    <w:p>
      <w:pPr>
        <w:pStyle w:val="Heading2"/>
      </w:pPr>
      <w:r>
        <w:t>10.18 Supervised agent behavior</w:t>
      </w:r>
    </w:p>
    <w:p>
      <w:pPr>
        <w:pStyle w:val="Heading3"/>
      </w:pPr>
      <w:r>
        <w:t>AGT-001 — Suggestion-only automation</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Money Moves may suggest bucket assignments, reimbursement matches, transfer pairs, duplicate candidates, and cleanup actions. The user must approve changes that affect reporting or financial meaning.</w:t>
      </w:r>
    </w:p>
    <w:p>
      <w:r>
        <w:rPr>
          <w:b/>
        </w:rPr>
        <w:t>Acceptance criteria</w:t>
      </w:r>
    </w:p>
    <w:p>
      <w:pPr>
        <w:pStyle w:val="ListBullet"/>
      </w:pPr>
      <w:r>
        <w:t>Suggestions are labeled with rationale and confidence.</w:t>
      </w:r>
    </w:p>
    <w:p>
      <w:pPr>
        <w:pStyle w:val="ListBullet"/>
      </w:pPr>
      <w:r>
        <w:t>Bulk acceptance shows a preview and supports undo.</w:t>
      </w:r>
    </w:p>
    <w:p>
      <w:pPr>
        <w:pStyle w:val="ListBullet"/>
      </w:pPr>
      <w:r>
        <w:t>No autonomous money movement or bank action exists.</w:t>
      </w:r>
    </w:p>
    <w:p>
      <w:pPr>
        <w:pStyle w:val="Heading3"/>
      </w:pPr>
      <w:r>
        <w:t>AGT-002 — User corrections take precedence</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A user correction becomes the authoritative local interpretation. Future synchronization may update source facts but cannot overwrite bucket, ownership, claim, or note fields without an explicit conflict-resolution flow.</w:t>
      </w:r>
    </w:p>
    <w:p>
      <w:r>
        <w:rPr>
          <w:b/>
        </w:rPr>
        <w:t>Acceptance criteria</w:t>
      </w:r>
    </w:p>
    <w:p>
      <w:pPr>
        <w:pStyle w:val="ListBullet"/>
      </w:pPr>
      <w:r>
        <w:t>User-owned fields are stored separately from provider-owned fields.</w:t>
      </w:r>
    </w:p>
    <w:p>
      <w:pPr>
        <w:pStyle w:val="ListBullet"/>
      </w:pPr>
      <w:r>
        <w:t>Conflict resolution preserves both old and new source values in audit history.</w:t>
      </w:r>
    </w:p>
    <w:p>
      <w:pPr>
        <w:pStyle w:val="Heading1"/>
      </w:pPr>
      <w:r>
        <w:t>11. Canonical Financial Model and Calculations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V2A</w:t>
            </w:r>
          </w:p>
        </w:tc>
        <w:tc>
          <w:tcPr>
            <w:tcW w:type="dxa" w:w="5112"/>
            <w:tcMar>
              <w:top w:w="45" w:type="dxa"/>
              <w:start w:w="75" w:type="dxa"/>
              <w:bottom w:w="45" w:type="dxa"/>
              <w:end w:w="75" w:type="dxa"/>
            </w:tcMar>
            <w:shd w:fill="FFF0E2"/>
            <w:vAlign w:val="center"/>
          </w:tcPr>
          <w:p>
            <w:pPr>
              <w:spacing w:after="0"/>
            </w:pPr>
            <w:r>
              <w:rPr>
                <w:b/>
                <w:color w:val="B86119"/>
                <w:sz w:val="16"/>
              </w:rPr>
              <w:t>Owner: Engineering + Product</w:t>
            </w:r>
          </w:p>
        </w:tc>
      </w:tr>
    </w:tbl>
    <w:p>
      <w:pPr>
        <w:pStyle w:val="Heading2"/>
      </w:pPr>
      <w:r>
        <w:t>11.1 Source facts versus user meaning</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4968"/>
            <w:shd w:fill="10261C"/>
            <w:tcMar>
              <w:top w:w="70" w:type="dxa"/>
              <w:start w:w="70" w:type="dxa"/>
              <w:bottom w:w="70" w:type="dxa"/>
              <w:end w:w="70" w:type="dxa"/>
            </w:tcMar>
            <w:vAlign w:val="center"/>
          </w:tcPr>
          <w:p>
            <w:pPr>
              <w:spacing w:after="0"/>
            </w:pPr>
            <w:r>
              <w:rPr>
                <w:b/>
                <w:color w:val="FFFFFF"/>
                <w:sz w:val="16"/>
              </w:rPr>
              <w:t>Provider/import facts</w:t>
            </w:r>
          </w:p>
        </w:tc>
        <w:tc>
          <w:tcPr>
            <w:tcW w:type="dxa" w:w="5112"/>
            <w:shd w:fill="10261C"/>
            <w:tcMar>
              <w:top w:w="70" w:type="dxa"/>
              <w:start w:w="70" w:type="dxa"/>
              <w:bottom w:w="70" w:type="dxa"/>
              <w:end w:w="70" w:type="dxa"/>
            </w:tcMar>
            <w:vAlign w:val="center"/>
          </w:tcPr>
          <w:p>
            <w:pPr>
              <w:spacing w:after="0"/>
            </w:pPr>
            <w:r>
              <w:rPr>
                <w:b/>
                <w:color w:val="FFFFFF"/>
                <w:sz w:val="16"/>
              </w:rPr>
              <w:t>Money Moves meaning</w:t>
            </w:r>
          </w:p>
        </w:tc>
      </w:tr>
      <w:tr>
        <w:trPr>
          <w:cantSplit/>
        </w:trPr>
        <w:tc>
          <w:tcPr>
            <w:tcW w:type="dxa" w:w="4968"/>
            <w:tcMar>
              <w:top w:w="58" w:type="dxa"/>
              <w:start w:w="65" w:type="dxa"/>
              <w:bottom w:w="58" w:type="dxa"/>
              <w:end w:w="65" w:type="dxa"/>
            </w:tcMar>
            <w:shd w:fill="F8FAF9"/>
            <w:vAlign w:val="center"/>
          </w:tcPr>
          <w:p>
            <w:pPr>
              <w:pStyle w:val="MMTableText"/>
              <w:spacing w:after="0"/>
            </w:pPr>
            <w:r>
              <w:rPr>
                <w:sz w:val="16"/>
              </w:rPr>
              <w:t>Transaction ID, raw name, amount, date, pending status, account reference, location fields, provider category</w:t>
            </w:r>
          </w:p>
        </w:tc>
        <w:tc>
          <w:tcPr>
            <w:tcW w:type="dxa" w:w="5112"/>
            <w:tcMar>
              <w:top w:w="58" w:type="dxa"/>
              <w:start w:w="65" w:type="dxa"/>
              <w:bottom w:w="58" w:type="dxa"/>
              <w:end w:w="65" w:type="dxa"/>
            </w:tcMar>
            <w:shd w:fill="F8FAF9"/>
            <w:vAlign w:val="center"/>
          </w:tcPr>
          <w:p>
            <w:pPr>
              <w:pStyle w:val="MMTableText"/>
              <w:spacing w:after="0"/>
            </w:pPr>
            <w:r>
              <w:rPr>
                <w:sz w:val="16"/>
              </w:rPr>
              <w:t>Movement type, reviewed status, bucket/sub-bucket allocations, ownership, reimbursement claim, refund link, notes, merchant rule, location override.</w:t>
            </w:r>
          </w:p>
        </w:tc>
      </w:tr>
      <w:tr>
        <w:trPr>
          <w:cantSplit/>
        </w:trPr>
        <w:tc>
          <w:tcPr>
            <w:tcW w:type="dxa" w:w="4968"/>
            <w:tcMar>
              <w:top w:w="58" w:type="dxa"/>
              <w:start w:w="65" w:type="dxa"/>
              <w:bottom w:w="58" w:type="dxa"/>
              <w:end w:w="65" w:type="dxa"/>
            </w:tcMar>
            <w:vAlign w:val="center"/>
          </w:tcPr>
          <w:p>
            <w:pPr>
              <w:pStyle w:val="MMTableText"/>
              <w:spacing w:after="0"/>
            </w:pPr>
            <w:r>
              <w:rPr>
                <w:sz w:val="16"/>
              </w:rPr>
              <w:t>May change during pending-to-posted reconciliation</w:t>
            </w:r>
          </w:p>
        </w:tc>
        <w:tc>
          <w:tcPr>
            <w:tcW w:type="dxa" w:w="5112"/>
            <w:tcMar>
              <w:top w:w="58" w:type="dxa"/>
              <w:start w:w="65" w:type="dxa"/>
              <w:bottom w:w="58" w:type="dxa"/>
              <w:end w:w="65" w:type="dxa"/>
            </w:tcMar>
            <w:vAlign w:val="center"/>
          </w:tcPr>
          <w:p>
            <w:pPr>
              <w:pStyle w:val="MMTableText"/>
              <w:spacing w:after="0"/>
            </w:pPr>
            <w:r>
              <w:rPr>
                <w:sz w:val="16"/>
              </w:rPr>
              <w:t>Must remain stable unless the user edits or approves a conflict.</w:t>
            </w:r>
          </w:p>
        </w:tc>
      </w:tr>
      <w:tr>
        <w:trPr>
          <w:cantSplit/>
        </w:trPr>
        <w:tc>
          <w:tcPr>
            <w:tcW w:type="dxa" w:w="4968"/>
            <w:tcMar>
              <w:top w:w="58" w:type="dxa"/>
              <w:start w:w="65" w:type="dxa"/>
              <w:bottom w:w="58" w:type="dxa"/>
              <w:end w:w="65" w:type="dxa"/>
            </w:tcMar>
            <w:shd w:fill="F8FAF9"/>
            <w:vAlign w:val="center"/>
          </w:tcPr>
          <w:p>
            <w:pPr>
              <w:pStyle w:val="MMTableText"/>
              <w:spacing w:after="0"/>
            </w:pPr>
            <w:r>
              <w:rPr>
                <w:sz w:val="16"/>
              </w:rPr>
              <w:t>Useful evidence</w:t>
            </w:r>
          </w:p>
        </w:tc>
        <w:tc>
          <w:tcPr>
            <w:tcW w:type="dxa" w:w="5112"/>
            <w:tcMar>
              <w:top w:w="58" w:type="dxa"/>
              <w:start w:w="65" w:type="dxa"/>
              <w:bottom w:w="58" w:type="dxa"/>
              <w:end w:w="65" w:type="dxa"/>
            </w:tcMar>
            <w:shd w:fill="F8FAF9"/>
            <w:vAlign w:val="center"/>
          </w:tcPr>
          <w:p>
            <w:pPr>
              <w:pStyle w:val="MMTableText"/>
              <w:spacing w:after="0"/>
            </w:pPr>
            <w:r>
              <w:rPr>
                <w:sz w:val="16"/>
              </w:rPr>
              <w:t>Authoritative for the product’s reports and decisions.</w:t>
            </w:r>
          </w:p>
        </w:tc>
      </w:tr>
    </w:tbl>
    <w:p>
      <w:pPr>
        <w:spacing w:after="0"/>
      </w:pPr>
    </w:p>
    <w:p>
      <w:pPr>
        <w:pStyle w:val="Heading2"/>
      </w:pPr>
      <w:r>
        <w:t>11.2 Signed cash movement</w:t>
      </w:r>
    </w:p>
    <w:p>
      <w:r>
        <w:t>Internally, the system should use a consistent signed convention. The recommended convention is positive for money entering an owned account and negative for money leaving an owned account. Imported provider signs are normalized at ingestion and retained as raw values for audit. UI formatting may display expenses as positive magnitudes with a debit indicator, but calculations must use one internal convention.</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2ECF7"/>
            <w:vAlign w:val="center"/>
          </w:tcPr>
          <w:p>
            <w:pPr>
              <w:spacing w:after="0"/>
            </w:pPr>
            <w:r>
              <w:rPr>
                <w:b/>
                <w:color w:val="6B4C8A"/>
                <w:sz w:val="16"/>
              </w:rPr>
              <w:t>DECISION REQUIRED</w:t>
            </w:r>
          </w:p>
        </w:tc>
        <w:tc>
          <w:tcPr>
            <w:tcW w:type="dxa" w:w="1944"/>
            <w:tcMar>
              <w:top w:w="45" w:type="dxa"/>
              <w:start w:w="75" w:type="dxa"/>
              <w:bottom w:w="45" w:type="dxa"/>
              <w:end w:w="75" w:type="dxa"/>
            </w:tcMar>
            <w:shd w:fill="F2ECF7"/>
            <w:vAlign w:val="center"/>
          </w:tcPr>
          <w:p>
            <w:pPr>
              <w:spacing w:after="0"/>
            </w:pPr>
            <w:r>
              <w:rPr>
                <w:b/>
                <w:color w:val="6B4C8A"/>
                <w:sz w:val="16"/>
              </w:rPr>
              <w:t>V2</w:t>
            </w:r>
          </w:p>
        </w:tc>
        <w:tc>
          <w:tcPr>
            <w:tcW w:type="dxa" w:w="5112"/>
            <w:tcMar>
              <w:top w:w="45" w:type="dxa"/>
              <w:start w:w="75" w:type="dxa"/>
              <w:bottom w:w="45" w:type="dxa"/>
              <w:end w:w="75" w:type="dxa"/>
            </w:tcMar>
            <w:shd w:fill="F2ECF7"/>
            <w:vAlign w:val="center"/>
          </w:tcPr>
          <w:p>
            <w:pPr>
              <w:spacing w:after="0"/>
            </w:pPr>
            <w:r>
              <w:rPr>
                <w:b/>
                <w:color w:val="6B4C8A"/>
                <w:sz w:val="16"/>
              </w:rPr>
              <w:t>Owner: Engineering | Approve signed-amount convention before implementation</w:t>
            </w:r>
          </w:p>
        </w:tc>
      </w:tr>
    </w:tbl>
    <w:p>
      <w:pPr>
        <w:pStyle w:val="Heading2"/>
      </w:pPr>
      <w:r>
        <w:t>11.3 Core movement types</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2541"/>
        <w:gridCol w:w="2541"/>
        <w:gridCol w:w="2541"/>
        <w:gridCol w:w="2541"/>
      </w:tblGrid>
      <w:tr>
        <w:trPr>
          <w:tblHeader w:val="true"/>
          <w:cantSplit/>
        </w:trPr>
        <w:tc>
          <w:tcPr>
            <w:tcW w:type="dxa" w:w="2232"/>
            <w:shd w:fill="10261C"/>
            <w:tcMar>
              <w:top w:w="70" w:type="dxa"/>
              <w:start w:w="70" w:type="dxa"/>
              <w:bottom w:w="70" w:type="dxa"/>
              <w:end w:w="70" w:type="dxa"/>
            </w:tcMar>
            <w:vAlign w:val="center"/>
          </w:tcPr>
          <w:p>
            <w:pPr>
              <w:spacing w:after="0"/>
            </w:pPr>
            <w:r>
              <w:rPr>
                <w:b/>
                <w:color w:val="FFFFFF"/>
                <w:sz w:val="15"/>
              </w:rPr>
              <w:t>Movement type</w:t>
            </w:r>
          </w:p>
        </w:tc>
        <w:tc>
          <w:tcPr>
            <w:tcW w:type="dxa" w:w="2592"/>
            <w:shd w:fill="10261C"/>
            <w:tcMar>
              <w:top w:w="70" w:type="dxa"/>
              <w:start w:w="70" w:type="dxa"/>
              <w:bottom w:w="70" w:type="dxa"/>
              <w:end w:w="70" w:type="dxa"/>
            </w:tcMar>
            <w:vAlign w:val="center"/>
          </w:tcPr>
          <w:p>
            <w:pPr>
              <w:spacing w:after="0"/>
            </w:pPr>
            <w:r>
              <w:rPr>
                <w:b/>
                <w:color w:val="FFFFFF"/>
                <w:sz w:val="15"/>
              </w:rPr>
              <w:t>Cash effect</w:t>
            </w:r>
          </w:p>
        </w:tc>
        <w:tc>
          <w:tcPr>
            <w:tcW w:type="dxa" w:w="3240"/>
            <w:shd w:fill="10261C"/>
            <w:tcMar>
              <w:top w:w="70" w:type="dxa"/>
              <w:start w:w="70" w:type="dxa"/>
              <w:bottom w:w="70" w:type="dxa"/>
              <w:end w:w="70" w:type="dxa"/>
            </w:tcMar>
            <w:vAlign w:val="center"/>
          </w:tcPr>
          <w:p>
            <w:pPr>
              <w:spacing w:after="0"/>
            </w:pPr>
            <w:r>
              <w:rPr>
                <w:b/>
                <w:color w:val="FFFFFF"/>
                <w:sz w:val="15"/>
              </w:rPr>
              <w:t>Spending effect</w:t>
            </w:r>
          </w:p>
        </w:tc>
        <w:tc>
          <w:tcPr>
            <w:tcW w:type="dxa" w:w="2016"/>
            <w:shd w:fill="10261C"/>
            <w:tcMar>
              <w:top w:w="70" w:type="dxa"/>
              <w:start w:w="70" w:type="dxa"/>
              <w:bottom w:w="70" w:type="dxa"/>
              <w:end w:w="70" w:type="dxa"/>
            </w:tcMar>
            <w:vAlign w:val="center"/>
          </w:tcPr>
          <w:p>
            <w:pPr>
              <w:spacing w:after="0"/>
            </w:pPr>
            <w:r>
              <w:rPr>
                <w:b/>
                <w:color w:val="FFFFFF"/>
                <w:sz w:val="15"/>
              </w:rPr>
              <w:t>Income effect</w:t>
            </w:r>
          </w:p>
        </w:tc>
      </w:tr>
      <w:tr>
        <w:trPr>
          <w:cantSplit/>
        </w:trPr>
        <w:tc>
          <w:tcPr>
            <w:tcW w:type="dxa" w:w="2232"/>
            <w:tcMar>
              <w:top w:w="58" w:type="dxa"/>
              <w:start w:w="65" w:type="dxa"/>
              <w:bottom w:w="58" w:type="dxa"/>
              <w:end w:w="65" w:type="dxa"/>
            </w:tcMar>
            <w:shd w:fill="F8FAF9"/>
            <w:vAlign w:val="center"/>
          </w:tcPr>
          <w:p>
            <w:pPr>
              <w:pStyle w:val="MMTableText"/>
              <w:spacing w:after="0"/>
            </w:pPr>
            <w:r>
              <w:rPr>
                <w:sz w:val="15"/>
              </w:rPr>
              <w:t>Expense / purchase</w:t>
            </w:r>
          </w:p>
        </w:tc>
        <w:tc>
          <w:tcPr>
            <w:tcW w:type="dxa" w:w="2592"/>
            <w:tcMar>
              <w:top w:w="58" w:type="dxa"/>
              <w:start w:w="65" w:type="dxa"/>
              <w:bottom w:w="58" w:type="dxa"/>
              <w:end w:w="65" w:type="dxa"/>
            </w:tcMar>
            <w:shd w:fill="F8FAF9"/>
            <w:vAlign w:val="center"/>
          </w:tcPr>
          <w:p>
            <w:pPr>
              <w:pStyle w:val="MMTableText"/>
              <w:spacing w:after="0"/>
            </w:pPr>
            <w:r>
              <w:rPr>
                <w:sz w:val="15"/>
              </w:rPr>
              <w:t>Outflow</w:t>
            </w:r>
          </w:p>
        </w:tc>
        <w:tc>
          <w:tcPr>
            <w:tcW w:type="dxa" w:w="3240"/>
            <w:tcMar>
              <w:top w:w="58" w:type="dxa"/>
              <w:start w:w="65" w:type="dxa"/>
              <w:bottom w:w="58" w:type="dxa"/>
              <w:end w:w="65" w:type="dxa"/>
            </w:tcMar>
            <w:shd w:fill="F8FAF9"/>
            <w:vAlign w:val="center"/>
          </w:tcPr>
          <w:p>
            <w:pPr>
              <w:pStyle w:val="MMTableText"/>
              <w:spacing w:after="0"/>
            </w:pPr>
            <w:r>
              <w:rPr>
                <w:sz w:val="15"/>
              </w:rPr>
              <w:t>Yes, via allocations</w:t>
            </w:r>
          </w:p>
        </w:tc>
        <w:tc>
          <w:tcPr>
            <w:tcW w:type="dxa" w:w="2016"/>
            <w:tcMar>
              <w:top w:w="58" w:type="dxa"/>
              <w:start w:w="65" w:type="dxa"/>
              <w:bottom w:w="58" w:type="dxa"/>
              <w:end w:w="65" w:type="dxa"/>
            </w:tcMar>
            <w:shd w:fill="F8FAF9"/>
            <w:vAlign w:val="center"/>
          </w:tcPr>
          <w:p>
            <w:pPr>
              <w:pStyle w:val="MMTableText"/>
              <w:spacing w:after="0"/>
            </w:pPr>
            <w:r>
              <w:rPr>
                <w:sz w:val="15"/>
              </w:rPr>
              <w:t>No</w:t>
            </w:r>
          </w:p>
        </w:tc>
      </w:tr>
      <w:tr>
        <w:trPr>
          <w:cantSplit/>
        </w:trPr>
        <w:tc>
          <w:tcPr>
            <w:tcW w:type="dxa" w:w="2232"/>
            <w:tcMar>
              <w:top w:w="58" w:type="dxa"/>
              <w:start w:w="65" w:type="dxa"/>
              <w:bottom w:w="58" w:type="dxa"/>
              <w:end w:w="65" w:type="dxa"/>
            </w:tcMar>
            <w:vAlign w:val="center"/>
          </w:tcPr>
          <w:p>
            <w:pPr>
              <w:pStyle w:val="MMTableText"/>
              <w:spacing w:after="0"/>
            </w:pPr>
            <w:r>
              <w:rPr>
                <w:sz w:val="15"/>
              </w:rPr>
              <w:t>Earned income</w:t>
            </w:r>
          </w:p>
        </w:tc>
        <w:tc>
          <w:tcPr>
            <w:tcW w:type="dxa" w:w="2592"/>
            <w:tcMar>
              <w:top w:w="58" w:type="dxa"/>
              <w:start w:w="65" w:type="dxa"/>
              <w:bottom w:w="58" w:type="dxa"/>
              <w:end w:w="65" w:type="dxa"/>
            </w:tcMar>
            <w:vAlign w:val="center"/>
          </w:tcPr>
          <w:p>
            <w:pPr>
              <w:pStyle w:val="MMTableText"/>
              <w:spacing w:after="0"/>
            </w:pPr>
            <w:r>
              <w:rPr>
                <w:sz w:val="15"/>
              </w:rPr>
              <w:t>Inflow</w:t>
            </w:r>
          </w:p>
        </w:tc>
        <w:tc>
          <w:tcPr>
            <w:tcW w:type="dxa" w:w="3240"/>
            <w:tcMar>
              <w:top w:w="58" w:type="dxa"/>
              <w:start w:w="65" w:type="dxa"/>
              <w:bottom w:w="58" w:type="dxa"/>
              <w:end w:w="65" w:type="dxa"/>
            </w:tcMar>
            <w:vAlign w:val="center"/>
          </w:tcPr>
          <w:p>
            <w:pPr>
              <w:pStyle w:val="MMTableText"/>
              <w:spacing w:after="0"/>
            </w:pPr>
            <w:r>
              <w:rPr>
                <w:sz w:val="15"/>
              </w:rPr>
              <w:t>No</w:t>
            </w:r>
          </w:p>
        </w:tc>
        <w:tc>
          <w:tcPr>
            <w:tcW w:type="dxa" w:w="2016"/>
            <w:tcMar>
              <w:top w:w="58" w:type="dxa"/>
              <w:start w:w="65" w:type="dxa"/>
              <w:bottom w:w="58" w:type="dxa"/>
              <w:end w:w="65" w:type="dxa"/>
            </w:tcMar>
            <w:vAlign w:val="center"/>
          </w:tcPr>
          <w:p>
            <w:pPr>
              <w:pStyle w:val="MMTableText"/>
              <w:spacing w:after="0"/>
            </w:pPr>
            <w:r>
              <w:rPr>
                <w:sz w:val="15"/>
              </w:rPr>
              <w:t>Yes</w:t>
            </w:r>
          </w:p>
        </w:tc>
      </w:tr>
      <w:tr>
        <w:trPr>
          <w:cantSplit/>
        </w:trPr>
        <w:tc>
          <w:tcPr>
            <w:tcW w:type="dxa" w:w="2232"/>
            <w:tcMar>
              <w:top w:w="58" w:type="dxa"/>
              <w:start w:w="65" w:type="dxa"/>
              <w:bottom w:w="58" w:type="dxa"/>
              <w:end w:w="65" w:type="dxa"/>
            </w:tcMar>
            <w:shd w:fill="F8FAF9"/>
            <w:vAlign w:val="center"/>
          </w:tcPr>
          <w:p>
            <w:pPr>
              <w:pStyle w:val="MMTableText"/>
              <w:spacing w:after="0"/>
            </w:pPr>
            <w:r>
              <w:rPr>
                <w:sz w:val="15"/>
              </w:rPr>
              <w:t>Reimbursement received</w:t>
            </w:r>
          </w:p>
        </w:tc>
        <w:tc>
          <w:tcPr>
            <w:tcW w:type="dxa" w:w="2592"/>
            <w:tcMar>
              <w:top w:w="58" w:type="dxa"/>
              <w:start w:w="65" w:type="dxa"/>
              <w:bottom w:w="58" w:type="dxa"/>
              <w:end w:w="65" w:type="dxa"/>
            </w:tcMar>
            <w:shd w:fill="F8FAF9"/>
            <w:vAlign w:val="center"/>
          </w:tcPr>
          <w:p>
            <w:pPr>
              <w:pStyle w:val="MMTableText"/>
              <w:spacing w:after="0"/>
            </w:pPr>
            <w:r>
              <w:rPr>
                <w:sz w:val="15"/>
              </w:rPr>
              <w:t>Inflow</w:t>
            </w:r>
          </w:p>
        </w:tc>
        <w:tc>
          <w:tcPr>
            <w:tcW w:type="dxa" w:w="3240"/>
            <w:tcMar>
              <w:top w:w="58" w:type="dxa"/>
              <w:start w:w="65" w:type="dxa"/>
              <w:bottom w:w="58" w:type="dxa"/>
              <w:end w:w="65" w:type="dxa"/>
            </w:tcMar>
            <w:shd w:fill="F8FAF9"/>
            <w:vAlign w:val="center"/>
          </w:tcPr>
          <w:p>
            <w:pPr>
              <w:pStyle w:val="MMTableText"/>
              <w:spacing w:after="0"/>
            </w:pPr>
            <w:r>
              <w:rPr>
                <w:sz w:val="15"/>
              </w:rPr>
              <w:t>Reduces realized net cost of linked claim</w:t>
            </w:r>
          </w:p>
        </w:tc>
        <w:tc>
          <w:tcPr>
            <w:tcW w:type="dxa" w:w="2016"/>
            <w:tcMar>
              <w:top w:w="58" w:type="dxa"/>
              <w:start w:w="65" w:type="dxa"/>
              <w:bottom w:w="58" w:type="dxa"/>
              <w:end w:w="65" w:type="dxa"/>
            </w:tcMar>
            <w:shd w:fill="F8FAF9"/>
            <w:vAlign w:val="center"/>
          </w:tcPr>
          <w:p>
            <w:pPr>
              <w:pStyle w:val="MMTableText"/>
              <w:spacing w:after="0"/>
            </w:pPr>
            <w:r>
              <w:rPr>
                <w:sz w:val="15"/>
              </w:rPr>
              <w:t>No</w:t>
            </w:r>
          </w:p>
        </w:tc>
      </w:tr>
      <w:tr>
        <w:trPr>
          <w:cantSplit/>
        </w:trPr>
        <w:tc>
          <w:tcPr>
            <w:tcW w:type="dxa" w:w="2232"/>
            <w:tcMar>
              <w:top w:w="58" w:type="dxa"/>
              <w:start w:w="65" w:type="dxa"/>
              <w:bottom w:w="58" w:type="dxa"/>
              <w:end w:w="65" w:type="dxa"/>
            </w:tcMar>
            <w:vAlign w:val="center"/>
          </w:tcPr>
          <w:p>
            <w:pPr>
              <w:pStyle w:val="MMTableText"/>
              <w:spacing w:after="0"/>
            </w:pPr>
            <w:r>
              <w:rPr>
                <w:sz w:val="15"/>
              </w:rPr>
              <w:t>Merchant refund</w:t>
            </w:r>
          </w:p>
        </w:tc>
        <w:tc>
          <w:tcPr>
            <w:tcW w:type="dxa" w:w="2592"/>
            <w:tcMar>
              <w:top w:w="58" w:type="dxa"/>
              <w:start w:w="65" w:type="dxa"/>
              <w:bottom w:w="58" w:type="dxa"/>
              <w:end w:w="65" w:type="dxa"/>
            </w:tcMar>
            <w:vAlign w:val="center"/>
          </w:tcPr>
          <w:p>
            <w:pPr>
              <w:pStyle w:val="MMTableText"/>
              <w:spacing w:after="0"/>
            </w:pPr>
            <w:r>
              <w:rPr>
                <w:sz w:val="15"/>
              </w:rPr>
              <w:t>Inflow</w:t>
            </w:r>
          </w:p>
        </w:tc>
        <w:tc>
          <w:tcPr>
            <w:tcW w:type="dxa" w:w="3240"/>
            <w:tcMar>
              <w:top w:w="58" w:type="dxa"/>
              <w:start w:w="65" w:type="dxa"/>
              <w:bottom w:w="58" w:type="dxa"/>
              <w:end w:w="65" w:type="dxa"/>
            </w:tcMar>
            <w:vAlign w:val="center"/>
          </w:tcPr>
          <w:p>
            <w:pPr>
              <w:pStyle w:val="MMTableText"/>
              <w:spacing w:after="0"/>
            </w:pPr>
            <w:r>
              <w:rPr>
                <w:sz w:val="15"/>
              </w:rPr>
              <w:t>Reverses linked expense allocation</w:t>
            </w:r>
          </w:p>
        </w:tc>
        <w:tc>
          <w:tcPr>
            <w:tcW w:type="dxa" w:w="2016"/>
            <w:tcMar>
              <w:top w:w="58" w:type="dxa"/>
              <w:start w:w="65" w:type="dxa"/>
              <w:bottom w:w="58" w:type="dxa"/>
              <w:end w:w="65" w:type="dxa"/>
            </w:tcMar>
            <w:vAlign w:val="center"/>
          </w:tcPr>
          <w:p>
            <w:pPr>
              <w:pStyle w:val="MMTableText"/>
              <w:spacing w:after="0"/>
            </w:pPr>
            <w:r>
              <w:rPr>
                <w:sz w:val="15"/>
              </w:rPr>
              <w:t>No</w:t>
            </w:r>
          </w:p>
        </w:tc>
      </w:tr>
      <w:tr>
        <w:trPr>
          <w:cantSplit/>
        </w:trPr>
        <w:tc>
          <w:tcPr>
            <w:tcW w:type="dxa" w:w="2232"/>
            <w:tcMar>
              <w:top w:w="58" w:type="dxa"/>
              <w:start w:w="65" w:type="dxa"/>
              <w:bottom w:w="58" w:type="dxa"/>
              <w:end w:w="65" w:type="dxa"/>
            </w:tcMar>
            <w:shd w:fill="F8FAF9"/>
            <w:vAlign w:val="center"/>
          </w:tcPr>
          <w:p>
            <w:pPr>
              <w:pStyle w:val="MMTableText"/>
              <w:spacing w:after="0"/>
            </w:pPr>
            <w:r>
              <w:rPr>
                <w:sz w:val="15"/>
              </w:rPr>
              <w:t>Internal transfer</w:t>
            </w:r>
          </w:p>
        </w:tc>
        <w:tc>
          <w:tcPr>
            <w:tcW w:type="dxa" w:w="2592"/>
            <w:tcMar>
              <w:top w:w="58" w:type="dxa"/>
              <w:start w:w="65" w:type="dxa"/>
              <w:bottom w:w="58" w:type="dxa"/>
              <w:end w:w="65" w:type="dxa"/>
            </w:tcMar>
            <w:shd w:fill="F8FAF9"/>
            <w:vAlign w:val="center"/>
          </w:tcPr>
          <w:p>
            <w:pPr>
              <w:pStyle w:val="MMTableText"/>
              <w:spacing w:after="0"/>
            </w:pPr>
            <w:r>
              <w:rPr>
                <w:sz w:val="15"/>
              </w:rPr>
              <w:t>Outflow and/or inflow across owned accounts</w:t>
            </w:r>
          </w:p>
        </w:tc>
        <w:tc>
          <w:tcPr>
            <w:tcW w:type="dxa" w:w="3240"/>
            <w:tcMar>
              <w:top w:w="58" w:type="dxa"/>
              <w:start w:w="65" w:type="dxa"/>
              <w:bottom w:w="58" w:type="dxa"/>
              <w:end w:w="65" w:type="dxa"/>
            </w:tcMar>
            <w:shd w:fill="F8FAF9"/>
            <w:vAlign w:val="center"/>
          </w:tcPr>
          <w:p>
            <w:pPr>
              <w:pStyle w:val="MMTableText"/>
              <w:spacing w:after="0"/>
            </w:pPr>
            <w:r>
              <w:rPr>
                <w:sz w:val="15"/>
              </w:rPr>
              <w:t>No</w:t>
            </w:r>
          </w:p>
        </w:tc>
        <w:tc>
          <w:tcPr>
            <w:tcW w:type="dxa" w:w="2016"/>
            <w:tcMar>
              <w:top w:w="58" w:type="dxa"/>
              <w:start w:w="65" w:type="dxa"/>
              <w:bottom w:w="58" w:type="dxa"/>
              <w:end w:w="65" w:type="dxa"/>
            </w:tcMar>
            <w:shd w:fill="F8FAF9"/>
            <w:vAlign w:val="center"/>
          </w:tcPr>
          <w:p>
            <w:pPr>
              <w:pStyle w:val="MMTableText"/>
              <w:spacing w:after="0"/>
            </w:pPr>
            <w:r>
              <w:rPr>
                <w:sz w:val="15"/>
              </w:rPr>
              <w:t>No</w:t>
            </w:r>
          </w:p>
        </w:tc>
      </w:tr>
      <w:tr>
        <w:trPr>
          <w:cantSplit/>
        </w:trPr>
        <w:tc>
          <w:tcPr>
            <w:tcW w:type="dxa" w:w="2232"/>
            <w:tcMar>
              <w:top w:w="58" w:type="dxa"/>
              <w:start w:w="65" w:type="dxa"/>
              <w:bottom w:w="58" w:type="dxa"/>
              <w:end w:w="65" w:type="dxa"/>
            </w:tcMar>
            <w:vAlign w:val="center"/>
          </w:tcPr>
          <w:p>
            <w:pPr>
              <w:pStyle w:val="MMTableText"/>
              <w:spacing w:after="0"/>
            </w:pPr>
            <w:r>
              <w:rPr>
                <w:sz w:val="15"/>
              </w:rPr>
              <w:t>Credit-card payment</w:t>
            </w:r>
          </w:p>
        </w:tc>
        <w:tc>
          <w:tcPr>
            <w:tcW w:type="dxa" w:w="2592"/>
            <w:tcMar>
              <w:top w:w="58" w:type="dxa"/>
              <w:start w:w="65" w:type="dxa"/>
              <w:bottom w:w="58" w:type="dxa"/>
              <w:end w:w="65" w:type="dxa"/>
            </w:tcMar>
            <w:vAlign w:val="center"/>
          </w:tcPr>
          <w:p>
            <w:pPr>
              <w:pStyle w:val="MMTableText"/>
              <w:spacing w:after="0"/>
            </w:pPr>
            <w:r>
              <w:rPr>
                <w:sz w:val="15"/>
              </w:rPr>
              <w:t>Cash outflow and debt reduction</w:t>
            </w:r>
          </w:p>
        </w:tc>
        <w:tc>
          <w:tcPr>
            <w:tcW w:type="dxa" w:w="3240"/>
            <w:tcMar>
              <w:top w:w="58" w:type="dxa"/>
              <w:start w:w="65" w:type="dxa"/>
              <w:bottom w:w="58" w:type="dxa"/>
              <w:end w:w="65" w:type="dxa"/>
            </w:tcMar>
            <w:vAlign w:val="center"/>
          </w:tcPr>
          <w:p>
            <w:pPr>
              <w:pStyle w:val="MMTableText"/>
              <w:spacing w:after="0"/>
            </w:pPr>
            <w:r>
              <w:rPr>
                <w:sz w:val="15"/>
              </w:rPr>
              <w:t>No new spending</w:t>
            </w:r>
          </w:p>
        </w:tc>
        <w:tc>
          <w:tcPr>
            <w:tcW w:type="dxa" w:w="2016"/>
            <w:tcMar>
              <w:top w:w="58" w:type="dxa"/>
              <w:start w:w="65" w:type="dxa"/>
              <w:bottom w:w="58" w:type="dxa"/>
              <w:end w:w="65" w:type="dxa"/>
            </w:tcMar>
            <w:vAlign w:val="center"/>
          </w:tcPr>
          <w:p>
            <w:pPr>
              <w:pStyle w:val="MMTableText"/>
              <w:spacing w:after="0"/>
            </w:pPr>
            <w:r>
              <w:rPr>
                <w:sz w:val="15"/>
              </w:rPr>
              <w:t>No</w:t>
            </w:r>
          </w:p>
        </w:tc>
      </w:tr>
      <w:tr>
        <w:trPr>
          <w:cantSplit/>
        </w:trPr>
        <w:tc>
          <w:tcPr>
            <w:tcW w:type="dxa" w:w="2232"/>
            <w:tcMar>
              <w:top w:w="58" w:type="dxa"/>
              <w:start w:w="65" w:type="dxa"/>
              <w:bottom w:w="58" w:type="dxa"/>
              <w:end w:w="65" w:type="dxa"/>
            </w:tcMar>
            <w:shd w:fill="F8FAF9"/>
            <w:vAlign w:val="center"/>
          </w:tcPr>
          <w:p>
            <w:pPr>
              <w:pStyle w:val="MMTableText"/>
              <w:spacing w:after="0"/>
            </w:pPr>
            <w:r>
              <w:rPr>
                <w:sz w:val="15"/>
              </w:rPr>
              <w:t>Savings contribution</w:t>
            </w:r>
          </w:p>
        </w:tc>
        <w:tc>
          <w:tcPr>
            <w:tcW w:type="dxa" w:w="2592"/>
            <w:tcMar>
              <w:top w:w="58" w:type="dxa"/>
              <w:start w:w="65" w:type="dxa"/>
              <w:bottom w:w="58" w:type="dxa"/>
              <w:end w:w="65" w:type="dxa"/>
            </w:tcMar>
            <w:shd w:fill="F8FAF9"/>
            <w:vAlign w:val="center"/>
          </w:tcPr>
          <w:p>
            <w:pPr>
              <w:pStyle w:val="MMTableText"/>
              <w:spacing w:after="0"/>
            </w:pPr>
            <w:r>
              <w:rPr>
                <w:sz w:val="15"/>
              </w:rPr>
              <w:t>Transfer between owned accounts</w:t>
            </w:r>
          </w:p>
        </w:tc>
        <w:tc>
          <w:tcPr>
            <w:tcW w:type="dxa" w:w="3240"/>
            <w:tcMar>
              <w:top w:w="58" w:type="dxa"/>
              <w:start w:w="65" w:type="dxa"/>
              <w:bottom w:w="58" w:type="dxa"/>
              <w:end w:w="65" w:type="dxa"/>
            </w:tcMar>
            <w:shd w:fill="F8FAF9"/>
            <w:vAlign w:val="center"/>
          </w:tcPr>
          <w:p>
            <w:pPr>
              <w:pStyle w:val="MMTableText"/>
              <w:spacing w:after="0"/>
            </w:pPr>
            <w:r>
              <w:rPr>
                <w:sz w:val="15"/>
              </w:rPr>
              <w:t>No</w:t>
            </w:r>
          </w:p>
        </w:tc>
        <w:tc>
          <w:tcPr>
            <w:tcW w:type="dxa" w:w="2016"/>
            <w:tcMar>
              <w:top w:w="58" w:type="dxa"/>
              <w:start w:w="65" w:type="dxa"/>
              <w:bottom w:w="58" w:type="dxa"/>
              <w:end w:w="65" w:type="dxa"/>
            </w:tcMar>
            <w:shd w:fill="F8FAF9"/>
            <w:vAlign w:val="center"/>
          </w:tcPr>
          <w:p>
            <w:pPr>
              <w:pStyle w:val="MMTableText"/>
              <w:spacing w:after="0"/>
            </w:pPr>
            <w:r>
              <w:rPr>
                <w:sz w:val="15"/>
              </w:rPr>
              <w:t>No</w:t>
            </w:r>
          </w:p>
        </w:tc>
      </w:tr>
      <w:tr>
        <w:trPr>
          <w:cantSplit/>
        </w:trPr>
        <w:tc>
          <w:tcPr>
            <w:tcW w:type="dxa" w:w="2232"/>
            <w:tcMar>
              <w:top w:w="58" w:type="dxa"/>
              <w:start w:w="65" w:type="dxa"/>
              <w:bottom w:w="58" w:type="dxa"/>
              <w:end w:w="65" w:type="dxa"/>
            </w:tcMar>
            <w:vAlign w:val="center"/>
          </w:tcPr>
          <w:p>
            <w:pPr>
              <w:pStyle w:val="MMTableText"/>
              <w:spacing w:after="0"/>
            </w:pPr>
            <w:r>
              <w:rPr>
                <w:sz w:val="15"/>
              </w:rPr>
              <w:t>Gift / other inflow</w:t>
            </w:r>
          </w:p>
        </w:tc>
        <w:tc>
          <w:tcPr>
            <w:tcW w:type="dxa" w:w="2592"/>
            <w:tcMar>
              <w:top w:w="58" w:type="dxa"/>
              <w:start w:w="65" w:type="dxa"/>
              <w:bottom w:w="58" w:type="dxa"/>
              <w:end w:w="65" w:type="dxa"/>
            </w:tcMar>
            <w:vAlign w:val="center"/>
          </w:tcPr>
          <w:p>
            <w:pPr>
              <w:pStyle w:val="MMTableText"/>
              <w:spacing w:after="0"/>
            </w:pPr>
            <w:r>
              <w:rPr>
                <w:sz w:val="15"/>
              </w:rPr>
              <w:t>Inflow</w:t>
            </w:r>
          </w:p>
        </w:tc>
        <w:tc>
          <w:tcPr>
            <w:tcW w:type="dxa" w:w="3240"/>
            <w:tcMar>
              <w:top w:w="58" w:type="dxa"/>
              <w:start w:w="65" w:type="dxa"/>
              <w:bottom w:w="58" w:type="dxa"/>
              <w:end w:w="65" w:type="dxa"/>
            </w:tcMar>
            <w:vAlign w:val="center"/>
          </w:tcPr>
          <w:p>
            <w:pPr>
              <w:pStyle w:val="MMTableText"/>
              <w:spacing w:after="0"/>
            </w:pPr>
            <w:r>
              <w:rPr>
                <w:sz w:val="15"/>
              </w:rPr>
              <w:t>No</w:t>
            </w:r>
          </w:p>
        </w:tc>
        <w:tc>
          <w:tcPr>
            <w:tcW w:type="dxa" w:w="2016"/>
            <w:tcMar>
              <w:top w:w="58" w:type="dxa"/>
              <w:start w:w="65" w:type="dxa"/>
              <w:bottom w:w="58" w:type="dxa"/>
              <w:end w:w="65" w:type="dxa"/>
            </w:tcMar>
            <w:vAlign w:val="center"/>
          </w:tcPr>
          <w:p>
            <w:pPr>
              <w:pStyle w:val="MMTableText"/>
              <w:spacing w:after="0"/>
            </w:pPr>
            <w:r>
              <w:rPr>
                <w:sz w:val="15"/>
              </w:rPr>
              <w:t>Separate from earned income</w:t>
            </w:r>
          </w:p>
        </w:tc>
      </w:tr>
      <w:tr>
        <w:trPr>
          <w:cantSplit/>
        </w:trPr>
        <w:tc>
          <w:tcPr>
            <w:tcW w:type="dxa" w:w="2232"/>
            <w:tcMar>
              <w:top w:w="58" w:type="dxa"/>
              <w:start w:w="65" w:type="dxa"/>
              <w:bottom w:w="58" w:type="dxa"/>
              <w:end w:w="65" w:type="dxa"/>
            </w:tcMar>
            <w:shd w:fill="F8FAF9"/>
            <w:vAlign w:val="center"/>
          </w:tcPr>
          <w:p>
            <w:pPr>
              <w:pStyle w:val="MMTableText"/>
              <w:spacing w:after="0"/>
            </w:pPr>
            <w:r>
              <w:rPr>
                <w:sz w:val="15"/>
              </w:rPr>
              <w:t>Excluded</w:t>
            </w:r>
          </w:p>
        </w:tc>
        <w:tc>
          <w:tcPr>
            <w:tcW w:type="dxa" w:w="2592"/>
            <w:tcMar>
              <w:top w:w="58" w:type="dxa"/>
              <w:start w:w="65" w:type="dxa"/>
              <w:bottom w:w="58" w:type="dxa"/>
              <w:end w:w="65" w:type="dxa"/>
            </w:tcMar>
            <w:shd w:fill="F8FAF9"/>
            <w:vAlign w:val="center"/>
          </w:tcPr>
          <w:p>
            <w:pPr>
              <w:pStyle w:val="MMTableText"/>
              <w:spacing w:after="0"/>
            </w:pPr>
            <w:r>
              <w:rPr>
                <w:sz w:val="15"/>
              </w:rPr>
              <w:t>Retained in activity</w:t>
            </w:r>
          </w:p>
        </w:tc>
        <w:tc>
          <w:tcPr>
            <w:tcW w:type="dxa" w:w="3240"/>
            <w:tcMar>
              <w:top w:w="58" w:type="dxa"/>
              <w:start w:w="65" w:type="dxa"/>
              <w:bottom w:w="58" w:type="dxa"/>
              <w:end w:w="65" w:type="dxa"/>
            </w:tcMar>
            <w:shd w:fill="F8FAF9"/>
            <w:vAlign w:val="center"/>
          </w:tcPr>
          <w:p>
            <w:pPr>
              <w:pStyle w:val="MMTableText"/>
              <w:spacing w:after="0"/>
            </w:pPr>
            <w:r>
              <w:rPr>
                <w:sz w:val="15"/>
              </w:rPr>
              <w:t>No</w:t>
            </w:r>
          </w:p>
        </w:tc>
        <w:tc>
          <w:tcPr>
            <w:tcW w:type="dxa" w:w="2016"/>
            <w:tcMar>
              <w:top w:w="58" w:type="dxa"/>
              <w:start w:w="65" w:type="dxa"/>
              <w:bottom w:w="58" w:type="dxa"/>
              <w:end w:w="65" w:type="dxa"/>
            </w:tcMar>
            <w:shd w:fill="F8FAF9"/>
            <w:vAlign w:val="center"/>
          </w:tcPr>
          <w:p>
            <w:pPr>
              <w:pStyle w:val="MMTableText"/>
              <w:spacing w:after="0"/>
            </w:pPr>
            <w:r>
              <w:rPr>
                <w:sz w:val="15"/>
              </w:rPr>
              <w:t>No</w:t>
            </w:r>
          </w:p>
        </w:tc>
      </w:tr>
    </w:tbl>
    <w:p>
      <w:pPr>
        <w:spacing w:after="0"/>
      </w:pPr>
    </w:p>
    <w:p>
      <w:pPr>
        <w:pStyle w:val="Heading2"/>
      </w:pPr>
      <w:r>
        <w:t>11.4 Spending measures</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3389"/>
        <w:gridCol w:w="3389"/>
        <w:gridCol w:w="3389"/>
      </w:tblGrid>
      <w:tr>
        <w:trPr>
          <w:tblHeader w:val="true"/>
          <w:cantSplit/>
        </w:trPr>
        <w:tc>
          <w:tcPr>
            <w:tcW w:type="dxa" w:w="2448"/>
            <w:shd w:fill="10261C"/>
            <w:tcMar>
              <w:top w:w="70" w:type="dxa"/>
              <w:start w:w="70" w:type="dxa"/>
              <w:bottom w:w="70" w:type="dxa"/>
              <w:end w:w="70" w:type="dxa"/>
            </w:tcMar>
            <w:vAlign w:val="center"/>
          </w:tcPr>
          <w:p>
            <w:pPr>
              <w:spacing w:after="0"/>
            </w:pPr>
            <w:r>
              <w:rPr>
                <w:b/>
                <w:color w:val="FFFFFF"/>
                <w:sz w:val="16"/>
              </w:rPr>
              <w:t>Measure</w:t>
            </w:r>
          </w:p>
        </w:tc>
        <w:tc>
          <w:tcPr>
            <w:tcW w:type="dxa" w:w="5256"/>
            <w:shd w:fill="10261C"/>
            <w:tcMar>
              <w:top w:w="70" w:type="dxa"/>
              <w:start w:w="70" w:type="dxa"/>
              <w:bottom w:w="70" w:type="dxa"/>
              <w:end w:w="70" w:type="dxa"/>
            </w:tcMar>
            <w:vAlign w:val="center"/>
          </w:tcPr>
          <w:p>
            <w:pPr>
              <w:spacing w:after="0"/>
            </w:pPr>
            <w:r>
              <w:rPr>
                <w:b/>
                <w:color w:val="FFFFFF"/>
                <w:sz w:val="16"/>
              </w:rPr>
              <w:t>Definition</w:t>
            </w:r>
          </w:p>
        </w:tc>
        <w:tc>
          <w:tcPr>
            <w:tcW w:type="dxa" w:w="2376"/>
            <w:shd w:fill="10261C"/>
            <w:tcMar>
              <w:top w:w="70" w:type="dxa"/>
              <w:start w:w="70" w:type="dxa"/>
              <w:bottom w:w="70" w:type="dxa"/>
              <w:end w:w="70" w:type="dxa"/>
            </w:tcMar>
            <w:vAlign w:val="center"/>
          </w:tcPr>
          <w:p>
            <w:pPr>
              <w:spacing w:after="0"/>
            </w:pPr>
            <w:r>
              <w:rPr>
                <w:b/>
                <w:color w:val="FFFFFF"/>
                <w:sz w:val="16"/>
              </w:rPr>
              <w:t>Use</w:t>
            </w:r>
          </w:p>
        </w:tc>
      </w:tr>
      <w:tr>
        <w:trPr>
          <w:cantSplit/>
        </w:trPr>
        <w:tc>
          <w:tcPr>
            <w:tcW w:type="dxa" w:w="2448"/>
            <w:tcMar>
              <w:top w:w="58" w:type="dxa"/>
              <w:start w:w="65" w:type="dxa"/>
              <w:bottom w:w="58" w:type="dxa"/>
              <w:end w:w="65" w:type="dxa"/>
            </w:tcMar>
            <w:shd w:fill="F8FAF9"/>
            <w:vAlign w:val="center"/>
          </w:tcPr>
          <w:p>
            <w:pPr>
              <w:pStyle w:val="MMTableText"/>
              <w:spacing w:after="0"/>
            </w:pPr>
            <w:r>
              <w:rPr>
                <w:sz w:val="16"/>
              </w:rPr>
              <w:t>Gross purchase amount</w:t>
            </w:r>
          </w:p>
        </w:tc>
        <w:tc>
          <w:tcPr>
            <w:tcW w:type="dxa" w:w="5256"/>
            <w:tcMar>
              <w:top w:w="58" w:type="dxa"/>
              <w:start w:w="65" w:type="dxa"/>
              <w:bottom w:w="58" w:type="dxa"/>
              <w:end w:w="65" w:type="dxa"/>
            </w:tcMar>
            <w:shd w:fill="F8FAF9"/>
            <w:vAlign w:val="center"/>
          </w:tcPr>
          <w:p>
            <w:pPr>
              <w:pStyle w:val="MMTableText"/>
              <w:spacing w:after="0"/>
            </w:pPr>
            <w:r>
              <w:rPr>
                <w:sz w:val="16"/>
              </w:rPr>
              <w:t>Total value of expense transactions before refunds or reimbursements.</w:t>
            </w:r>
          </w:p>
        </w:tc>
        <w:tc>
          <w:tcPr>
            <w:tcW w:type="dxa" w:w="2376"/>
            <w:tcMar>
              <w:top w:w="58" w:type="dxa"/>
              <w:start w:w="65" w:type="dxa"/>
              <w:bottom w:w="58" w:type="dxa"/>
              <w:end w:w="65" w:type="dxa"/>
            </w:tcMar>
            <w:shd w:fill="F8FAF9"/>
            <w:vAlign w:val="center"/>
          </w:tcPr>
          <w:p>
            <w:pPr>
              <w:pStyle w:val="MMTableText"/>
              <w:spacing w:after="0"/>
            </w:pPr>
            <w:r>
              <w:rPr>
                <w:sz w:val="16"/>
              </w:rPr>
              <w:t>Account activity and merchant-volume analysis.</w:t>
            </w:r>
          </w:p>
        </w:tc>
      </w:tr>
      <w:tr>
        <w:trPr>
          <w:cantSplit/>
        </w:trPr>
        <w:tc>
          <w:tcPr>
            <w:tcW w:type="dxa" w:w="2448"/>
            <w:tcMar>
              <w:top w:w="58" w:type="dxa"/>
              <w:start w:w="65" w:type="dxa"/>
              <w:bottom w:w="58" w:type="dxa"/>
              <w:end w:w="65" w:type="dxa"/>
            </w:tcMar>
            <w:vAlign w:val="center"/>
          </w:tcPr>
          <w:p>
            <w:pPr>
              <w:pStyle w:val="MMTableText"/>
              <w:spacing w:after="0"/>
            </w:pPr>
            <w:r>
              <w:rPr>
                <w:sz w:val="16"/>
              </w:rPr>
              <w:t>Expected personal spend</w:t>
            </w:r>
          </w:p>
        </w:tc>
        <w:tc>
          <w:tcPr>
            <w:tcW w:type="dxa" w:w="5256"/>
            <w:tcMar>
              <w:top w:w="58" w:type="dxa"/>
              <w:start w:w="65" w:type="dxa"/>
              <w:bottom w:w="58" w:type="dxa"/>
              <w:end w:w="65" w:type="dxa"/>
            </w:tcMar>
            <w:vAlign w:val="center"/>
          </w:tcPr>
          <w:p>
            <w:pPr>
              <w:pStyle w:val="MMTableText"/>
              <w:spacing w:after="0"/>
            </w:pPr>
            <w:r>
              <w:rPr>
                <w:sz w:val="16"/>
              </w:rPr>
              <w:t>Gross expense allocations minus expected reimbursable portions and linked merchant refunds; includes write-offs as personal responsibility.</w:t>
            </w:r>
          </w:p>
        </w:tc>
        <w:tc>
          <w:tcPr>
            <w:tcW w:type="dxa" w:w="2376"/>
            <w:tcMar>
              <w:top w:w="58" w:type="dxa"/>
              <w:start w:w="65" w:type="dxa"/>
              <w:bottom w:w="58" w:type="dxa"/>
              <w:end w:w="65" w:type="dxa"/>
            </w:tcMar>
            <w:vAlign w:val="center"/>
          </w:tcPr>
          <w:p>
            <w:pPr>
              <w:pStyle w:val="MMTableText"/>
              <w:spacing w:after="0"/>
            </w:pPr>
            <w:r>
              <w:rPr>
                <w:sz w:val="16"/>
              </w:rPr>
              <w:t>Budget responsibility before all repayments arrive.</w:t>
            </w:r>
          </w:p>
        </w:tc>
      </w:tr>
      <w:tr>
        <w:trPr>
          <w:cantSplit/>
        </w:trPr>
        <w:tc>
          <w:tcPr>
            <w:tcW w:type="dxa" w:w="2448"/>
            <w:tcMar>
              <w:top w:w="58" w:type="dxa"/>
              <w:start w:w="65" w:type="dxa"/>
              <w:bottom w:w="58" w:type="dxa"/>
              <w:end w:w="65" w:type="dxa"/>
            </w:tcMar>
            <w:shd w:fill="F8FAF9"/>
            <w:vAlign w:val="center"/>
          </w:tcPr>
          <w:p>
            <w:pPr>
              <w:pStyle w:val="MMTableText"/>
              <w:spacing w:after="0"/>
            </w:pPr>
            <w:r>
              <w:rPr>
                <w:sz w:val="16"/>
              </w:rPr>
              <w:t>Realized net personal spend</w:t>
            </w:r>
          </w:p>
        </w:tc>
        <w:tc>
          <w:tcPr>
            <w:tcW w:type="dxa" w:w="5256"/>
            <w:tcMar>
              <w:top w:w="58" w:type="dxa"/>
              <w:start w:w="65" w:type="dxa"/>
              <w:bottom w:w="58" w:type="dxa"/>
              <w:end w:w="65" w:type="dxa"/>
            </w:tcMar>
            <w:shd w:fill="F8FAF9"/>
            <w:vAlign w:val="center"/>
          </w:tcPr>
          <w:p>
            <w:pPr>
              <w:pStyle w:val="MMTableText"/>
              <w:spacing w:after="0"/>
            </w:pPr>
            <w:r>
              <w:rPr>
                <w:sz w:val="16"/>
              </w:rPr>
              <w:t>Gross expense allocations minus reimbursements actually received and refunds actually received, subject to linked ownership rules.</w:t>
            </w:r>
          </w:p>
        </w:tc>
        <w:tc>
          <w:tcPr>
            <w:tcW w:type="dxa" w:w="2376"/>
            <w:tcMar>
              <w:top w:w="58" w:type="dxa"/>
              <w:start w:w="65" w:type="dxa"/>
              <w:bottom w:w="58" w:type="dxa"/>
              <w:end w:w="65" w:type="dxa"/>
            </w:tcMar>
            <w:shd w:fill="F8FAF9"/>
            <w:vAlign w:val="center"/>
          </w:tcPr>
          <w:p>
            <w:pPr>
              <w:pStyle w:val="MMTableText"/>
              <w:spacing w:after="0"/>
            </w:pPr>
            <w:r>
              <w:rPr>
                <w:sz w:val="16"/>
              </w:rPr>
              <w:t>Cash-realized cost.</w:t>
            </w:r>
          </w:p>
        </w:tc>
      </w:tr>
      <w:tr>
        <w:trPr>
          <w:cantSplit/>
        </w:trPr>
        <w:tc>
          <w:tcPr>
            <w:tcW w:type="dxa" w:w="2448"/>
            <w:tcMar>
              <w:top w:w="58" w:type="dxa"/>
              <w:start w:w="65" w:type="dxa"/>
              <w:bottom w:w="58" w:type="dxa"/>
              <w:end w:w="65" w:type="dxa"/>
            </w:tcMar>
            <w:vAlign w:val="center"/>
          </w:tcPr>
          <w:p>
            <w:pPr>
              <w:pStyle w:val="MMTableText"/>
              <w:spacing w:after="0"/>
            </w:pPr>
            <w:r>
              <w:rPr>
                <w:sz w:val="16"/>
              </w:rPr>
              <w:t>Outstanding reimbursement</w:t>
            </w:r>
          </w:p>
        </w:tc>
        <w:tc>
          <w:tcPr>
            <w:tcW w:type="dxa" w:w="5256"/>
            <w:tcMar>
              <w:top w:w="58" w:type="dxa"/>
              <w:start w:w="65" w:type="dxa"/>
              <w:bottom w:w="58" w:type="dxa"/>
              <w:end w:w="65" w:type="dxa"/>
            </w:tcMar>
            <w:vAlign w:val="center"/>
          </w:tcPr>
          <w:p>
            <w:pPr>
              <w:pStyle w:val="MMTableText"/>
              <w:spacing w:after="0"/>
            </w:pPr>
            <w:r>
              <w:rPr>
                <w:sz w:val="16"/>
              </w:rPr>
              <w:t>Expected reimbursement minus linked repayment amounts and adjustments.</w:t>
            </w:r>
          </w:p>
        </w:tc>
        <w:tc>
          <w:tcPr>
            <w:tcW w:type="dxa" w:w="2376"/>
            <w:tcMar>
              <w:top w:w="58" w:type="dxa"/>
              <w:start w:w="65" w:type="dxa"/>
              <w:bottom w:w="58" w:type="dxa"/>
              <w:end w:w="65" w:type="dxa"/>
            </w:tcMar>
            <w:vAlign w:val="center"/>
          </w:tcPr>
          <w:p>
            <w:pPr>
              <w:pStyle w:val="MMTableText"/>
              <w:spacing w:after="0"/>
            </w:pPr>
            <w:r>
              <w:rPr>
                <w:sz w:val="16"/>
              </w:rPr>
              <w:t>Receivable tracking.</w:t>
            </w:r>
          </w:p>
        </w:tc>
      </w:tr>
      <w:tr>
        <w:trPr>
          <w:cantSplit/>
        </w:trPr>
        <w:tc>
          <w:tcPr>
            <w:tcW w:type="dxa" w:w="2448"/>
            <w:tcMar>
              <w:top w:w="58" w:type="dxa"/>
              <w:start w:w="65" w:type="dxa"/>
              <w:bottom w:w="58" w:type="dxa"/>
              <w:end w:w="65" w:type="dxa"/>
            </w:tcMar>
            <w:shd w:fill="F8FAF9"/>
            <w:vAlign w:val="center"/>
          </w:tcPr>
          <w:p>
            <w:pPr>
              <w:pStyle w:val="MMTableText"/>
              <w:spacing w:after="0"/>
            </w:pPr>
            <w:r>
              <w:rPr>
                <w:sz w:val="16"/>
              </w:rPr>
              <w:t>Cash flow</w:t>
            </w:r>
          </w:p>
        </w:tc>
        <w:tc>
          <w:tcPr>
            <w:tcW w:type="dxa" w:w="5256"/>
            <w:tcMar>
              <w:top w:w="58" w:type="dxa"/>
              <w:start w:w="65" w:type="dxa"/>
              <w:bottom w:w="58" w:type="dxa"/>
              <w:end w:w="65" w:type="dxa"/>
            </w:tcMar>
            <w:shd w:fill="F8FAF9"/>
            <w:vAlign w:val="center"/>
          </w:tcPr>
          <w:p>
            <w:pPr>
              <w:pStyle w:val="MMTableText"/>
              <w:spacing w:after="0"/>
            </w:pPr>
            <w:r>
              <w:rPr>
                <w:sz w:val="16"/>
              </w:rPr>
              <w:t>All owned-account inflows minus all owned-account outflows for the period, with internal-transfer pairs optionally netted for summary.</w:t>
            </w:r>
          </w:p>
        </w:tc>
        <w:tc>
          <w:tcPr>
            <w:tcW w:type="dxa" w:w="2376"/>
            <w:tcMar>
              <w:top w:w="58" w:type="dxa"/>
              <w:start w:w="65" w:type="dxa"/>
              <w:bottom w:w="58" w:type="dxa"/>
              <w:end w:w="65" w:type="dxa"/>
            </w:tcMar>
            <w:shd w:fill="F8FAF9"/>
            <w:vAlign w:val="center"/>
          </w:tcPr>
          <w:p>
            <w:pPr>
              <w:pStyle w:val="MMTableText"/>
              <w:spacing w:after="0"/>
            </w:pPr>
            <w:r>
              <w:rPr>
                <w:sz w:val="16"/>
              </w:rPr>
              <w:t>Liquidity movement.</w:t>
            </w:r>
          </w:p>
        </w:tc>
      </w:tr>
    </w:tbl>
    <w:p>
      <w:pPr>
        <w:spacing w:after="0"/>
      </w:pPr>
    </w:p>
    <w:p>
      <w:pPr>
        <w:pStyle w:val="Heading2"/>
      </w:pPr>
      <w:r>
        <w:t>11.5 Reimbursement example</w:t>
      </w:r>
    </w:p>
    <w:tbl>
      <w:tblPr>
        <w:tblW w:type="auto" w:w="0"/>
        <w:jc w:val="center"/>
        <w:tblLook w:firstColumn="1" w:firstRow="1" w:lastColumn="0" w:lastRow="0" w:noHBand="0" w:noVBand="1" w:val="04A0"/>
      </w:tblPr>
      <w:tblGrid>
        <w:gridCol w:w="10166"/>
      </w:tblGrid>
      <w:tr>
        <w:trPr>
          <w:cantSplit/>
        </w:trPr>
        <w:tc>
          <w:tcPr>
            <w:tcW w:type="dxa" w:w="10166"/>
            <w:shd w:fill="EAF5EE"/>
            <w:tcMar>
              <w:top w:w="110" w:type="dxa"/>
              <w:start w:w="130" w:type="dxa"/>
              <w:bottom w:w="105" w:type="dxa"/>
              <w:end w:w="130" w:type="dxa"/>
            </w:tcMar>
            <w:vAlign w:val="center"/>
          </w:tcPr>
          <w:p>
            <w:pPr>
              <w:spacing w:after="60"/>
            </w:pPr>
            <w:r>
              <w:rPr>
                <w:b/>
                <w:color w:val="287A4D"/>
              </w:rPr>
              <w:t>Example: $100 dinner, $50 owed back</w:t>
            </w:r>
          </w:p>
          <w:p>
            <w:pPr>
              <w:pStyle w:val="MMCallout"/>
              <w:spacing w:after="0"/>
            </w:pPr>
            <w:r>
              <w:t>Cash activity records a $100 outflow. The expense has a $50 personal allocation and a $50 reimbursable allocation. Expected personal spend is $50 immediately. Until repayment arrives, realized net cash cost remains $100 and outstanding reimbursement is $50. When a $50 repayment is linked, realized net personal spend becomes $50 and outstanding reimbursement becomes $0.</w:t>
            </w:r>
          </w:p>
        </w:tc>
      </w:tr>
    </w:tbl>
    <w:p>
      <w:pPr>
        <w:pStyle w:val="Heading2"/>
      </w:pPr>
      <w:r>
        <w:t>11.6 Reimbursement write-off</w:t>
      </w:r>
    </w:p>
    <w:p>
      <w:r>
        <w:t>If the payer does not repay, the user may mark the remaining claim written off. The written-off amount becomes personal responsibility from the write-off date for responsibility-based reporting. The original claim and attempted repayment history remain visible.</w:t>
      </w:r>
    </w:p>
    <w:p>
      <w:pPr>
        <w:pStyle w:val="Heading2"/>
      </w:pPr>
      <w:r>
        <w:t>11.7 Safe-to-spend</w:t>
      </w:r>
    </w:p>
    <w:p>
      <w:r>
        <w:t>V2 safe-to-spend should be defined as planned available resources minus expected personal spending, protected remaining goals, debt commitments, and a configurable cash buffer. It must not assume unreceived reimbursements are available cash. The display should therefore show both a planning view and a conservative cash view when expected reimbursements are material.</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2ECF7"/>
            <w:vAlign w:val="center"/>
          </w:tcPr>
          <w:p>
            <w:pPr>
              <w:spacing w:after="0"/>
            </w:pPr>
            <w:r>
              <w:rPr>
                <w:b/>
                <w:color w:val="6B4C8A"/>
                <w:sz w:val="16"/>
              </w:rPr>
              <w:t>DECISION REQUIRED</w:t>
            </w:r>
          </w:p>
        </w:tc>
        <w:tc>
          <w:tcPr>
            <w:tcW w:type="dxa" w:w="1944"/>
            <w:tcMar>
              <w:top w:w="45" w:type="dxa"/>
              <w:start w:w="75" w:type="dxa"/>
              <w:bottom w:w="45" w:type="dxa"/>
              <w:end w:w="75" w:type="dxa"/>
            </w:tcMar>
            <w:shd w:fill="F2ECF7"/>
            <w:vAlign w:val="center"/>
          </w:tcPr>
          <w:p>
            <w:pPr>
              <w:spacing w:after="0"/>
            </w:pPr>
            <w:r>
              <w:rPr>
                <w:b/>
                <w:color w:val="6B4C8A"/>
                <w:sz w:val="16"/>
              </w:rPr>
              <w:t>V2</w:t>
            </w:r>
          </w:p>
        </w:tc>
        <w:tc>
          <w:tcPr>
            <w:tcW w:type="dxa" w:w="5112"/>
            <w:tcMar>
              <w:top w:w="45" w:type="dxa"/>
              <w:start w:w="75" w:type="dxa"/>
              <w:bottom w:w="45" w:type="dxa"/>
              <w:end w:w="75" w:type="dxa"/>
            </w:tcMar>
            <w:shd w:fill="F2ECF7"/>
            <w:vAlign w:val="center"/>
          </w:tcPr>
          <w:p>
            <w:pPr>
              <w:spacing w:after="0"/>
            </w:pPr>
            <w:r>
              <w:rPr>
                <w:b/>
                <w:color w:val="6B4C8A"/>
                <w:sz w:val="16"/>
              </w:rPr>
              <w:t>Owner: Engineering | Finalize exact formula after account-balance model is approved</w:t>
            </w:r>
          </w:p>
        </w:tc>
      </w:tr>
    </w:tbl>
    <w:p>
      <w:pPr>
        <w:pStyle w:val="Heading2"/>
      </w:pPr>
      <w:r>
        <w:t>11.8 Accounting invariants</w:t>
      </w:r>
    </w:p>
    <w:p>
      <w:pPr>
        <w:pStyle w:val="ListBullet"/>
      </w:pPr>
      <w:r>
        <w:t>For an expense, allocation magnitudes equal the transaction magnitude within one cent.</w:t>
      </w:r>
    </w:p>
    <w:p>
      <w:pPr>
        <w:pStyle w:val="ListBullet"/>
      </w:pPr>
      <w:r>
        <w:t>A reimbursement claim is linked to one or more reimbursable allocations.</w:t>
      </w:r>
    </w:p>
    <w:p>
      <w:pPr>
        <w:pStyle w:val="ListBullet"/>
      </w:pPr>
      <w:r>
        <w:t>The sum of repayment links cannot exceed the expected claim plus approved overpayment adjustments.</w:t>
      </w:r>
    </w:p>
    <w:p>
      <w:pPr>
        <w:pStyle w:val="ListBullet"/>
      </w:pPr>
      <w:r>
        <w:t>A transaction cannot simultaneously be earned income and reimbursement.</w:t>
      </w:r>
    </w:p>
    <w:p>
      <w:pPr>
        <w:pStyle w:val="ListBullet"/>
      </w:pPr>
      <w:r>
        <w:t>An internal transfer cannot contribute to expense or income totals.</w:t>
      </w:r>
    </w:p>
    <w:p>
      <w:pPr>
        <w:pStyle w:val="ListBullet"/>
      </w:pPr>
      <w:r>
        <w:t>A credit-card payment cannot duplicate the purchases already counted as spending.</w:t>
      </w:r>
    </w:p>
    <w:p>
      <w:pPr>
        <w:pStyle w:val="ListBullet"/>
      </w:pPr>
      <w:r>
        <w:t>User-owned bucket and ownership decisions are not overwritten by a source refresh.</w:t>
      </w:r>
    </w:p>
    <w:p>
      <w:pPr>
        <w:pStyle w:val="ListBullet"/>
      </w:pPr>
      <w:r>
        <w:t>Archived buckets and accounts remain valid historical references.</w:t>
      </w:r>
    </w:p>
    <w:p>
      <w:pPr>
        <w:pStyle w:val="ListBullet"/>
      </w:pPr>
      <w:r>
        <w:t>Every calculation exposes the selected period and coverage state.</w:t>
      </w:r>
    </w:p>
    <w:p>
      <w:pPr>
        <w:pStyle w:val="Heading1"/>
      </w:pPr>
      <w:r>
        <w:t>12. Logical Data Model</w:t>
      </w:r>
    </w:p>
    <w:p>
      <w:pPr>
        <w:pStyle w:val="Heading2"/>
      </w:pPr>
      <w:r>
        <w:t>12.1 Entity relationships</w:t>
      </w:r>
    </w:p>
    <w:p>
      <w:r>
        <w:t>An Institution has Accounts. An Account has Transactions. A Transaction has one or more Allocations. A Bucket may have a parent Bucket and many child Buckets. A reimbursable Allocation may belong to a Reimbursement Claim. A Claim may link to many incoming Transactions through Repayment Links. A refund Transaction may link to one or more original Allocations through Refund Links. Merchant Rules create suggestions, while Review Events and Audit Events preserve decisions.</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3389"/>
        <w:gridCol w:w="3389"/>
        <w:gridCol w:w="3389"/>
      </w:tblGrid>
      <w:tr>
        <w:trPr>
          <w:tblHeader w:val="true"/>
          <w:cantSplit/>
        </w:trPr>
        <w:tc>
          <w:tcPr>
            <w:tcW w:type="dxa" w:w="1944"/>
            <w:shd w:fill="10261C"/>
            <w:tcMar>
              <w:top w:w="70" w:type="dxa"/>
              <w:start w:w="70" w:type="dxa"/>
              <w:bottom w:w="70" w:type="dxa"/>
              <w:end w:w="70" w:type="dxa"/>
            </w:tcMar>
            <w:vAlign w:val="center"/>
          </w:tcPr>
          <w:p>
            <w:pPr>
              <w:spacing w:after="0"/>
            </w:pPr>
            <w:r>
              <w:rPr>
                <w:b/>
                <w:color w:val="FFFFFF"/>
                <w:sz w:val="15"/>
              </w:rPr>
              <w:t>Entity</w:t>
            </w:r>
          </w:p>
        </w:tc>
        <w:tc>
          <w:tcPr>
            <w:tcW w:type="dxa" w:w="3384"/>
            <w:shd w:fill="10261C"/>
            <w:tcMar>
              <w:top w:w="70" w:type="dxa"/>
              <w:start w:w="70" w:type="dxa"/>
              <w:bottom w:w="70" w:type="dxa"/>
              <w:end w:w="70" w:type="dxa"/>
            </w:tcMar>
            <w:vAlign w:val="center"/>
          </w:tcPr>
          <w:p>
            <w:pPr>
              <w:spacing w:after="0"/>
            </w:pPr>
            <w:r>
              <w:rPr>
                <w:b/>
                <w:color w:val="FFFFFF"/>
                <w:sz w:val="15"/>
              </w:rPr>
              <w:t>Purpose</w:t>
            </w:r>
          </w:p>
        </w:tc>
        <w:tc>
          <w:tcPr>
            <w:tcW w:type="dxa" w:w="4752"/>
            <w:shd w:fill="10261C"/>
            <w:tcMar>
              <w:top w:w="70" w:type="dxa"/>
              <w:start w:w="70" w:type="dxa"/>
              <w:bottom w:w="70" w:type="dxa"/>
              <w:end w:w="70" w:type="dxa"/>
            </w:tcMar>
            <w:vAlign w:val="center"/>
          </w:tcPr>
          <w:p>
            <w:pPr>
              <w:spacing w:after="0"/>
            </w:pPr>
            <w:r>
              <w:rPr>
                <w:b/>
                <w:color w:val="FFFFFF"/>
                <w:sz w:val="15"/>
              </w:rPr>
              <w:t>Representative fields</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5"/>
              </w:rPr>
              <w:t>Institution</w:t>
            </w:r>
          </w:p>
        </w:tc>
        <w:tc>
          <w:tcPr>
            <w:tcW w:type="dxa" w:w="3384"/>
            <w:tcMar>
              <w:top w:w="58" w:type="dxa"/>
              <w:start w:w="65" w:type="dxa"/>
              <w:bottom w:w="58" w:type="dxa"/>
              <w:end w:w="65" w:type="dxa"/>
            </w:tcMar>
            <w:shd w:fill="F8FAF9"/>
            <w:vAlign w:val="center"/>
          </w:tcPr>
          <w:p>
            <w:pPr>
              <w:pStyle w:val="MMTableText"/>
              <w:spacing w:after="0"/>
            </w:pPr>
            <w:r>
              <w:rPr>
                <w:sz w:val="15"/>
              </w:rPr>
              <w:t>Bank or card issuer identity.</w:t>
            </w:r>
          </w:p>
        </w:tc>
        <w:tc>
          <w:tcPr>
            <w:tcW w:type="dxa" w:w="4752"/>
            <w:tcMar>
              <w:top w:w="58" w:type="dxa"/>
              <w:start w:w="65" w:type="dxa"/>
              <w:bottom w:w="58" w:type="dxa"/>
              <w:end w:w="65" w:type="dxa"/>
            </w:tcMar>
            <w:shd w:fill="F8FAF9"/>
            <w:vAlign w:val="center"/>
          </w:tcPr>
          <w:p>
            <w:pPr>
              <w:pStyle w:val="MMTableText"/>
              <w:spacing w:after="0"/>
            </w:pPr>
            <w:r>
              <w:rPr>
                <w:sz w:val="15"/>
              </w:rPr>
              <w:t>id, name, provider metadata</w:t>
            </w:r>
          </w:p>
        </w:tc>
      </w:tr>
      <w:tr>
        <w:trPr>
          <w:cantSplit/>
        </w:trPr>
        <w:tc>
          <w:tcPr>
            <w:tcW w:type="dxa" w:w="1944"/>
            <w:tcMar>
              <w:top w:w="58" w:type="dxa"/>
              <w:start w:w="65" w:type="dxa"/>
              <w:bottom w:w="58" w:type="dxa"/>
              <w:end w:w="65" w:type="dxa"/>
            </w:tcMar>
            <w:vAlign w:val="center"/>
          </w:tcPr>
          <w:p>
            <w:pPr>
              <w:pStyle w:val="MMTableText"/>
              <w:spacing w:after="0"/>
            </w:pPr>
            <w:r>
              <w:rPr>
                <w:sz w:val="15"/>
              </w:rPr>
              <w:t>Account</w:t>
            </w:r>
          </w:p>
        </w:tc>
        <w:tc>
          <w:tcPr>
            <w:tcW w:type="dxa" w:w="3384"/>
            <w:tcMar>
              <w:top w:w="58" w:type="dxa"/>
              <w:start w:w="65" w:type="dxa"/>
              <w:bottom w:w="58" w:type="dxa"/>
              <w:end w:w="65" w:type="dxa"/>
            </w:tcMar>
            <w:vAlign w:val="center"/>
          </w:tcPr>
          <w:p>
            <w:pPr>
              <w:pStyle w:val="MMTableText"/>
              <w:spacing w:after="0"/>
            </w:pPr>
            <w:r>
              <w:rPr>
                <w:sz w:val="15"/>
              </w:rPr>
              <w:t>Owned financial account or explicit Unknown account.</w:t>
            </w:r>
          </w:p>
        </w:tc>
        <w:tc>
          <w:tcPr>
            <w:tcW w:type="dxa" w:w="4752"/>
            <w:tcMar>
              <w:top w:w="58" w:type="dxa"/>
              <w:start w:w="65" w:type="dxa"/>
              <w:bottom w:w="58" w:type="dxa"/>
              <w:end w:w="65" w:type="dxa"/>
            </w:tcMar>
            <w:vAlign w:val="center"/>
          </w:tcPr>
          <w:p>
            <w:pPr>
              <w:pStyle w:val="MMTableText"/>
              <w:spacing w:after="0"/>
            </w:pPr>
            <w:r>
              <w:rPr>
                <w:sz w:val="15"/>
              </w:rPr>
              <w:t>id, institution_id, friendly_name, official_name, mask, type, subtype, currency, status</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5"/>
              </w:rPr>
              <w:t>Transaction</w:t>
            </w:r>
          </w:p>
        </w:tc>
        <w:tc>
          <w:tcPr>
            <w:tcW w:type="dxa" w:w="3384"/>
            <w:tcMar>
              <w:top w:w="58" w:type="dxa"/>
              <w:start w:w="65" w:type="dxa"/>
              <w:bottom w:w="58" w:type="dxa"/>
              <w:end w:w="65" w:type="dxa"/>
            </w:tcMar>
            <w:shd w:fill="F8FAF9"/>
            <w:vAlign w:val="center"/>
          </w:tcPr>
          <w:p>
            <w:pPr>
              <w:pStyle w:val="MMTableText"/>
              <w:spacing w:after="0"/>
            </w:pPr>
            <w:r>
              <w:rPr>
                <w:sz w:val="15"/>
              </w:rPr>
              <w:t>Canonical cash movement.</w:t>
            </w:r>
          </w:p>
        </w:tc>
        <w:tc>
          <w:tcPr>
            <w:tcW w:type="dxa" w:w="4752"/>
            <w:tcMar>
              <w:top w:w="58" w:type="dxa"/>
              <w:start w:w="65" w:type="dxa"/>
              <w:bottom w:w="58" w:type="dxa"/>
              <w:end w:w="65" w:type="dxa"/>
            </w:tcMar>
            <w:shd w:fill="F8FAF9"/>
            <w:vAlign w:val="center"/>
          </w:tcPr>
          <w:p>
            <w:pPr>
              <w:pStyle w:val="MMTableText"/>
              <w:spacing w:after="0"/>
            </w:pPr>
            <w:r>
              <w:rPr>
                <w:sz w:val="15"/>
              </w:rPr>
              <w:t>id, account_id, source_id, raw/normalized names, signed amount, date, status, source fields, location, movement_type</w:t>
            </w:r>
          </w:p>
        </w:tc>
      </w:tr>
      <w:tr>
        <w:trPr>
          <w:cantSplit/>
        </w:trPr>
        <w:tc>
          <w:tcPr>
            <w:tcW w:type="dxa" w:w="1944"/>
            <w:tcMar>
              <w:top w:w="58" w:type="dxa"/>
              <w:start w:w="65" w:type="dxa"/>
              <w:bottom w:w="58" w:type="dxa"/>
              <w:end w:w="65" w:type="dxa"/>
            </w:tcMar>
            <w:vAlign w:val="center"/>
          </w:tcPr>
          <w:p>
            <w:pPr>
              <w:pStyle w:val="MMTableText"/>
              <w:spacing w:after="0"/>
            </w:pPr>
            <w:r>
              <w:rPr>
                <w:sz w:val="15"/>
              </w:rPr>
              <w:t>Allocation</w:t>
            </w:r>
          </w:p>
        </w:tc>
        <w:tc>
          <w:tcPr>
            <w:tcW w:type="dxa" w:w="3384"/>
            <w:tcMar>
              <w:top w:w="58" w:type="dxa"/>
              <w:start w:w="65" w:type="dxa"/>
              <w:bottom w:w="58" w:type="dxa"/>
              <w:end w:w="65" w:type="dxa"/>
            </w:tcMar>
            <w:vAlign w:val="center"/>
          </w:tcPr>
          <w:p>
            <w:pPr>
              <w:pStyle w:val="MMTableText"/>
              <w:spacing w:after="0"/>
            </w:pPr>
            <w:r>
              <w:rPr>
                <w:sz w:val="15"/>
              </w:rPr>
              <w:t>A portion of an expense assigned to meaning.</w:t>
            </w:r>
          </w:p>
        </w:tc>
        <w:tc>
          <w:tcPr>
            <w:tcW w:type="dxa" w:w="4752"/>
            <w:tcMar>
              <w:top w:w="58" w:type="dxa"/>
              <w:start w:w="65" w:type="dxa"/>
              <w:bottom w:w="58" w:type="dxa"/>
              <w:end w:w="65" w:type="dxa"/>
            </w:tcMar>
            <w:vAlign w:val="center"/>
          </w:tcPr>
          <w:p>
            <w:pPr>
              <w:pStyle w:val="MMTableText"/>
              <w:spacing w:after="0"/>
            </w:pPr>
            <w:r>
              <w:rPr>
                <w:sz w:val="15"/>
              </w:rPr>
              <w:t>id, transaction_id, bucket_id, amount, ownership_type, note</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5"/>
              </w:rPr>
              <w:t>Bucket</w:t>
            </w:r>
          </w:p>
        </w:tc>
        <w:tc>
          <w:tcPr>
            <w:tcW w:type="dxa" w:w="3384"/>
            <w:tcMar>
              <w:top w:w="58" w:type="dxa"/>
              <w:start w:w="65" w:type="dxa"/>
              <w:bottom w:w="58" w:type="dxa"/>
              <w:end w:w="65" w:type="dxa"/>
            </w:tcMar>
            <w:shd w:fill="F8FAF9"/>
            <w:vAlign w:val="center"/>
          </w:tcPr>
          <w:p>
            <w:pPr>
              <w:pStyle w:val="MMTableText"/>
              <w:spacing w:after="0"/>
            </w:pPr>
            <w:r>
              <w:rPr>
                <w:sz w:val="15"/>
              </w:rPr>
              <w:t>User-owned reporting category.</w:t>
            </w:r>
          </w:p>
        </w:tc>
        <w:tc>
          <w:tcPr>
            <w:tcW w:type="dxa" w:w="4752"/>
            <w:tcMar>
              <w:top w:w="58" w:type="dxa"/>
              <w:start w:w="65" w:type="dxa"/>
              <w:bottom w:w="58" w:type="dxa"/>
              <w:end w:w="65" w:type="dxa"/>
            </w:tcMar>
            <w:shd w:fill="F8FAF9"/>
            <w:vAlign w:val="center"/>
          </w:tcPr>
          <w:p>
            <w:pPr>
              <w:pStyle w:val="MMTableText"/>
              <w:spacing w:after="0"/>
            </w:pPr>
            <w:r>
              <w:rPr>
                <w:sz w:val="15"/>
              </w:rPr>
              <w:t>id, parent_id, name, group, target, order, protected, active</w:t>
            </w:r>
          </w:p>
        </w:tc>
      </w:tr>
      <w:tr>
        <w:trPr>
          <w:cantSplit/>
        </w:trPr>
        <w:tc>
          <w:tcPr>
            <w:tcW w:type="dxa" w:w="1944"/>
            <w:tcMar>
              <w:top w:w="58" w:type="dxa"/>
              <w:start w:w="65" w:type="dxa"/>
              <w:bottom w:w="58" w:type="dxa"/>
              <w:end w:w="65" w:type="dxa"/>
            </w:tcMar>
            <w:vAlign w:val="center"/>
          </w:tcPr>
          <w:p>
            <w:pPr>
              <w:pStyle w:val="MMTableText"/>
              <w:spacing w:after="0"/>
            </w:pPr>
            <w:r>
              <w:rPr>
                <w:sz w:val="15"/>
              </w:rPr>
              <w:t>MerchantRule</w:t>
            </w:r>
          </w:p>
        </w:tc>
        <w:tc>
          <w:tcPr>
            <w:tcW w:type="dxa" w:w="3384"/>
            <w:tcMar>
              <w:top w:w="58" w:type="dxa"/>
              <w:start w:w="65" w:type="dxa"/>
              <w:bottom w:w="58" w:type="dxa"/>
              <w:end w:w="65" w:type="dxa"/>
            </w:tcMar>
            <w:vAlign w:val="center"/>
          </w:tcPr>
          <w:p>
            <w:pPr>
              <w:pStyle w:val="MMTableText"/>
              <w:spacing w:after="0"/>
            </w:pPr>
            <w:r>
              <w:rPr>
                <w:sz w:val="15"/>
              </w:rPr>
              <w:t>Reusable suggestion rule.</w:t>
            </w:r>
          </w:p>
        </w:tc>
        <w:tc>
          <w:tcPr>
            <w:tcW w:type="dxa" w:w="4752"/>
            <w:tcMar>
              <w:top w:w="58" w:type="dxa"/>
              <w:start w:w="65" w:type="dxa"/>
              <w:bottom w:w="58" w:type="dxa"/>
              <w:end w:w="65" w:type="dxa"/>
            </w:tcMar>
            <w:vAlign w:val="center"/>
          </w:tcPr>
          <w:p>
            <w:pPr>
              <w:pStyle w:val="MMTableText"/>
              <w:spacing w:after="0"/>
            </w:pPr>
            <w:r>
              <w:rPr>
                <w:sz w:val="15"/>
              </w:rPr>
              <w:t>id, conditions, suggested actions, active, last_used</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5"/>
              </w:rPr>
              <w:t>ReimbursementClaim</w:t>
            </w:r>
          </w:p>
        </w:tc>
        <w:tc>
          <w:tcPr>
            <w:tcW w:type="dxa" w:w="3384"/>
            <w:tcMar>
              <w:top w:w="58" w:type="dxa"/>
              <w:start w:w="65" w:type="dxa"/>
              <w:bottom w:w="58" w:type="dxa"/>
              <w:end w:w="65" w:type="dxa"/>
            </w:tcMar>
            <w:shd w:fill="F8FAF9"/>
            <w:vAlign w:val="center"/>
          </w:tcPr>
          <w:p>
            <w:pPr>
              <w:pStyle w:val="MMTableText"/>
              <w:spacing w:after="0"/>
            </w:pPr>
            <w:r>
              <w:rPr>
                <w:sz w:val="15"/>
              </w:rPr>
              <w:t>Expected repayment receivable.</w:t>
            </w:r>
          </w:p>
        </w:tc>
        <w:tc>
          <w:tcPr>
            <w:tcW w:type="dxa" w:w="4752"/>
            <w:tcMar>
              <w:top w:w="58" w:type="dxa"/>
              <w:start w:w="65" w:type="dxa"/>
              <w:bottom w:w="58" w:type="dxa"/>
              <w:end w:w="65" w:type="dxa"/>
            </w:tcMar>
            <w:shd w:fill="F8FAF9"/>
            <w:vAlign w:val="center"/>
          </w:tcPr>
          <w:p>
            <w:pPr>
              <w:pStyle w:val="MMTableText"/>
              <w:spacing w:after="0"/>
            </w:pPr>
            <w:r>
              <w:rPr>
                <w:sz w:val="15"/>
              </w:rPr>
              <w:t>id, payer, expected_amount, due_date, status, note</w:t>
            </w:r>
          </w:p>
        </w:tc>
      </w:tr>
      <w:tr>
        <w:trPr>
          <w:cantSplit/>
        </w:trPr>
        <w:tc>
          <w:tcPr>
            <w:tcW w:type="dxa" w:w="1944"/>
            <w:tcMar>
              <w:top w:w="58" w:type="dxa"/>
              <w:start w:w="65" w:type="dxa"/>
              <w:bottom w:w="58" w:type="dxa"/>
              <w:end w:w="65" w:type="dxa"/>
            </w:tcMar>
            <w:vAlign w:val="center"/>
          </w:tcPr>
          <w:p>
            <w:pPr>
              <w:pStyle w:val="MMTableText"/>
              <w:spacing w:after="0"/>
            </w:pPr>
            <w:r>
              <w:rPr>
                <w:sz w:val="15"/>
              </w:rPr>
              <w:t>ClaimAllocation</w:t>
            </w:r>
          </w:p>
        </w:tc>
        <w:tc>
          <w:tcPr>
            <w:tcW w:type="dxa" w:w="3384"/>
            <w:tcMar>
              <w:top w:w="58" w:type="dxa"/>
              <w:start w:w="65" w:type="dxa"/>
              <w:bottom w:w="58" w:type="dxa"/>
              <w:end w:w="65" w:type="dxa"/>
            </w:tcMar>
            <w:vAlign w:val="center"/>
          </w:tcPr>
          <w:p>
            <w:pPr>
              <w:pStyle w:val="MMTableText"/>
              <w:spacing w:after="0"/>
            </w:pPr>
            <w:r>
              <w:rPr>
                <w:sz w:val="15"/>
              </w:rPr>
              <w:t>Links claim to source reimbursable allocations.</w:t>
            </w:r>
          </w:p>
        </w:tc>
        <w:tc>
          <w:tcPr>
            <w:tcW w:type="dxa" w:w="4752"/>
            <w:tcMar>
              <w:top w:w="58" w:type="dxa"/>
              <w:start w:w="65" w:type="dxa"/>
              <w:bottom w:w="58" w:type="dxa"/>
              <w:end w:w="65" w:type="dxa"/>
            </w:tcMar>
            <w:vAlign w:val="center"/>
          </w:tcPr>
          <w:p>
            <w:pPr>
              <w:pStyle w:val="MMTableText"/>
              <w:spacing w:after="0"/>
            </w:pPr>
            <w:r>
              <w:rPr>
                <w:sz w:val="15"/>
              </w:rPr>
              <w:t>claim_id, allocation_id, amount</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5"/>
              </w:rPr>
              <w:t>RepaymentLink</w:t>
            </w:r>
          </w:p>
        </w:tc>
        <w:tc>
          <w:tcPr>
            <w:tcW w:type="dxa" w:w="3384"/>
            <w:tcMar>
              <w:top w:w="58" w:type="dxa"/>
              <w:start w:w="65" w:type="dxa"/>
              <w:bottom w:w="58" w:type="dxa"/>
              <w:end w:w="65" w:type="dxa"/>
            </w:tcMar>
            <w:shd w:fill="F8FAF9"/>
            <w:vAlign w:val="center"/>
          </w:tcPr>
          <w:p>
            <w:pPr>
              <w:pStyle w:val="MMTableText"/>
              <w:spacing w:after="0"/>
            </w:pPr>
            <w:r>
              <w:rPr>
                <w:sz w:val="15"/>
              </w:rPr>
              <w:t>Links incoming transaction to claim.</w:t>
            </w:r>
          </w:p>
        </w:tc>
        <w:tc>
          <w:tcPr>
            <w:tcW w:type="dxa" w:w="4752"/>
            <w:tcMar>
              <w:top w:w="58" w:type="dxa"/>
              <w:start w:w="65" w:type="dxa"/>
              <w:bottom w:w="58" w:type="dxa"/>
              <w:end w:w="65" w:type="dxa"/>
            </w:tcMar>
            <w:shd w:fill="F8FAF9"/>
            <w:vAlign w:val="center"/>
          </w:tcPr>
          <w:p>
            <w:pPr>
              <w:pStyle w:val="MMTableText"/>
              <w:spacing w:after="0"/>
            </w:pPr>
            <w:r>
              <w:rPr>
                <w:sz w:val="15"/>
              </w:rPr>
              <w:t>claim_id, transaction_id, amount</w:t>
            </w:r>
          </w:p>
        </w:tc>
      </w:tr>
      <w:tr>
        <w:trPr>
          <w:cantSplit/>
        </w:trPr>
        <w:tc>
          <w:tcPr>
            <w:tcW w:type="dxa" w:w="1944"/>
            <w:tcMar>
              <w:top w:w="58" w:type="dxa"/>
              <w:start w:w="65" w:type="dxa"/>
              <w:bottom w:w="58" w:type="dxa"/>
              <w:end w:w="65" w:type="dxa"/>
            </w:tcMar>
            <w:vAlign w:val="center"/>
          </w:tcPr>
          <w:p>
            <w:pPr>
              <w:pStyle w:val="MMTableText"/>
              <w:spacing w:after="0"/>
            </w:pPr>
            <w:r>
              <w:rPr>
                <w:sz w:val="15"/>
              </w:rPr>
              <w:t>RefundLink</w:t>
            </w:r>
          </w:p>
        </w:tc>
        <w:tc>
          <w:tcPr>
            <w:tcW w:type="dxa" w:w="3384"/>
            <w:tcMar>
              <w:top w:w="58" w:type="dxa"/>
              <w:start w:w="65" w:type="dxa"/>
              <w:bottom w:w="58" w:type="dxa"/>
              <w:end w:w="65" w:type="dxa"/>
            </w:tcMar>
            <w:vAlign w:val="center"/>
          </w:tcPr>
          <w:p>
            <w:pPr>
              <w:pStyle w:val="MMTableText"/>
              <w:spacing w:after="0"/>
            </w:pPr>
            <w:r>
              <w:rPr>
                <w:sz w:val="15"/>
              </w:rPr>
              <w:t>Links refund to original allocation.</w:t>
            </w:r>
          </w:p>
        </w:tc>
        <w:tc>
          <w:tcPr>
            <w:tcW w:type="dxa" w:w="4752"/>
            <w:tcMar>
              <w:top w:w="58" w:type="dxa"/>
              <w:start w:w="65" w:type="dxa"/>
              <w:bottom w:w="58" w:type="dxa"/>
              <w:end w:w="65" w:type="dxa"/>
            </w:tcMar>
            <w:vAlign w:val="center"/>
          </w:tcPr>
          <w:p>
            <w:pPr>
              <w:pStyle w:val="MMTableText"/>
              <w:spacing w:after="0"/>
            </w:pPr>
            <w:r>
              <w:rPr>
                <w:sz w:val="15"/>
              </w:rPr>
              <w:t>refund_transaction_id, allocation_id, amount</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5"/>
              </w:rPr>
              <w:t>ReviewEvent</w:t>
            </w:r>
          </w:p>
        </w:tc>
        <w:tc>
          <w:tcPr>
            <w:tcW w:type="dxa" w:w="3384"/>
            <w:tcMar>
              <w:top w:w="58" w:type="dxa"/>
              <w:start w:w="65" w:type="dxa"/>
              <w:bottom w:w="58" w:type="dxa"/>
              <w:end w:w="65" w:type="dxa"/>
            </w:tcMar>
            <w:shd w:fill="F8FAF9"/>
            <w:vAlign w:val="center"/>
          </w:tcPr>
          <w:p>
            <w:pPr>
              <w:pStyle w:val="MMTableText"/>
              <w:spacing w:after="0"/>
            </w:pPr>
            <w:r>
              <w:rPr>
                <w:sz w:val="15"/>
              </w:rPr>
              <w:t>Tracks review confirmation and undo.</w:t>
            </w:r>
          </w:p>
        </w:tc>
        <w:tc>
          <w:tcPr>
            <w:tcW w:type="dxa" w:w="4752"/>
            <w:tcMar>
              <w:top w:w="58" w:type="dxa"/>
              <w:start w:w="65" w:type="dxa"/>
              <w:bottom w:w="58" w:type="dxa"/>
              <w:end w:w="65" w:type="dxa"/>
            </w:tcMar>
            <w:shd w:fill="F8FAF9"/>
            <w:vAlign w:val="center"/>
          </w:tcPr>
          <w:p>
            <w:pPr>
              <w:pStyle w:val="MMTableText"/>
              <w:spacing w:after="0"/>
            </w:pPr>
            <w:r>
              <w:rPr>
                <w:sz w:val="15"/>
              </w:rPr>
              <w:t>id, transaction_id, action, timestamp, snapshot</w:t>
            </w:r>
          </w:p>
        </w:tc>
      </w:tr>
      <w:tr>
        <w:trPr>
          <w:cantSplit/>
        </w:trPr>
        <w:tc>
          <w:tcPr>
            <w:tcW w:type="dxa" w:w="1944"/>
            <w:tcMar>
              <w:top w:w="58" w:type="dxa"/>
              <w:start w:w="65" w:type="dxa"/>
              <w:bottom w:w="58" w:type="dxa"/>
              <w:end w:w="65" w:type="dxa"/>
            </w:tcMar>
            <w:vAlign w:val="center"/>
          </w:tcPr>
          <w:p>
            <w:pPr>
              <w:pStyle w:val="MMTableText"/>
              <w:spacing w:after="0"/>
            </w:pPr>
            <w:r>
              <w:rPr>
                <w:sz w:val="15"/>
              </w:rPr>
              <w:t>AuditEvent</w:t>
            </w:r>
          </w:p>
        </w:tc>
        <w:tc>
          <w:tcPr>
            <w:tcW w:type="dxa" w:w="3384"/>
            <w:tcMar>
              <w:top w:w="58" w:type="dxa"/>
              <w:start w:w="65" w:type="dxa"/>
              <w:bottom w:w="58" w:type="dxa"/>
              <w:end w:w="65" w:type="dxa"/>
            </w:tcMar>
            <w:vAlign w:val="center"/>
          </w:tcPr>
          <w:p>
            <w:pPr>
              <w:pStyle w:val="MMTableText"/>
              <w:spacing w:after="0"/>
            </w:pPr>
            <w:r>
              <w:rPr>
                <w:sz w:val="15"/>
              </w:rPr>
              <w:t>Records user and system changes.</w:t>
            </w:r>
          </w:p>
        </w:tc>
        <w:tc>
          <w:tcPr>
            <w:tcW w:type="dxa" w:w="4752"/>
            <w:tcMar>
              <w:top w:w="58" w:type="dxa"/>
              <w:start w:w="65" w:type="dxa"/>
              <w:bottom w:w="58" w:type="dxa"/>
              <w:end w:w="65" w:type="dxa"/>
            </w:tcMar>
            <w:vAlign w:val="center"/>
          </w:tcPr>
          <w:p>
            <w:pPr>
              <w:pStyle w:val="MMTableText"/>
              <w:spacing w:after="0"/>
            </w:pPr>
            <w:r>
              <w:rPr>
                <w:sz w:val="15"/>
              </w:rPr>
              <w:t>id, entity_type, entity_id, changed_fields, actor, timestamp</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5"/>
              </w:rPr>
              <w:t>MonthlyPlan</w:t>
            </w:r>
          </w:p>
        </w:tc>
        <w:tc>
          <w:tcPr>
            <w:tcW w:type="dxa" w:w="3384"/>
            <w:tcMar>
              <w:top w:w="58" w:type="dxa"/>
              <w:start w:w="65" w:type="dxa"/>
              <w:bottom w:w="58" w:type="dxa"/>
              <w:end w:w="65" w:type="dxa"/>
            </w:tcMar>
            <w:shd w:fill="F8FAF9"/>
            <w:vAlign w:val="center"/>
          </w:tcPr>
          <w:p>
            <w:pPr>
              <w:pStyle w:val="MMTableText"/>
              <w:spacing w:after="0"/>
            </w:pPr>
            <w:r>
              <w:rPr>
                <w:sz w:val="15"/>
              </w:rPr>
              <w:t>Targets and plan for a month.</w:t>
            </w:r>
          </w:p>
        </w:tc>
        <w:tc>
          <w:tcPr>
            <w:tcW w:type="dxa" w:w="4752"/>
            <w:tcMar>
              <w:top w:w="58" w:type="dxa"/>
              <w:start w:w="65" w:type="dxa"/>
              <w:bottom w:w="58" w:type="dxa"/>
              <w:end w:w="65" w:type="dxa"/>
            </w:tcMar>
            <w:shd w:fill="F8FAF9"/>
            <w:vAlign w:val="center"/>
          </w:tcPr>
          <w:p>
            <w:pPr>
              <w:pStyle w:val="MMTableText"/>
              <w:spacing w:after="0"/>
            </w:pPr>
            <w:r>
              <w:rPr>
                <w:sz w:val="15"/>
              </w:rPr>
              <w:t>month, income_baseline, cash_buffer, bucket targets, notes</w:t>
            </w:r>
          </w:p>
        </w:tc>
      </w:tr>
      <w:tr>
        <w:trPr>
          <w:cantSplit/>
        </w:trPr>
        <w:tc>
          <w:tcPr>
            <w:tcW w:type="dxa" w:w="1944"/>
            <w:tcMar>
              <w:top w:w="58" w:type="dxa"/>
              <w:start w:w="65" w:type="dxa"/>
              <w:bottom w:w="58" w:type="dxa"/>
              <w:end w:w="65" w:type="dxa"/>
            </w:tcMar>
            <w:vAlign w:val="center"/>
          </w:tcPr>
          <w:p>
            <w:pPr>
              <w:pStyle w:val="MMTableText"/>
              <w:spacing w:after="0"/>
            </w:pPr>
            <w:r>
              <w:rPr>
                <w:sz w:val="15"/>
              </w:rPr>
              <w:t>Goal</w:t>
            </w:r>
          </w:p>
        </w:tc>
        <w:tc>
          <w:tcPr>
            <w:tcW w:type="dxa" w:w="3384"/>
            <w:tcMar>
              <w:top w:w="58" w:type="dxa"/>
              <w:start w:w="65" w:type="dxa"/>
              <w:bottom w:w="58" w:type="dxa"/>
              <w:end w:w="65" w:type="dxa"/>
            </w:tcMar>
            <w:vAlign w:val="center"/>
          </w:tcPr>
          <w:p>
            <w:pPr>
              <w:pStyle w:val="MMTableText"/>
              <w:spacing w:after="0"/>
            </w:pPr>
            <w:r>
              <w:rPr>
                <w:sz w:val="15"/>
              </w:rPr>
              <w:t>Emergency savings, travel fund, or other goal.</w:t>
            </w:r>
          </w:p>
        </w:tc>
        <w:tc>
          <w:tcPr>
            <w:tcW w:type="dxa" w:w="4752"/>
            <w:tcMar>
              <w:top w:w="58" w:type="dxa"/>
              <w:start w:w="65" w:type="dxa"/>
              <w:bottom w:w="58" w:type="dxa"/>
              <w:end w:w="65" w:type="dxa"/>
            </w:tcMar>
            <w:vAlign w:val="center"/>
          </w:tcPr>
          <w:p>
            <w:pPr>
              <w:pStyle w:val="MMTableText"/>
              <w:spacing w:after="0"/>
            </w:pPr>
            <w:r>
              <w:rPr>
                <w:sz w:val="15"/>
              </w:rPr>
              <w:t>id, type, target, target_date, contribution plan, linked accounts</w:t>
            </w:r>
          </w:p>
        </w:tc>
      </w:tr>
      <w:tr>
        <w:trPr>
          <w:cantSplit/>
        </w:trPr>
        <w:tc>
          <w:tcPr>
            <w:tcW w:type="dxa" w:w="1944"/>
            <w:tcMar>
              <w:top w:w="58" w:type="dxa"/>
              <w:start w:w="65" w:type="dxa"/>
              <w:bottom w:w="58" w:type="dxa"/>
              <w:end w:w="65" w:type="dxa"/>
            </w:tcMar>
            <w:shd w:fill="F8FAF9"/>
            <w:vAlign w:val="center"/>
          </w:tcPr>
          <w:p>
            <w:pPr>
              <w:pStyle w:val="MMTableText"/>
              <w:spacing w:after="0"/>
            </w:pPr>
            <w:r>
              <w:rPr>
                <w:sz w:val="15"/>
              </w:rPr>
              <w:t>ImportBatch</w:t>
            </w:r>
          </w:p>
        </w:tc>
        <w:tc>
          <w:tcPr>
            <w:tcW w:type="dxa" w:w="3384"/>
            <w:tcMar>
              <w:top w:w="58" w:type="dxa"/>
              <w:start w:w="65" w:type="dxa"/>
              <w:bottom w:w="58" w:type="dxa"/>
              <w:end w:w="65" w:type="dxa"/>
            </w:tcMar>
            <w:shd w:fill="F8FAF9"/>
            <w:vAlign w:val="center"/>
          </w:tcPr>
          <w:p>
            <w:pPr>
              <w:pStyle w:val="MMTableText"/>
              <w:spacing w:after="0"/>
            </w:pPr>
            <w:r>
              <w:rPr>
                <w:sz w:val="15"/>
              </w:rPr>
              <w:t>CSV or provider ingestion session.</w:t>
            </w:r>
          </w:p>
        </w:tc>
        <w:tc>
          <w:tcPr>
            <w:tcW w:type="dxa" w:w="4752"/>
            <w:tcMar>
              <w:top w:w="58" w:type="dxa"/>
              <w:start w:w="65" w:type="dxa"/>
              <w:bottom w:w="58" w:type="dxa"/>
              <w:end w:w="65" w:type="dxa"/>
            </w:tcMar>
            <w:shd w:fill="F8FAF9"/>
            <w:vAlign w:val="center"/>
          </w:tcPr>
          <w:p>
            <w:pPr>
              <w:pStyle w:val="MMTableText"/>
              <w:spacing w:after="0"/>
            </w:pPr>
            <w:r>
              <w:rPr>
                <w:sz w:val="15"/>
              </w:rPr>
              <w:t>id, source, timestamp, mapping, counts, errors</w:t>
            </w:r>
          </w:p>
        </w:tc>
      </w:tr>
      <w:tr>
        <w:trPr>
          <w:cantSplit/>
        </w:trPr>
        <w:tc>
          <w:tcPr>
            <w:tcW w:type="dxa" w:w="1944"/>
            <w:tcMar>
              <w:top w:w="58" w:type="dxa"/>
              <w:start w:w="65" w:type="dxa"/>
              <w:bottom w:w="58" w:type="dxa"/>
              <w:end w:w="65" w:type="dxa"/>
            </w:tcMar>
            <w:vAlign w:val="center"/>
          </w:tcPr>
          <w:p>
            <w:pPr>
              <w:pStyle w:val="MMTableText"/>
              <w:spacing w:after="0"/>
            </w:pPr>
            <w:r>
              <w:rPr>
                <w:sz w:val="15"/>
              </w:rPr>
              <w:t>SyncCursor</w:t>
            </w:r>
          </w:p>
        </w:tc>
        <w:tc>
          <w:tcPr>
            <w:tcW w:type="dxa" w:w="3384"/>
            <w:tcMar>
              <w:top w:w="58" w:type="dxa"/>
              <w:start w:w="65" w:type="dxa"/>
              <w:bottom w:w="58" w:type="dxa"/>
              <w:end w:w="65" w:type="dxa"/>
            </w:tcMar>
            <w:vAlign w:val="center"/>
          </w:tcPr>
          <w:p>
            <w:pPr>
              <w:pStyle w:val="MMTableText"/>
              <w:spacing w:after="0"/>
            </w:pPr>
            <w:r>
              <w:rPr>
                <w:sz w:val="15"/>
              </w:rPr>
              <w:t>Future provider synchronization state.</w:t>
            </w:r>
          </w:p>
        </w:tc>
        <w:tc>
          <w:tcPr>
            <w:tcW w:type="dxa" w:w="4752"/>
            <w:tcMar>
              <w:top w:w="58" w:type="dxa"/>
              <w:start w:w="65" w:type="dxa"/>
              <w:bottom w:w="58" w:type="dxa"/>
              <w:end w:w="65" w:type="dxa"/>
            </w:tcMar>
            <w:vAlign w:val="center"/>
          </w:tcPr>
          <w:p>
            <w:pPr>
              <w:pStyle w:val="MMTableText"/>
              <w:spacing w:after="0"/>
            </w:pPr>
            <w:r>
              <w:rPr>
                <w:sz w:val="15"/>
              </w:rPr>
              <w:t>provider_item_id, cursor, last_success, status</w:t>
            </w:r>
          </w:p>
        </w:tc>
      </w:tr>
    </w:tbl>
    <w:p>
      <w:pPr>
        <w:spacing w:after="0"/>
      </w:pPr>
    </w:p>
    <w:p>
      <w:pPr>
        <w:pStyle w:val="Heading2"/>
      </w:pPr>
      <w:r>
        <w:t>12.2 Transaction field requirements</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3389"/>
        <w:gridCol w:w="3389"/>
        <w:gridCol w:w="3389"/>
      </w:tblGrid>
      <w:tr>
        <w:trPr>
          <w:tblHeader w:val="true"/>
          <w:cantSplit/>
        </w:trPr>
        <w:tc>
          <w:tcPr>
            <w:tcW w:type="dxa" w:w="2376"/>
            <w:shd w:fill="10261C"/>
            <w:tcMar>
              <w:top w:w="70" w:type="dxa"/>
              <w:start w:w="70" w:type="dxa"/>
              <w:bottom w:w="70" w:type="dxa"/>
              <w:end w:w="70" w:type="dxa"/>
            </w:tcMar>
            <w:vAlign w:val="center"/>
          </w:tcPr>
          <w:p>
            <w:pPr>
              <w:spacing w:after="0"/>
            </w:pPr>
            <w:r>
              <w:rPr>
                <w:b/>
                <w:color w:val="FFFFFF"/>
                <w:sz w:val="15"/>
              </w:rPr>
              <w:t>Field</w:t>
            </w:r>
          </w:p>
        </w:tc>
        <w:tc>
          <w:tcPr>
            <w:tcW w:type="dxa" w:w="4608"/>
            <w:shd w:fill="10261C"/>
            <w:tcMar>
              <w:top w:w="70" w:type="dxa"/>
              <w:start w:w="70" w:type="dxa"/>
              <w:bottom w:w="70" w:type="dxa"/>
              <w:end w:w="70" w:type="dxa"/>
            </w:tcMar>
            <w:vAlign w:val="center"/>
          </w:tcPr>
          <w:p>
            <w:pPr>
              <w:spacing w:after="0"/>
            </w:pPr>
            <w:r>
              <w:rPr>
                <w:b/>
                <w:color w:val="FFFFFF"/>
                <w:sz w:val="15"/>
              </w:rPr>
              <w:t>Meaning</w:t>
            </w:r>
          </w:p>
        </w:tc>
        <w:tc>
          <w:tcPr>
            <w:tcW w:type="dxa" w:w="3096"/>
            <w:shd w:fill="10261C"/>
            <w:tcMar>
              <w:top w:w="70" w:type="dxa"/>
              <w:start w:w="70" w:type="dxa"/>
              <w:bottom w:w="70" w:type="dxa"/>
              <w:end w:w="70" w:type="dxa"/>
            </w:tcMar>
            <w:vAlign w:val="center"/>
          </w:tcPr>
          <w:p>
            <w:pPr>
              <w:spacing w:after="0"/>
            </w:pPr>
            <w:r>
              <w:rPr>
                <w:b/>
                <w:color w:val="FFFFFF"/>
                <w:sz w:val="15"/>
              </w:rPr>
              <w:t>Requirement</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5"/>
              </w:rPr>
              <w:t>id</w:t>
            </w:r>
          </w:p>
        </w:tc>
        <w:tc>
          <w:tcPr>
            <w:tcW w:type="dxa" w:w="4608"/>
            <w:tcMar>
              <w:top w:w="58" w:type="dxa"/>
              <w:start w:w="65" w:type="dxa"/>
              <w:bottom w:w="58" w:type="dxa"/>
              <w:end w:w="65" w:type="dxa"/>
            </w:tcMar>
            <w:shd w:fill="F8FAF9"/>
            <w:vAlign w:val="center"/>
          </w:tcPr>
          <w:p>
            <w:pPr>
              <w:pStyle w:val="MMTableText"/>
              <w:spacing w:after="0"/>
            </w:pPr>
            <w:r>
              <w:rPr>
                <w:sz w:val="15"/>
              </w:rPr>
              <w:t>Stable internal ID</w:t>
            </w:r>
          </w:p>
        </w:tc>
        <w:tc>
          <w:tcPr>
            <w:tcW w:type="dxa" w:w="3096"/>
            <w:tcMar>
              <w:top w:w="58" w:type="dxa"/>
              <w:start w:w="65" w:type="dxa"/>
              <w:bottom w:w="58" w:type="dxa"/>
              <w:end w:w="65" w:type="dxa"/>
            </w:tcMar>
            <w:shd w:fill="F8FAF9"/>
            <w:vAlign w:val="center"/>
          </w:tcPr>
          <w:p>
            <w:pPr>
              <w:pStyle w:val="MMTableText"/>
              <w:spacing w:after="0"/>
            </w:pPr>
            <w:r>
              <w:rPr>
                <w:sz w:val="15"/>
              </w:rPr>
              <w:t>Required</w:t>
            </w:r>
          </w:p>
        </w:tc>
      </w:tr>
      <w:tr>
        <w:trPr>
          <w:cantSplit/>
        </w:trPr>
        <w:tc>
          <w:tcPr>
            <w:tcW w:type="dxa" w:w="2376"/>
            <w:tcMar>
              <w:top w:w="58" w:type="dxa"/>
              <w:start w:w="65" w:type="dxa"/>
              <w:bottom w:w="58" w:type="dxa"/>
              <w:end w:w="65" w:type="dxa"/>
            </w:tcMar>
            <w:vAlign w:val="center"/>
          </w:tcPr>
          <w:p>
            <w:pPr>
              <w:pStyle w:val="MMTableText"/>
              <w:spacing w:after="0"/>
            </w:pPr>
            <w:r>
              <w:rPr>
                <w:sz w:val="15"/>
              </w:rPr>
              <w:t>account_id</w:t>
            </w:r>
          </w:p>
        </w:tc>
        <w:tc>
          <w:tcPr>
            <w:tcW w:type="dxa" w:w="4608"/>
            <w:tcMar>
              <w:top w:w="58" w:type="dxa"/>
              <w:start w:w="65" w:type="dxa"/>
              <w:bottom w:w="58" w:type="dxa"/>
              <w:end w:w="65" w:type="dxa"/>
            </w:tcMar>
            <w:vAlign w:val="center"/>
          </w:tcPr>
          <w:p>
            <w:pPr>
              <w:pStyle w:val="MMTableText"/>
              <w:spacing w:after="0"/>
            </w:pPr>
            <w:r>
              <w:rPr>
                <w:sz w:val="15"/>
              </w:rPr>
              <w:t>Normalized account reference</w:t>
            </w:r>
          </w:p>
        </w:tc>
        <w:tc>
          <w:tcPr>
            <w:tcW w:type="dxa" w:w="3096"/>
            <w:tcMar>
              <w:top w:w="58" w:type="dxa"/>
              <w:start w:w="65" w:type="dxa"/>
              <w:bottom w:w="58" w:type="dxa"/>
              <w:end w:w="65" w:type="dxa"/>
            </w:tcMar>
            <w:vAlign w:val="center"/>
          </w:tcPr>
          <w:p>
            <w:pPr>
              <w:pStyle w:val="MMTableText"/>
              <w:spacing w:after="0"/>
            </w:pPr>
            <w:r>
              <w:rPr>
                <w:sz w:val="15"/>
              </w:rPr>
              <w:t>Required; Unknown account allowed</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5"/>
              </w:rPr>
              <w:t>source</w:t>
            </w:r>
          </w:p>
        </w:tc>
        <w:tc>
          <w:tcPr>
            <w:tcW w:type="dxa" w:w="4608"/>
            <w:tcMar>
              <w:top w:w="58" w:type="dxa"/>
              <w:start w:w="65" w:type="dxa"/>
              <w:bottom w:w="58" w:type="dxa"/>
              <w:end w:w="65" w:type="dxa"/>
            </w:tcMar>
            <w:shd w:fill="F8FAF9"/>
            <w:vAlign w:val="center"/>
          </w:tcPr>
          <w:p>
            <w:pPr>
              <w:pStyle w:val="MMTableText"/>
              <w:spacing w:after="0"/>
            </w:pPr>
            <w:r>
              <w:rPr>
                <w:sz w:val="15"/>
              </w:rPr>
              <w:t>manual, csv, plaid, migration</w:t>
            </w:r>
          </w:p>
        </w:tc>
        <w:tc>
          <w:tcPr>
            <w:tcW w:type="dxa" w:w="3096"/>
            <w:tcMar>
              <w:top w:w="58" w:type="dxa"/>
              <w:start w:w="65" w:type="dxa"/>
              <w:bottom w:w="58" w:type="dxa"/>
              <w:end w:w="65" w:type="dxa"/>
            </w:tcMar>
            <w:shd w:fill="F8FAF9"/>
            <w:vAlign w:val="center"/>
          </w:tcPr>
          <w:p>
            <w:pPr>
              <w:pStyle w:val="MMTableText"/>
              <w:spacing w:after="0"/>
            </w:pPr>
            <w:r>
              <w:rPr>
                <w:sz w:val="15"/>
              </w:rPr>
              <w:t>Required</w:t>
            </w:r>
          </w:p>
        </w:tc>
      </w:tr>
      <w:tr>
        <w:trPr>
          <w:cantSplit/>
        </w:trPr>
        <w:tc>
          <w:tcPr>
            <w:tcW w:type="dxa" w:w="2376"/>
            <w:tcMar>
              <w:top w:w="58" w:type="dxa"/>
              <w:start w:w="65" w:type="dxa"/>
              <w:bottom w:w="58" w:type="dxa"/>
              <w:end w:w="65" w:type="dxa"/>
            </w:tcMar>
            <w:vAlign w:val="center"/>
          </w:tcPr>
          <w:p>
            <w:pPr>
              <w:pStyle w:val="MMTableText"/>
              <w:spacing w:after="0"/>
            </w:pPr>
            <w:r>
              <w:rPr>
                <w:sz w:val="15"/>
              </w:rPr>
              <w:t>source_transaction_id</w:t>
            </w:r>
          </w:p>
        </w:tc>
        <w:tc>
          <w:tcPr>
            <w:tcW w:type="dxa" w:w="4608"/>
            <w:tcMar>
              <w:top w:w="58" w:type="dxa"/>
              <w:start w:w="65" w:type="dxa"/>
              <w:bottom w:w="58" w:type="dxa"/>
              <w:end w:w="65" w:type="dxa"/>
            </w:tcMar>
            <w:vAlign w:val="center"/>
          </w:tcPr>
          <w:p>
            <w:pPr>
              <w:pStyle w:val="MMTableText"/>
              <w:spacing w:after="0"/>
            </w:pPr>
            <w:r>
              <w:rPr>
                <w:sz w:val="15"/>
              </w:rPr>
              <w:t>Provider/import identifier</w:t>
            </w:r>
          </w:p>
        </w:tc>
        <w:tc>
          <w:tcPr>
            <w:tcW w:type="dxa" w:w="3096"/>
            <w:tcMar>
              <w:top w:w="58" w:type="dxa"/>
              <w:start w:w="65" w:type="dxa"/>
              <w:bottom w:w="58" w:type="dxa"/>
              <w:end w:w="65" w:type="dxa"/>
            </w:tcMar>
            <w:vAlign w:val="center"/>
          </w:tcPr>
          <w:p>
            <w:pPr>
              <w:pStyle w:val="MMTableText"/>
              <w:spacing w:after="0"/>
            </w:pPr>
            <w:r>
              <w:rPr>
                <w:sz w:val="15"/>
              </w:rPr>
              <w:t>Optional but preferred</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5"/>
              </w:rPr>
              <w:t>raw_name</w:t>
            </w:r>
          </w:p>
        </w:tc>
        <w:tc>
          <w:tcPr>
            <w:tcW w:type="dxa" w:w="4608"/>
            <w:tcMar>
              <w:top w:w="58" w:type="dxa"/>
              <w:start w:w="65" w:type="dxa"/>
              <w:bottom w:w="58" w:type="dxa"/>
              <w:end w:w="65" w:type="dxa"/>
            </w:tcMar>
            <w:shd w:fill="F8FAF9"/>
            <w:vAlign w:val="center"/>
          </w:tcPr>
          <w:p>
            <w:pPr>
              <w:pStyle w:val="MMTableText"/>
              <w:spacing w:after="0"/>
            </w:pPr>
            <w:r>
              <w:rPr>
                <w:sz w:val="15"/>
              </w:rPr>
              <w:t>Original transaction description</w:t>
            </w:r>
          </w:p>
        </w:tc>
        <w:tc>
          <w:tcPr>
            <w:tcW w:type="dxa" w:w="3096"/>
            <w:tcMar>
              <w:top w:w="58" w:type="dxa"/>
              <w:start w:w="65" w:type="dxa"/>
              <w:bottom w:w="58" w:type="dxa"/>
              <w:end w:w="65" w:type="dxa"/>
            </w:tcMar>
            <w:shd w:fill="F8FAF9"/>
            <w:vAlign w:val="center"/>
          </w:tcPr>
          <w:p>
            <w:pPr>
              <w:pStyle w:val="MMTableText"/>
              <w:spacing w:after="0"/>
            </w:pPr>
            <w:r>
              <w:rPr>
                <w:sz w:val="15"/>
              </w:rPr>
              <w:t>Required when supplied</w:t>
            </w:r>
          </w:p>
        </w:tc>
      </w:tr>
      <w:tr>
        <w:trPr>
          <w:cantSplit/>
        </w:trPr>
        <w:tc>
          <w:tcPr>
            <w:tcW w:type="dxa" w:w="2376"/>
            <w:tcMar>
              <w:top w:w="58" w:type="dxa"/>
              <w:start w:w="65" w:type="dxa"/>
              <w:bottom w:w="58" w:type="dxa"/>
              <w:end w:w="65" w:type="dxa"/>
            </w:tcMar>
            <w:vAlign w:val="center"/>
          </w:tcPr>
          <w:p>
            <w:pPr>
              <w:pStyle w:val="MMTableText"/>
              <w:spacing w:after="0"/>
            </w:pPr>
            <w:r>
              <w:rPr>
                <w:sz w:val="15"/>
              </w:rPr>
              <w:t>merchant_name</w:t>
            </w:r>
          </w:p>
        </w:tc>
        <w:tc>
          <w:tcPr>
            <w:tcW w:type="dxa" w:w="4608"/>
            <w:tcMar>
              <w:top w:w="58" w:type="dxa"/>
              <w:start w:w="65" w:type="dxa"/>
              <w:bottom w:w="58" w:type="dxa"/>
              <w:end w:w="65" w:type="dxa"/>
            </w:tcMar>
            <w:vAlign w:val="center"/>
          </w:tcPr>
          <w:p>
            <w:pPr>
              <w:pStyle w:val="MMTableText"/>
              <w:spacing w:after="0"/>
            </w:pPr>
            <w:r>
              <w:rPr>
                <w:sz w:val="15"/>
              </w:rPr>
              <w:t>Normalized merchant/counterparty</w:t>
            </w:r>
          </w:p>
        </w:tc>
        <w:tc>
          <w:tcPr>
            <w:tcW w:type="dxa" w:w="3096"/>
            <w:tcMar>
              <w:top w:w="58" w:type="dxa"/>
              <w:start w:w="65" w:type="dxa"/>
              <w:bottom w:w="58" w:type="dxa"/>
              <w:end w:w="65" w:type="dxa"/>
            </w:tcMar>
            <w:vAlign w:val="center"/>
          </w:tcPr>
          <w:p>
            <w:pPr>
              <w:pStyle w:val="MMTableText"/>
              <w:spacing w:after="0"/>
            </w:pPr>
            <w:r>
              <w:rPr>
                <w:sz w:val="15"/>
              </w:rPr>
              <w:t>Optional</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5"/>
              </w:rPr>
              <w:t>amount_signed</w:t>
            </w:r>
          </w:p>
        </w:tc>
        <w:tc>
          <w:tcPr>
            <w:tcW w:type="dxa" w:w="4608"/>
            <w:tcMar>
              <w:top w:w="58" w:type="dxa"/>
              <w:start w:w="65" w:type="dxa"/>
              <w:bottom w:w="58" w:type="dxa"/>
              <w:end w:w="65" w:type="dxa"/>
            </w:tcMar>
            <w:shd w:fill="F8FAF9"/>
            <w:vAlign w:val="center"/>
          </w:tcPr>
          <w:p>
            <w:pPr>
              <w:pStyle w:val="MMTableText"/>
              <w:spacing w:after="0"/>
            </w:pPr>
            <w:r>
              <w:rPr>
                <w:sz w:val="15"/>
              </w:rPr>
              <w:t>Canonical signed amount</w:t>
            </w:r>
          </w:p>
        </w:tc>
        <w:tc>
          <w:tcPr>
            <w:tcW w:type="dxa" w:w="3096"/>
            <w:tcMar>
              <w:top w:w="58" w:type="dxa"/>
              <w:start w:w="65" w:type="dxa"/>
              <w:bottom w:w="58" w:type="dxa"/>
              <w:end w:w="65" w:type="dxa"/>
            </w:tcMar>
            <w:shd w:fill="F8FAF9"/>
            <w:vAlign w:val="center"/>
          </w:tcPr>
          <w:p>
            <w:pPr>
              <w:pStyle w:val="MMTableText"/>
              <w:spacing w:after="0"/>
            </w:pPr>
            <w:r>
              <w:rPr>
                <w:sz w:val="15"/>
              </w:rPr>
              <w:t>Required</w:t>
            </w:r>
          </w:p>
        </w:tc>
      </w:tr>
      <w:tr>
        <w:trPr>
          <w:cantSplit/>
        </w:trPr>
        <w:tc>
          <w:tcPr>
            <w:tcW w:type="dxa" w:w="2376"/>
            <w:tcMar>
              <w:top w:w="58" w:type="dxa"/>
              <w:start w:w="65" w:type="dxa"/>
              <w:bottom w:w="58" w:type="dxa"/>
              <w:end w:w="65" w:type="dxa"/>
            </w:tcMar>
            <w:vAlign w:val="center"/>
          </w:tcPr>
          <w:p>
            <w:pPr>
              <w:pStyle w:val="MMTableText"/>
              <w:spacing w:after="0"/>
            </w:pPr>
            <w:r>
              <w:rPr>
                <w:sz w:val="15"/>
              </w:rPr>
              <w:t>currency</w:t>
            </w:r>
          </w:p>
        </w:tc>
        <w:tc>
          <w:tcPr>
            <w:tcW w:type="dxa" w:w="4608"/>
            <w:tcMar>
              <w:top w:w="58" w:type="dxa"/>
              <w:start w:w="65" w:type="dxa"/>
              <w:bottom w:w="58" w:type="dxa"/>
              <w:end w:w="65" w:type="dxa"/>
            </w:tcMar>
            <w:vAlign w:val="center"/>
          </w:tcPr>
          <w:p>
            <w:pPr>
              <w:pStyle w:val="MMTableText"/>
              <w:spacing w:after="0"/>
            </w:pPr>
            <w:r>
              <w:rPr>
                <w:sz w:val="15"/>
              </w:rPr>
              <w:t>ISO currency code</w:t>
            </w:r>
          </w:p>
        </w:tc>
        <w:tc>
          <w:tcPr>
            <w:tcW w:type="dxa" w:w="3096"/>
            <w:tcMar>
              <w:top w:w="58" w:type="dxa"/>
              <w:start w:w="65" w:type="dxa"/>
              <w:bottom w:w="58" w:type="dxa"/>
              <w:end w:w="65" w:type="dxa"/>
            </w:tcMar>
            <w:vAlign w:val="center"/>
          </w:tcPr>
          <w:p>
            <w:pPr>
              <w:pStyle w:val="MMTableText"/>
              <w:spacing w:after="0"/>
            </w:pPr>
            <w:r>
              <w:rPr>
                <w:sz w:val="15"/>
              </w:rPr>
              <w:t>Required; default USD only when source guarantees it</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5"/>
              </w:rPr>
              <w:t>authorized_at</w:t>
            </w:r>
          </w:p>
        </w:tc>
        <w:tc>
          <w:tcPr>
            <w:tcW w:type="dxa" w:w="4608"/>
            <w:tcMar>
              <w:top w:w="58" w:type="dxa"/>
              <w:start w:w="65" w:type="dxa"/>
              <w:bottom w:w="58" w:type="dxa"/>
              <w:end w:w="65" w:type="dxa"/>
            </w:tcMar>
            <w:shd w:fill="F8FAF9"/>
            <w:vAlign w:val="center"/>
          </w:tcPr>
          <w:p>
            <w:pPr>
              <w:pStyle w:val="MMTableText"/>
              <w:spacing w:after="0"/>
            </w:pPr>
            <w:r>
              <w:rPr>
                <w:sz w:val="15"/>
              </w:rPr>
              <w:t>Authorization date/time</w:t>
            </w:r>
          </w:p>
        </w:tc>
        <w:tc>
          <w:tcPr>
            <w:tcW w:type="dxa" w:w="3096"/>
            <w:tcMar>
              <w:top w:w="58" w:type="dxa"/>
              <w:start w:w="65" w:type="dxa"/>
              <w:bottom w:w="58" w:type="dxa"/>
              <w:end w:w="65" w:type="dxa"/>
            </w:tcMar>
            <w:shd w:fill="F8FAF9"/>
            <w:vAlign w:val="center"/>
          </w:tcPr>
          <w:p>
            <w:pPr>
              <w:pStyle w:val="MMTableText"/>
              <w:spacing w:after="0"/>
            </w:pPr>
            <w:r>
              <w:rPr>
                <w:sz w:val="15"/>
              </w:rPr>
              <w:t>Optional</w:t>
            </w:r>
          </w:p>
        </w:tc>
      </w:tr>
      <w:tr>
        <w:trPr>
          <w:cantSplit/>
        </w:trPr>
        <w:tc>
          <w:tcPr>
            <w:tcW w:type="dxa" w:w="2376"/>
            <w:tcMar>
              <w:top w:w="58" w:type="dxa"/>
              <w:start w:w="65" w:type="dxa"/>
              <w:bottom w:w="58" w:type="dxa"/>
              <w:end w:w="65" w:type="dxa"/>
            </w:tcMar>
            <w:vAlign w:val="center"/>
          </w:tcPr>
          <w:p>
            <w:pPr>
              <w:pStyle w:val="MMTableText"/>
              <w:spacing w:after="0"/>
            </w:pPr>
            <w:r>
              <w:rPr>
                <w:sz w:val="15"/>
              </w:rPr>
              <w:t>posted_at</w:t>
            </w:r>
          </w:p>
        </w:tc>
        <w:tc>
          <w:tcPr>
            <w:tcW w:type="dxa" w:w="4608"/>
            <w:tcMar>
              <w:top w:w="58" w:type="dxa"/>
              <w:start w:w="65" w:type="dxa"/>
              <w:bottom w:w="58" w:type="dxa"/>
              <w:end w:w="65" w:type="dxa"/>
            </w:tcMar>
            <w:vAlign w:val="center"/>
          </w:tcPr>
          <w:p>
            <w:pPr>
              <w:pStyle w:val="MMTableText"/>
              <w:spacing w:after="0"/>
            </w:pPr>
            <w:r>
              <w:rPr>
                <w:sz w:val="15"/>
              </w:rPr>
              <w:t>Posted date/time</w:t>
            </w:r>
          </w:p>
        </w:tc>
        <w:tc>
          <w:tcPr>
            <w:tcW w:type="dxa" w:w="3096"/>
            <w:tcMar>
              <w:top w:w="58" w:type="dxa"/>
              <w:start w:w="65" w:type="dxa"/>
              <w:bottom w:w="58" w:type="dxa"/>
              <w:end w:w="65" w:type="dxa"/>
            </w:tcMar>
            <w:vAlign w:val="center"/>
          </w:tcPr>
          <w:p>
            <w:pPr>
              <w:pStyle w:val="MMTableText"/>
              <w:spacing w:after="0"/>
            </w:pPr>
            <w:r>
              <w:rPr>
                <w:sz w:val="15"/>
              </w:rPr>
              <w:t>Optional</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5"/>
              </w:rPr>
              <w:t>display_date</w:t>
            </w:r>
          </w:p>
        </w:tc>
        <w:tc>
          <w:tcPr>
            <w:tcW w:type="dxa" w:w="4608"/>
            <w:tcMar>
              <w:top w:w="58" w:type="dxa"/>
              <w:start w:w="65" w:type="dxa"/>
              <w:bottom w:w="58" w:type="dxa"/>
              <w:end w:w="65" w:type="dxa"/>
            </w:tcMar>
            <w:shd w:fill="F8FAF9"/>
            <w:vAlign w:val="center"/>
          </w:tcPr>
          <w:p>
            <w:pPr>
              <w:pStyle w:val="MMTableText"/>
              <w:spacing w:after="0"/>
            </w:pPr>
            <w:r>
              <w:rPr>
                <w:sz w:val="15"/>
              </w:rPr>
              <w:t>Date used in lists/reports</w:t>
            </w:r>
          </w:p>
        </w:tc>
        <w:tc>
          <w:tcPr>
            <w:tcW w:type="dxa" w:w="3096"/>
            <w:tcMar>
              <w:top w:w="58" w:type="dxa"/>
              <w:start w:w="65" w:type="dxa"/>
              <w:bottom w:w="58" w:type="dxa"/>
              <w:end w:w="65" w:type="dxa"/>
            </w:tcMar>
            <w:shd w:fill="F8FAF9"/>
            <w:vAlign w:val="center"/>
          </w:tcPr>
          <w:p>
            <w:pPr>
              <w:pStyle w:val="MMTableText"/>
              <w:spacing w:after="0"/>
            </w:pPr>
            <w:r>
              <w:rPr>
                <w:sz w:val="15"/>
              </w:rPr>
              <w:t>Required, derived by policy</w:t>
            </w:r>
          </w:p>
        </w:tc>
      </w:tr>
      <w:tr>
        <w:trPr>
          <w:cantSplit/>
        </w:trPr>
        <w:tc>
          <w:tcPr>
            <w:tcW w:type="dxa" w:w="2376"/>
            <w:tcMar>
              <w:top w:w="58" w:type="dxa"/>
              <w:start w:w="65" w:type="dxa"/>
              <w:bottom w:w="58" w:type="dxa"/>
              <w:end w:w="65" w:type="dxa"/>
            </w:tcMar>
            <w:vAlign w:val="center"/>
          </w:tcPr>
          <w:p>
            <w:pPr>
              <w:pStyle w:val="MMTableText"/>
              <w:spacing w:after="0"/>
            </w:pPr>
            <w:r>
              <w:rPr>
                <w:sz w:val="15"/>
              </w:rPr>
              <w:t>pending_status</w:t>
            </w:r>
          </w:p>
        </w:tc>
        <w:tc>
          <w:tcPr>
            <w:tcW w:type="dxa" w:w="4608"/>
            <w:tcMar>
              <w:top w:w="58" w:type="dxa"/>
              <w:start w:w="65" w:type="dxa"/>
              <w:bottom w:w="58" w:type="dxa"/>
              <w:end w:w="65" w:type="dxa"/>
            </w:tcMar>
            <w:vAlign w:val="center"/>
          </w:tcPr>
          <w:p>
            <w:pPr>
              <w:pStyle w:val="MMTableText"/>
              <w:spacing w:after="0"/>
            </w:pPr>
            <w:r>
              <w:rPr>
                <w:sz w:val="15"/>
              </w:rPr>
              <w:t>pending, posted, removed, unknown</w:t>
            </w:r>
          </w:p>
        </w:tc>
        <w:tc>
          <w:tcPr>
            <w:tcW w:type="dxa" w:w="3096"/>
            <w:tcMar>
              <w:top w:w="58" w:type="dxa"/>
              <w:start w:w="65" w:type="dxa"/>
              <w:bottom w:w="58" w:type="dxa"/>
              <w:end w:w="65" w:type="dxa"/>
            </w:tcMar>
            <w:vAlign w:val="center"/>
          </w:tcPr>
          <w:p>
            <w:pPr>
              <w:pStyle w:val="MMTableText"/>
              <w:spacing w:after="0"/>
            </w:pPr>
            <w:r>
              <w:rPr>
                <w:sz w:val="15"/>
              </w:rPr>
              <w:t>Required</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5"/>
              </w:rPr>
              <w:t>movement_type</w:t>
            </w:r>
          </w:p>
        </w:tc>
        <w:tc>
          <w:tcPr>
            <w:tcW w:type="dxa" w:w="4608"/>
            <w:tcMar>
              <w:top w:w="58" w:type="dxa"/>
              <w:start w:w="65" w:type="dxa"/>
              <w:bottom w:w="58" w:type="dxa"/>
              <w:end w:w="65" w:type="dxa"/>
            </w:tcMar>
            <w:shd w:fill="F8FAF9"/>
            <w:vAlign w:val="center"/>
          </w:tcPr>
          <w:p>
            <w:pPr>
              <w:pStyle w:val="MMTableText"/>
              <w:spacing w:after="0"/>
            </w:pPr>
            <w:r>
              <w:rPr>
                <w:sz w:val="15"/>
              </w:rPr>
              <w:t>Expense, income, reimbursement, refund, transfer, etc.</w:t>
            </w:r>
          </w:p>
        </w:tc>
        <w:tc>
          <w:tcPr>
            <w:tcW w:type="dxa" w:w="3096"/>
            <w:tcMar>
              <w:top w:w="58" w:type="dxa"/>
              <w:start w:w="65" w:type="dxa"/>
              <w:bottom w:w="58" w:type="dxa"/>
              <w:end w:w="65" w:type="dxa"/>
            </w:tcMar>
            <w:shd w:fill="F8FAF9"/>
            <w:vAlign w:val="center"/>
          </w:tcPr>
          <w:p>
            <w:pPr>
              <w:pStyle w:val="MMTableText"/>
              <w:spacing w:after="0"/>
            </w:pPr>
            <w:r>
              <w:rPr>
                <w:sz w:val="15"/>
              </w:rPr>
              <w:t>Required before full review</w:t>
            </w:r>
          </w:p>
        </w:tc>
      </w:tr>
      <w:tr>
        <w:trPr>
          <w:cantSplit/>
        </w:trPr>
        <w:tc>
          <w:tcPr>
            <w:tcW w:type="dxa" w:w="2376"/>
            <w:tcMar>
              <w:top w:w="58" w:type="dxa"/>
              <w:start w:w="65" w:type="dxa"/>
              <w:bottom w:w="58" w:type="dxa"/>
              <w:end w:w="65" w:type="dxa"/>
            </w:tcMar>
            <w:vAlign w:val="center"/>
          </w:tcPr>
          <w:p>
            <w:pPr>
              <w:pStyle w:val="MMTableText"/>
              <w:spacing w:after="0"/>
            </w:pPr>
            <w:r>
              <w:rPr>
                <w:sz w:val="15"/>
              </w:rPr>
              <w:t>review_status</w:t>
            </w:r>
          </w:p>
        </w:tc>
        <w:tc>
          <w:tcPr>
            <w:tcW w:type="dxa" w:w="4608"/>
            <w:tcMar>
              <w:top w:w="58" w:type="dxa"/>
              <w:start w:w="65" w:type="dxa"/>
              <w:bottom w:w="58" w:type="dxa"/>
              <w:end w:w="65" w:type="dxa"/>
            </w:tcMar>
            <w:vAlign w:val="center"/>
          </w:tcPr>
          <w:p>
            <w:pPr>
              <w:pStyle w:val="MMTableText"/>
              <w:spacing w:after="0"/>
            </w:pPr>
            <w:r>
              <w:rPr>
                <w:sz w:val="15"/>
              </w:rPr>
              <w:t>pending, suggested, deferred, reviewed, needs_resolution</w:t>
            </w:r>
          </w:p>
        </w:tc>
        <w:tc>
          <w:tcPr>
            <w:tcW w:type="dxa" w:w="3096"/>
            <w:tcMar>
              <w:top w:w="58" w:type="dxa"/>
              <w:start w:w="65" w:type="dxa"/>
              <w:bottom w:w="58" w:type="dxa"/>
              <w:end w:w="65" w:type="dxa"/>
            </w:tcMar>
            <w:vAlign w:val="center"/>
          </w:tcPr>
          <w:p>
            <w:pPr>
              <w:pStyle w:val="MMTableText"/>
              <w:spacing w:after="0"/>
            </w:pPr>
            <w:r>
              <w:rPr>
                <w:sz w:val="15"/>
              </w:rPr>
              <w:t>Required</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5"/>
              </w:rPr>
              <w:t>location_region</w:t>
            </w:r>
          </w:p>
        </w:tc>
        <w:tc>
          <w:tcPr>
            <w:tcW w:type="dxa" w:w="4608"/>
            <w:tcMar>
              <w:top w:w="58" w:type="dxa"/>
              <w:start w:w="65" w:type="dxa"/>
              <w:bottom w:w="58" w:type="dxa"/>
              <w:end w:w="65" w:type="dxa"/>
            </w:tcMar>
            <w:shd w:fill="F8FAF9"/>
            <w:vAlign w:val="center"/>
          </w:tcPr>
          <w:p>
            <w:pPr>
              <w:pStyle w:val="MMTableText"/>
              <w:spacing w:after="0"/>
            </w:pPr>
            <w:r>
              <w:rPr>
                <w:sz w:val="15"/>
              </w:rPr>
              <w:t>State or region</w:t>
            </w:r>
          </w:p>
        </w:tc>
        <w:tc>
          <w:tcPr>
            <w:tcW w:type="dxa" w:w="3096"/>
            <w:tcMar>
              <w:top w:w="58" w:type="dxa"/>
              <w:start w:w="65" w:type="dxa"/>
              <w:bottom w:w="58" w:type="dxa"/>
              <w:end w:w="65" w:type="dxa"/>
            </w:tcMar>
            <w:shd w:fill="F8FAF9"/>
            <w:vAlign w:val="center"/>
          </w:tcPr>
          <w:p>
            <w:pPr>
              <w:pStyle w:val="MMTableText"/>
              <w:spacing w:after="0"/>
            </w:pPr>
            <w:r>
              <w:rPr>
                <w:sz w:val="15"/>
              </w:rPr>
              <w:t>Optional</w:t>
            </w:r>
          </w:p>
        </w:tc>
      </w:tr>
      <w:tr>
        <w:trPr>
          <w:cantSplit/>
        </w:trPr>
        <w:tc>
          <w:tcPr>
            <w:tcW w:type="dxa" w:w="2376"/>
            <w:tcMar>
              <w:top w:w="58" w:type="dxa"/>
              <w:start w:w="65" w:type="dxa"/>
              <w:bottom w:w="58" w:type="dxa"/>
              <w:end w:w="65" w:type="dxa"/>
            </w:tcMar>
            <w:vAlign w:val="center"/>
          </w:tcPr>
          <w:p>
            <w:pPr>
              <w:pStyle w:val="MMTableText"/>
              <w:spacing w:after="0"/>
            </w:pPr>
            <w:r>
              <w:rPr>
                <w:sz w:val="15"/>
              </w:rPr>
              <w:t>location_country</w:t>
            </w:r>
          </w:p>
        </w:tc>
        <w:tc>
          <w:tcPr>
            <w:tcW w:type="dxa" w:w="4608"/>
            <w:tcMar>
              <w:top w:w="58" w:type="dxa"/>
              <w:start w:w="65" w:type="dxa"/>
              <w:bottom w:w="58" w:type="dxa"/>
              <w:end w:w="65" w:type="dxa"/>
            </w:tcMar>
            <w:vAlign w:val="center"/>
          </w:tcPr>
          <w:p>
            <w:pPr>
              <w:pStyle w:val="MMTableText"/>
              <w:spacing w:after="0"/>
            </w:pPr>
            <w:r>
              <w:rPr>
                <w:sz w:val="15"/>
              </w:rPr>
              <w:t>Country code/name</w:t>
            </w:r>
          </w:p>
        </w:tc>
        <w:tc>
          <w:tcPr>
            <w:tcW w:type="dxa" w:w="3096"/>
            <w:tcMar>
              <w:top w:w="58" w:type="dxa"/>
              <w:start w:w="65" w:type="dxa"/>
              <w:bottom w:w="58" w:type="dxa"/>
              <w:end w:w="65" w:type="dxa"/>
            </w:tcMar>
            <w:vAlign w:val="center"/>
          </w:tcPr>
          <w:p>
            <w:pPr>
              <w:pStyle w:val="MMTableText"/>
              <w:spacing w:after="0"/>
            </w:pPr>
            <w:r>
              <w:rPr>
                <w:sz w:val="15"/>
              </w:rPr>
              <w:t>Optional</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5"/>
              </w:rPr>
              <w:t>location_source</w:t>
            </w:r>
          </w:p>
        </w:tc>
        <w:tc>
          <w:tcPr>
            <w:tcW w:type="dxa" w:w="4608"/>
            <w:tcMar>
              <w:top w:w="58" w:type="dxa"/>
              <w:start w:w="65" w:type="dxa"/>
              <w:bottom w:w="58" w:type="dxa"/>
              <w:end w:w="65" w:type="dxa"/>
            </w:tcMar>
            <w:shd w:fill="F8FAF9"/>
            <w:vAlign w:val="center"/>
          </w:tcPr>
          <w:p>
            <w:pPr>
              <w:pStyle w:val="MMTableText"/>
              <w:spacing w:after="0"/>
            </w:pPr>
            <w:r>
              <w:rPr>
                <w:sz w:val="15"/>
              </w:rPr>
              <w:t>provider, import, merchant_default, user, unavailable</w:t>
            </w:r>
          </w:p>
        </w:tc>
        <w:tc>
          <w:tcPr>
            <w:tcW w:type="dxa" w:w="3096"/>
            <w:tcMar>
              <w:top w:w="58" w:type="dxa"/>
              <w:start w:w="65" w:type="dxa"/>
              <w:bottom w:w="58" w:type="dxa"/>
              <w:end w:w="65" w:type="dxa"/>
            </w:tcMar>
            <w:shd w:fill="F8FAF9"/>
            <w:vAlign w:val="center"/>
          </w:tcPr>
          <w:p>
            <w:pPr>
              <w:pStyle w:val="MMTableText"/>
              <w:spacing w:after="0"/>
            </w:pPr>
            <w:r>
              <w:rPr>
                <w:sz w:val="15"/>
              </w:rPr>
              <w:t>Required if any location is stored</w:t>
            </w:r>
          </w:p>
        </w:tc>
      </w:tr>
      <w:tr>
        <w:trPr>
          <w:cantSplit/>
        </w:trPr>
        <w:tc>
          <w:tcPr>
            <w:tcW w:type="dxa" w:w="2376"/>
            <w:tcMar>
              <w:top w:w="58" w:type="dxa"/>
              <w:start w:w="65" w:type="dxa"/>
              <w:bottom w:w="58" w:type="dxa"/>
              <w:end w:w="65" w:type="dxa"/>
            </w:tcMar>
            <w:vAlign w:val="center"/>
          </w:tcPr>
          <w:p>
            <w:pPr>
              <w:pStyle w:val="MMTableText"/>
              <w:spacing w:after="0"/>
            </w:pPr>
            <w:r>
              <w:rPr>
                <w:sz w:val="15"/>
              </w:rPr>
              <w:t>provider_category</w:t>
            </w:r>
          </w:p>
        </w:tc>
        <w:tc>
          <w:tcPr>
            <w:tcW w:type="dxa" w:w="4608"/>
            <w:tcMar>
              <w:top w:w="58" w:type="dxa"/>
              <w:start w:w="65" w:type="dxa"/>
              <w:bottom w:w="58" w:type="dxa"/>
              <w:end w:w="65" w:type="dxa"/>
            </w:tcMar>
            <w:vAlign w:val="center"/>
          </w:tcPr>
          <w:p>
            <w:pPr>
              <w:pStyle w:val="MMTableText"/>
              <w:spacing w:after="0"/>
            </w:pPr>
            <w:r>
              <w:rPr>
                <w:sz w:val="15"/>
              </w:rPr>
              <w:t>Reference metadata only</w:t>
            </w:r>
          </w:p>
        </w:tc>
        <w:tc>
          <w:tcPr>
            <w:tcW w:type="dxa" w:w="3096"/>
            <w:tcMar>
              <w:top w:w="58" w:type="dxa"/>
              <w:start w:w="65" w:type="dxa"/>
              <w:bottom w:w="58" w:type="dxa"/>
              <w:end w:w="65" w:type="dxa"/>
            </w:tcMar>
            <w:vAlign w:val="center"/>
          </w:tcPr>
          <w:p>
            <w:pPr>
              <w:pStyle w:val="MMTableText"/>
              <w:spacing w:after="0"/>
            </w:pPr>
            <w:r>
              <w:rPr>
                <w:sz w:val="15"/>
              </w:rPr>
              <w:t>Optional</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5"/>
              </w:rPr>
              <w:t>raw_payload_ref</w:t>
            </w:r>
          </w:p>
        </w:tc>
        <w:tc>
          <w:tcPr>
            <w:tcW w:type="dxa" w:w="4608"/>
            <w:tcMar>
              <w:top w:w="58" w:type="dxa"/>
              <w:start w:w="65" w:type="dxa"/>
              <w:bottom w:w="58" w:type="dxa"/>
              <w:end w:w="65" w:type="dxa"/>
            </w:tcMar>
            <w:shd w:fill="F8FAF9"/>
            <w:vAlign w:val="center"/>
          </w:tcPr>
          <w:p>
            <w:pPr>
              <w:pStyle w:val="MMTableText"/>
              <w:spacing w:after="0"/>
            </w:pPr>
            <w:r>
              <w:rPr>
                <w:sz w:val="15"/>
              </w:rPr>
              <w:t>Encrypted source snapshot/reference</w:t>
            </w:r>
          </w:p>
        </w:tc>
        <w:tc>
          <w:tcPr>
            <w:tcW w:type="dxa" w:w="3096"/>
            <w:tcMar>
              <w:top w:w="58" w:type="dxa"/>
              <w:start w:w="65" w:type="dxa"/>
              <w:bottom w:w="58" w:type="dxa"/>
              <w:end w:w="65" w:type="dxa"/>
            </w:tcMar>
            <w:shd w:fill="F8FAF9"/>
            <w:vAlign w:val="center"/>
          </w:tcPr>
          <w:p>
            <w:pPr>
              <w:pStyle w:val="MMTableText"/>
              <w:spacing w:after="0"/>
            </w:pPr>
            <w:r>
              <w:rPr>
                <w:sz w:val="15"/>
              </w:rPr>
              <w:t>Recommended</w:t>
            </w:r>
          </w:p>
        </w:tc>
      </w:tr>
      <w:tr>
        <w:trPr>
          <w:cantSplit/>
        </w:trPr>
        <w:tc>
          <w:tcPr>
            <w:tcW w:type="dxa" w:w="2376"/>
            <w:tcMar>
              <w:top w:w="58" w:type="dxa"/>
              <w:start w:w="65" w:type="dxa"/>
              <w:bottom w:w="58" w:type="dxa"/>
              <w:end w:w="65" w:type="dxa"/>
            </w:tcMar>
            <w:vAlign w:val="center"/>
          </w:tcPr>
          <w:p>
            <w:pPr>
              <w:pStyle w:val="MMTableText"/>
              <w:spacing w:after="0"/>
            </w:pPr>
            <w:r>
              <w:rPr>
                <w:sz w:val="15"/>
              </w:rPr>
              <w:t>created_at / updated_at</w:t>
            </w:r>
          </w:p>
        </w:tc>
        <w:tc>
          <w:tcPr>
            <w:tcW w:type="dxa" w:w="4608"/>
            <w:tcMar>
              <w:top w:w="58" w:type="dxa"/>
              <w:start w:w="65" w:type="dxa"/>
              <w:bottom w:w="58" w:type="dxa"/>
              <w:end w:w="65" w:type="dxa"/>
            </w:tcMar>
            <w:vAlign w:val="center"/>
          </w:tcPr>
          <w:p>
            <w:pPr>
              <w:pStyle w:val="MMTableText"/>
              <w:spacing w:after="0"/>
            </w:pPr>
            <w:r>
              <w:rPr>
                <w:sz w:val="15"/>
              </w:rPr>
              <w:t>Audit timestamps</w:t>
            </w:r>
          </w:p>
        </w:tc>
        <w:tc>
          <w:tcPr>
            <w:tcW w:type="dxa" w:w="3096"/>
            <w:tcMar>
              <w:top w:w="58" w:type="dxa"/>
              <w:start w:w="65" w:type="dxa"/>
              <w:bottom w:w="58" w:type="dxa"/>
              <w:end w:w="65" w:type="dxa"/>
            </w:tcMar>
            <w:vAlign w:val="center"/>
          </w:tcPr>
          <w:p>
            <w:pPr>
              <w:pStyle w:val="MMTableText"/>
              <w:spacing w:after="0"/>
            </w:pPr>
            <w:r>
              <w:rPr>
                <w:sz w:val="15"/>
              </w:rPr>
              <w:t>Required</w:t>
            </w:r>
          </w:p>
        </w:tc>
      </w:tr>
    </w:tbl>
    <w:p>
      <w:pPr>
        <w:spacing w:after="0"/>
      </w:pPr>
    </w:p>
    <w:p>
      <w:pPr>
        <w:pStyle w:val="Heading2"/>
      </w:pPr>
      <w:r>
        <w:t>12.3 Bucket model</w:t>
      </w:r>
    </w:p>
    <w:p>
      <w:pPr>
        <w:pStyle w:val="ListBullet"/>
      </w:pPr>
      <w:r>
        <w:t>parent_id is null for a parent bucket and references a parent for a sub-bucket.</w:t>
      </w:r>
    </w:p>
    <w:p>
      <w:pPr>
        <w:pStyle w:val="ListBullet"/>
      </w:pPr>
      <w:r>
        <w:t>A validation constraint rejects a child that itself has children.</w:t>
      </w:r>
    </w:p>
    <w:p>
      <w:pPr>
        <w:pStyle w:val="ListBullet"/>
      </w:pPr>
      <w:r>
        <w:t>A bucket has stable ID, user-visible name, order, group, target policy, protected flag, and active/archive state.</w:t>
      </w:r>
    </w:p>
    <w:p>
      <w:pPr>
        <w:pStyle w:val="ListBullet"/>
      </w:pPr>
      <w:r>
        <w:t>Renaming changes the display name only; historical allocations continue to reference the same ID.</w:t>
      </w:r>
    </w:p>
    <w:p>
      <w:pPr>
        <w:pStyle w:val="ListBullet"/>
      </w:pPr>
      <w:r>
        <w:t>Merging creates an audit event and re-points allocations and future rule actions after preview confirmation.</w:t>
      </w:r>
    </w:p>
    <w:p>
      <w:pPr>
        <w:pStyle w:val="Heading2"/>
      </w:pPr>
      <w:r>
        <w:t>12.4 Claim status model</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2016"/>
            <w:shd w:fill="10261C"/>
            <w:tcMar>
              <w:top w:w="70" w:type="dxa"/>
              <w:start w:w="70" w:type="dxa"/>
              <w:bottom w:w="70" w:type="dxa"/>
              <w:end w:w="70" w:type="dxa"/>
            </w:tcMar>
            <w:vAlign w:val="center"/>
          </w:tcPr>
          <w:p>
            <w:pPr>
              <w:spacing w:after="0"/>
            </w:pPr>
            <w:r>
              <w:rPr>
                <w:b/>
                <w:color w:val="FFFFFF"/>
                <w:sz w:val="17"/>
              </w:rPr>
              <w:t>Status</w:t>
            </w:r>
          </w:p>
        </w:tc>
        <w:tc>
          <w:tcPr>
            <w:tcW w:type="dxa" w:w="8064"/>
            <w:shd w:fill="10261C"/>
            <w:tcMar>
              <w:top w:w="70" w:type="dxa"/>
              <w:start w:w="70" w:type="dxa"/>
              <w:bottom w:w="70" w:type="dxa"/>
              <w:end w:w="70" w:type="dxa"/>
            </w:tcMar>
            <w:vAlign w:val="center"/>
          </w:tcPr>
          <w:p>
            <w:pPr>
              <w:spacing w:after="0"/>
            </w:pPr>
            <w:r>
              <w:rPr>
                <w:b/>
                <w:color w:val="FFFFFF"/>
                <w:sz w:val="17"/>
              </w:rPr>
              <w:t>Definition</w:t>
            </w:r>
          </w:p>
        </w:tc>
      </w:tr>
      <w:tr>
        <w:trPr>
          <w:cantSplit/>
        </w:trPr>
        <w:tc>
          <w:tcPr>
            <w:tcW w:type="dxa" w:w="2016"/>
            <w:tcMar>
              <w:top w:w="58" w:type="dxa"/>
              <w:start w:w="65" w:type="dxa"/>
              <w:bottom w:w="58" w:type="dxa"/>
              <w:end w:w="65" w:type="dxa"/>
            </w:tcMar>
            <w:shd w:fill="F8FAF9"/>
            <w:vAlign w:val="center"/>
          </w:tcPr>
          <w:p>
            <w:pPr>
              <w:pStyle w:val="MMTableText"/>
              <w:spacing w:after="0"/>
            </w:pPr>
            <w:r>
              <w:rPr>
                <w:sz w:val="17"/>
              </w:rPr>
              <w:t>open</w:t>
            </w:r>
          </w:p>
        </w:tc>
        <w:tc>
          <w:tcPr>
            <w:tcW w:type="dxa" w:w="8064"/>
            <w:tcMar>
              <w:top w:w="58" w:type="dxa"/>
              <w:start w:w="65" w:type="dxa"/>
              <w:bottom w:w="58" w:type="dxa"/>
              <w:end w:w="65" w:type="dxa"/>
            </w:tcMar>
            <w:shd w:fill="F8FAF9"/>
            <w:vAlign w:val="center"/>
          </w:tcPr>
          <w:p>
            <w:pPr>
              <w:pStyle w:val="MMTableText"/>
              <w:spacing w:after="0"/>
            </w:pPr>
            <w:r>
              <w:rPr>
                <w:sz w:val="17"/>
              </w:rPr>
              <w:t>No repayment linked or less than expected amount received.</w:t>
            </w:r>
          </w:p>
        </w:tc>
      </w:tr>
      <w:tr>
        <w:trPr>
          <w:cantSplit/>
        </w:trPr>
        <w:tc>
          <w:tcPr>
            <w:tcW w:type="dxa" w:w="2016"/>
            <w:tcMar>
              <w:top w:w="58" w:type="dxa"/>
              <w:start w:w="65" w:type="dxa"/>
              <w:bottom w:w="58" w:type="dxa"/>
              <w:end w:w="65" w:type="dxa"/>
            </w:tcMar>
            <w:vAlign w:val="center"/>
          </w:tcPr>
          <w:p>
            <w:pPr>
              <w:pStyle w:val="MMTableText"/>
              <w:spacing w:after="0"/>
            </w:pPr>
            <w:r>
              <w:rPr>
                <w:sz w:val="17"/>
              </w:rPr>
              <w:t>partial</w:t>
            </w:r>
          </w:p>
        </w:tc>
        <w:tc>
          <w:tcPr>
            <w:tcW w:type="dxa" w:w="8064"/>
            <w:tcMar>
              <w:top w:w="58" w:type="dxa"/>
              <w:start w:w="65" w:type="dxa"/>
              <w:bottom w:w="58" w:type="dxa"/>
              <w:end w:w="65" w:type="dxa"/>
            </w:tcMar>
            <w:vAlign w:val="center"/>
          </w:tcPr>
          <w:p>
            <w:pPr>
              <w:pStyle w:val="MMTableText"/>
              <w:spacing w:after="0"/>
            </w:pPr>
            <w:r>
              <w:rPr>
                <w:sz w:val="17"/>
              </w:rPr>
              <w:t>Some repayment linked, remaining amount is greater than zero.</w:t>
            </w:r>
          </w:p>
        </w:tc>
      </w:tr>
      <w:tr>
        <w:trPr>
          <w:cantSplit/>
        </w:trPr>
        <w:tc>
          <w:tcPr>
            <w:tcW w:type="dxa" w:w="2016"/>
            <w:tcMar>
              <w:top w:w="58" w:type="dxa"/>
              <w:start w:w="65" w:type="dxa"/>
              <w:bottom w:w="58" w:type="dxa"/>
              <w:end w:w="65" w:type="dxa"/>
            </w:tcMar>
            <w:shd w:fill="F8FAF9"/>
            <w:vAlign w:val="center"/>
          </w:tcPr>
          <w:p>
            <w:pPr>
              <w:pStyle w:val="MMTableText"/>
              <w:spacing w:after="0"/>
            </w:pPr>
            <w:r>
              <w:rPr>
                <w:sz w:val="17"/>
              </w:rPr>
              <w:t>settled</w:t>
            </w:r>
          </w:p>
        </w:tc>
        <w:tc>
          <w:tcPr>
            <w:tcW w:type="dxa" w:w="8064"/>
            <w:tcMar>
              <w:top w:w="58" w:type="dxa"/>
              <w:start w:w="65" w:type="dxa"/>
              <w:bottom w:w="58" w:type="dxa"/>
              <w:end w:w="65" w:type="dxa"/>
            </w:tcMar>
            <w:shd w:fill="F8FAF9"/>
            <w:vAlign w:val="center"/>
          </w:tcPr>
          <w:p>
            <w:pPr>
              <w:pStyle w:val="MMTableText"/>
              <w:spacing w:after="0"/>
            </w:pPr>
            <w:r>
              <w:rPr>
                <w:sz w:val="17"/>
              </w:rPr>
              <w:t>Linked repayments and adjustments satisfy expected amount.</w:t>
            </w:r>
          </w:p>
        </w:tc>
      </w:tr>
      <w:tr>
        <w:trPr>
          <w:cantSplit/>
        </w:trPr>
        <w:tc>
          <w:tcPr>
            <w:tcW w:type="dxa" w:w="2016"/>
            <w:tcMar>
              <w:top w:w="58" w:type="dxa"/>
              <w:start w:w="65" w:type="dxa"/>
              <w:bottom w:w="58" w:type="dxa"/>
              <w:end w:w="65" w:type="dxa"/>
            </w:tcMar>
            <w:vAlign w:val="center"/>
          </w:tcPr>
          <w:p>
            <w:pPr>
              <w:pStyle w:val="MMTableText"/>
              <w:spacing w:after="0"/>
            </w:pPr>
            <w:r>
              <w:rPr>
                <w:sz w:val="17"/>
              </w:rPr>
              <w:t>overpaid</w:t>
            </w:r>
          </w:p>
        </w:tc>
        <w:tc>
          <w:tcPr>
            <w:tcW w:type="dxa" w:w="8064"/>
            <w:tcMar>
              <w:top w:w="58" w:type="dxa"/>
              <w:start w:w="65" w:type="dxa"/>
              <w:bottom w:w="58" w:type="dxa"/>
              <w:end w:w="65" w:type="dxa"/>
            </w:tcMar>
            <w:vAlign w:val="center"/>
          </w:tcPr>
          <w:p>
            <w:pPr>
              <w:pStyle w:val="MMTableText"/>
              <w:spacing w:after="0"/>
            </w:pPr>
            <w:r>
              <w:rPr>
                <w:sz w:val="17"/>
              </w:rPr>
              <w:t>Linked inflows exceed expected amount and require allocation or adjustment.</w:t>
            </w:r>
          </w:p>
        </w:tc>
      </w:tr>
      <w:tr>
        <w:trPr>
          <w:cantSplit/>
        </w:trPr>
        <w:tc>
          <w:tcPr>
            <w:tcW w:type="dxa" w:w="2016"/>
            <w:tcMar>
              <w:top w:w="58" w:type="dxa"/>
              <w:start w:w="65" w:type="dxa"/>
              <w:bottom w:w="58" w:type="dxa"/>
              <w:end w:w="65" w:type="dxa"/>
            </w:tcMar>
            <w:shd w:fill="F8FAF9"/>
            <w:vAlign w:val="center"/>
          </w:tcPr>
          <w:p>
            <w:pPr>
              <w:pStyle w:val="MMTableText"/>
              <w:spacing w:after="0"/>
            </w:pPr>
            <w:r>
              <w:rPr>
                <w:sz w:val="17"/>
              </w:rPr>
              <w:t>overdue</w:t>
            </w:r>
          </w:p>
        </w:tc>
        <w:tc>
          <w:tcPr>
            <w:tcW w:type="dxa" w:w="8064"/>
            <w:tcMar>
              <w:top w:w="58" w:type="dxa"/>
              <w:start w:w="65" w:type="dxa"/>
              <w:bottom w:w="58" w:type="dxa"/>
              <w:end w:w="65" w:type="dxa"/>
            </w:tcMar>
            <w:shd w:fill="F8FAF9"/>
            <w:vAlign w:val="center"/>
          </w:tcPr>
          <w:p>
            <w:pPr>
              <w:pStyle w:val="MMTableText"/>
              <w:spacing w:after="0"/>
            </w:pPr>
            <w:r>
              <w:rPr>
                <w:sz w:val="17"/>
              </w:rPr>
              <w:t>Open/partial and due date is in the past.</w:t>
            </w:r>
          </w:p>
        </w:tc>
      </w:tr>
      <w:tr>
        <w:trPr>
          <w:cantSplit/>
        </w:trPr>
        <w:tc>
          <w:tcPr>
            <w:tcW w:type="dxa" w:w="2016"/>
            <w:tcMar>
              <w:top w:w="58" w:type="dxa"/>
              <w:start w:w="65" w:type="dxa"/>
              <w:bottom w:w="58" w:type="dxa"/>
              <w:end w:w="65" w:type="dxa"/>
            </w:tcMar>
            <w:vAlign w:val="center"/>
          </w:tcPr>
          <w:p>
            <w:pPr>
              <w:pStyle w:val="MMTableText"/>
              <w:spacing w:after="0"/>
            </w:pPr>
            <w:r>
              <w:rPr>
                <w:sz w:val="17"/>
              </w:rPr>
              <w:t>written_off</w:t>
            </w:r>
          </w:p>
        </w:tc>
        <w:tc>
          <w:tcPr>
            <w:tcW w:type="dxa" w:w="8064"/>
            <w:tcMar>
              <w:top w:w="58" w:type="dxa"/>
              <w:start w:w="65" w:type="dxa"/>
              <w:bottom w:w="58" w:type="dxa"/>
              <w:end w:w="65" w:type="dxa"/>
            </w:tcMar>
            <w:vAlign w:val="center"/>
          </w:tcPr>
          <w:p>
            <w:pPr>
              <w:pStyle w:val="MMTableText"/>
              <w:spacing w:after="0"/>
            </w:pPr>
            <w:r>
              <w:rPr>
                <w:sz w:val="17"/>
              </w:rPr>
              <w:t>User has accepted the remaining amount as personal responsibility.</w:t>
            </w:r>
          </w:p>
        </w:tc>
      </w:tr>
      <w:tr>
        <w:trPr>
          <w:cantSplit/>
        </w:trPr>
        <w:tc>
          <w:tcPr>
            <w:tcW w:type="dxa" w:w="2016"/>
            <w:tcMar>
              <w:top w:w="58" w:type="dxa"/>
              <w:start w:w="65" w:type="dxa"/>
              <w:bottom w:w="58" w:type="dxa"/>
              <w:end w:w="65" w:type="dxa"/>
            </w:tcMar>
            <w:shd w:fill="F8FAF9"/>
            <w:vAlign w:val="center"/>
          </w:tcPr>
          <w:p>
            <w:pPr>
              <w:pStyle w:val="MMTableText"/>
              <w:spacing w:after="0"/>
            </w:pPr>
            <w:r>
              <w:rPr>
                <w:sz w:val="17"/>
              </w:rPr>
              <w:t>cancelled</w:t>
            </w:r>
          </w:p>
        </w:tc>
        <w:tc>
          <w:tcPr>
            <w:tcW w:type="dxa" w:w="8064"/>
            <w:tcMar>
              <w:top w:w="58" w:type="dxa"/>
              <w:start w:w="65" w:type="dxa"/>
              <w:bottom w:w="58" w:type="dxa"/>
              <w:end w:w="65" w:type="dxa"/>
            </w:tcMar>
            <w:shd w:fill="F8FAF9"/>
            <w:vAlign w:val="center"/>
          </w:tcPr>
          <w:p>
            <w:pPr>
              <w:pStyle w:val="MMTableText"/>
              <w:spacing w:after="0"/>
            </w:pPr>
            <w:r>
              <w:rPr>
                <w:sz w:val="17"/>
              </w:rPr>
              <w:t>Claim was created in error or no longer expected; reason required.</w:t>
            </w:r>
          </w:p>
        </w:tc>
      </w:tr>
    </w:tbl>
    <w:p>
      <w:pPr>
        <w:spacing w:after="0"/>
      </w:pPr>
    </w:p>
    <w:p>
      <w:pPr>
        <w:pStyle w:val="Heading1"/>
      </w:pPr>
      <w:r>
        <w:t>13. Target Technical Architecture</w:t>
      </w:r>
    </w:p>
    <w:p>
      <w:pPr>
        <w:pStyle w:val="Heading2"/>
      </w:pPr>
      <w:r>
        <w:t>13.1 Current V1 architecture</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EAF5EE"/>
            <w:vAlign w:val="center"/>
          </w:tcPr>
          <w:p>
            <w:pPr>
              <w:spacing w:after="0"/>
            </w:pPr>
            <w:r>
              <w:rPr>
                <w:b/>
                <w:color w:val="287A4D"/>
                <w:sz w:val="16"/>
              </w:rPr>
              <w:t>IMPLEMENTED IN V1</w:t>
            </w:r>
          </w:p>
        </w:tc>
        <w:tc>
          <w:tcPr>
            <w:tcW w:type="dxa" w:w="1944"/>
            <w:tcMar>
              <w:top w:w="45" w:type="dxa"/>
              <w:start w:w="75" w:type="dxa"/>
              <w:bottom w:w="45" w:type="dxa"/>
              <w:end w:w="75" w:type="dxa"/>
            </w:tcMar>
            <w:shd w:fill="EAF5EE"/>
            <w:vAlign w:val="center"/>
          </w:tcPr>
          <w:p>
            <w:pPr>
              <w:spacing w:after="0"/>
            </w:pPr>
            <w:r>
              <w:rPr>
                <w:b/>
                <w:color w:val="287A4D"/>
                <w:sz w:val="16"/>
              </w:rPr>
              <w:t>V1</w:t>
            </w:r>
          </w:p>
        </w:tc>
        <w:tc>
          <w:tcPr>
            <w:tcW w:type="dxa" w:w="5112"/>
            <w:tcMar>
              <w:top w:w="45" w:type="dxa"/>
              <w:start w:w="75" w:type="dxa"/>
              <w:bottom w:w="45" w:type="dxa"/>
              <w:end w:w="75" w:type="dxa"/>
            </w:tcMar>
            <w:shd w:fill="EAF5EE"/>
            <w:vAlign w:val="center"/>
          </w:tcPr>
          <w:p>
            <w:pPr>
              <w:spacing w:after="0"/>
            </w:pPr>
            <w:r>
              <w:rPr>
                <w:b/>
                <w:color w:val="287A4D"/>
                <w:sz w:val="16"/>
              </w:rPr>
              <w:t>Owner: Engineering</w:t>
            </w:r>
          </w:p>
        </w:tc>
      </w:tr>
    </w:tbl>
    <w:p>
      <w:pPr>
        <w:pStyle w:val="Heading4"/>
      </w:pPr>
      <w:r>
        <w:t>Current runtime flow</w:t>
      </w:r>
    </w:p>
    <w:p>
      <w:pPr>
        <w:ind w:left="216"/>
      </w:pPr>
      <w:r>
        <w:rPr>
          <w:b/>
          <w:color w:val="287A4D"/>
        </w:rPr>
        <w:t xml:space="preserve">1. </w:t>
      </w:r>
      <w:r>
        <w:t>A local start script serves the browser app over localhost.</w:t>
      </w:r>
    </w:p>
    <w:p>
      <w:pPr>
        <w:ind w:left="216"/>
      </w:pPr>
      <w:r>
        <w:rPr>
          <w:b/>
          <w:color w:val="287A4D"/>
        </w:rPr>
        <w:t xml:space="preserve">2. </w:t>
      </w:r>
      <w:r>
        <w:t>The browser derives an encryption key from the passphrase.</w:t>
      </w:r>
    </w:p>
    <w:p>
      <w:pPr>
        <w:ind w:left="216"/>
      </w:pPr>
      <w:r>
        <w:rPr>
          <w:b/>
          <w:color w:val="287A4D"/>
        </w:rPr>
        <w:t xml:space="preserve">3. </w:t>
      </w:r>
      <w:r>
        <w:t>One encrypted JSON vault is loaded from localStorage.</w:t>
      </w:r>
    </w:p>
    <w:p>
      <w:pPr>
        <w:ind w:left="216"/>
      </w:pPr>
      <w:r>
        <w:rPr>
          <w:b/>
          <w:color w:val="287A4D"/>
        </w:rPr>
        <w:t xml:space="preserve">4. </w:t>
      </w:r>
      <w:r>
        <w:t>The single-page UI calculates aggregate metrics from the in-memory state.</w:t>
      </w:r>
    </w:p>
    <w:p>
      <w:pPr>
        <w:ind w:left="216"/>
      </w:pPr>
      <w:r>
        <w:rPr>
          <w:b/>
          <w:color w:val="287A4D"/>
        </w:rPr>
        <w:t xml:space="preserve">5. </w:t>
      </w:r>
      <w:r>
        <w:t>Each change re-encrypts and rewrites the entire vault.</w:t>
      </w:r>
    </w:p>
    <w:p>
      <w:pPr>
        <w:pStyle w:val="Heading2"/>
      </w:pPr>
      <w:r>
        <w:t>13.2 Recommended V2 architecture</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2ECF7"/>
            <w:vAlign w:val="center"/>
          </w:tcPr>
          <w:p>
            <w:pPr>
              <w:spacing w:after="0"/>
            </w:pPr>
            <w:r>
              <w:rPr>
                <w:b/>
                <w:color w:val="6B4C8A"/>
                <w:sz w:val="16"/>
              </w:rPr>
              <w:t>DECISION REQUIRED</w:t>
            </w:r>
          </w:p>
        </w:tc>
        <w:tc>
          <w:tcPr>
            <w:tcW w:type="dxa" w:w="1944"/>
            <w:tcMar>
              <w:top w:w="45" w:type="dxa"/>
              <w:start w:w="75" w:type="dxa"/>
              <w:bottom w:w="45" w:type="dxa"/>
              <w:end w:w="75" w:type="dxa"/>
            </w:tcMar>
            <w:shd w:fill="F2ECF7"/>
            <w:vAlign w:val="center"/>
          </w:tcPr>
          <w:p>
            <w:pPr>
              <w:spacing w:after="0"/>
            </w:pPr>
            <w:r>
              <w:rPr>
                <w:b/>
                <w:color w:val="6B4C8A"/>
                <w:sz w:val="16"/>
              </w:rPr>
              <w:t>V2</w:t>
            </w:r>
          </w:p>
        </w:tc>
        <w:tc>
          <w:tcPr>
            <w:tcW w:type="dxa" w:w="5112"/>
            <w:tcMar>
              <w:top w:w="45" w:type="dxa"/>
              <w:start w:w="75" w:type="dxa"/>
              <w:bottom w:w="45" w:type="dxa"/>
              <w:end w:w="75" w:type="dxa"/>
            </w:tcMar>
            <w:shd w:fill="F2ECF7"/>
            <w:vAlign w:val="center"/>
          </w:tcPr>
          <w:p>
            <w:pPr>
              <w:spacing w:after="0"/>
            </w:pPr>
            <w:r>
              <w:rPr>
                <w:b/>
                <w:color w:val="6B4C8A"/>
                <w:sz w:val="16"/>
              </w:rPr>
              <w:t>Owner: Engineering | Recommended stack; approve before engineering kickoff</w:t>
            </w:r>
          </w:p>
        </w:tc>
      </w:tr>
    </w:tbl>
    <w:p>
      <w:r>
        <w:t>The recommended architecture is a local web application with a modular TypeScript frontend and a local Python service. This creates a safe boundary for future Plaid secrets and supports a real database, migrations, transaction reconciliation, and testable APIs. The existing V1 code should be treated as a migration source and visual reference rather than the permanent application foundation.</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3389"/>
        <w:gridCol w:w="3389"/>
        <w:gridCol w:w="3389"/>
      </w:tblGrid>
      <w:tr>
        <w:trPr>
          <w:tblHeader w:val="true"/>
          <w:cantSplit/>
        </w:trPr>
        <w:tc>
          <w:tcPr>
            <w:tcW w:type="dxa" w:w="1728"/>
            <w:shd w:fill="10261C"/>
            <w:tcMar>
              <w:top w:w="70" w:type="dxa"/>
              <w:start w:w="70" w:type="dxa"/>
              <w:bottom w:w="70" w:type="dxa"/>
              <w:end w:w="70" w:type="dxa"/>
            </w:tcMar>
            <w:vAlign w:val="center"/>
          </w:tcPr>
          <w:p>
            <w:pPr>
              <w:spacing w:after="0"/>
            </w:pPr>
            <w:r>
              <w:rPr>
                <w:b/>
                <w:color w:val="FFFFFF"/>
                <w:sz w:val="16"/>
              </w:rPr>
              <w:t>Layer</w:t>
            </w:r>
          </w:p>
        </w:tc>
        <w:tc>
          <w:tcPr>
            <w:tcW w:type="dxa" w:w="3312"/>
            <w:shd w:fill="10261C"/>
            <w:tcMar>
              <w:top w:w="70" w:type="dxa"/>
              <w:start w:w="70" w:type="dxa"/>
              <w:bottom w:w="70" w:type="dxa"/>
              <w:end w:w="70" w:type="dxa"/>
            </w:tcMar>
            <w:vAlign w:val="center"/>
          </w:tcPr>
          <w:p>
            <w:pPr>
              <w:spacing w:after="0"/>
            </w:pPr>
            <w:r>
              <w:rPr>
                <w:b/>
                <w:color w:val="FFFFFF"/>
                <w:sz w:val="16"/>
              </w:rPr>
              <w:t>Recommendation</w:t>
            </w:r>
          </w:p>
        </w:tc>
        <w:tc>
          <w:tcPr>
            <w:tcW w:type="dxa" w:w="5040"/>
            <w:shd w:fill="10261C"/>
            <w:tcMar>
              <w:top w:w="70" w:type="dxa"/>
              <w:start w:w="70" w:type="dxa"/>
              <w:bottom w:w="70" w:type="dxa"/>
              <w:end w:w="70" w:type="dxa"/>
            </w:tcMar>
            <w:vAlign w:val="center"/>
          </w:tcPr>
          <w:p>
            <w:pPr>
              <w:spacing w:after="0"/>
            </w:pPr>
            <w:r>
              <w:rPr>
                <w:b/>
                <w:color w:val="FFFFFF"/>
                <w:sz w:val="16"/>
              </w:rPr>
              <w:t>Responsibility</w:t>
            </w:r>
          </w:p>
        </w:tc>
      </w:tr>
      <w:tr>
        <w:trPr>
          <w:cantSplit/>
        </w:trPr>
        <w:tc>
          <w:tcPr>
            <w:tcW w:type="dxa" w:w="1728"/>
            <w:tcMar>
              <w:top w:w="58" w:type="dxa"/>
              <w:start w:w="65" w:type="dxa"/>
              <w:bottom w:w="58" w:type="dxa"/>
              <w:end w:w="65" w:type="dxa"/>
            </w:tcMar>
            <w:shd w:fill="F8FAF9"/>
            <w:vAlign w:val="center"/>
          </w:tcPr>
          <w:p>
            <w:pPr>
              <w:pStyle w:val="MMTableText"/>
              <w:spacing w:after="0"/>
            </w:pPr>
            <w:r>
              <w:rPr>
                <w:sz w:val="16"/>
              </w:rPr>
              <w:t>User interface</w:t>
            </w:r>
          </w:p>
        </w:tc>
        <w:tc>
          <w:tcPr>
            <w:tcW w:type="dxa" w:w="3312"/>
            <w:tcMar>
              <w:top w:w="58" w:type="dxa"/>
              <w:start w:w="65" w:type="dxa"/>
              <w:bottom w:w="58" w:type="dxa"/>
              <w:end w:w="65" w:type="dxa"/>
            </w:tcMar>
            <w:shd w:fill="F8FAF9"/>
            <w:vAlign w:val="center"/>
          </w:tcPr>
          <w:p>
            <w:pPr>
              <w:pStyle w:val="MMTableText"/>
              <w:spacing w:after="0"/>
            </w:pPr>
            <w:r>
              <w:rPr>
                <w:sz w:val="16"/>
              </w:rPr>
              <w:t>React + TypeScript, or equivalent typed component framework</w:t>
            </w:r>
          </w:p>
        </w:tc>
        <w:tc>
          <w:tcPr>
            <w:tcW w:type="dxa" w:w="5040"/>
            <w:tcMar>
              <w:top w:w="58" w:type="dxa"/>
              <w:start w:w="65" w:type="dxa"/>
              <w:bottom w:w="58" w:type="dxa"/>
              <w:end w:w="65" w:type="dxa"/>
            </w:tcMar>
            <w:shd w:fill="F8FAF9"/>
            <w:vAlign w:val="center"/>
          </w:tcPr>
          <w:p>
            <w:pPr>
              <w:pStyle w:val="MMTableText"/>
              <w:spacing w:after="0"/>
            </w:pPr>
            <w:r>
              <w:rPr>
                <w:sz w:val="16"/>
              </w:rPr>
              <w:t>Navigation, review workflows, forms, drill-down, accessibility, local display state.</w:t>
            </w:r>
          </w:p>
        </w:tc>
      </w:tr>
      <w:tr>
        <w:trPr>
          <w:cantSplit/>
        </w:trPr>
        <w:tc>
          <w:tcPr>
            <w:tcW w:type="dxa" w:w="1728"/>
            <w:tcMar>
              <w:top w:w="58" w:type="dxa"/>
              <w:start w:w="65" w:type="dxa"/>
              <w:bottom w:w="58" w:type="dxa"/>
              <w:end w:w="65" w:type="dxa"/>
            </w:tcMar>
            <w:vAlign w:val="center"/>
          </w:tcPr>
          <w:p>
            <w:pPr>
              <w:pStyle w:val="MMTableText"/>
              <w:spacing w:after="0"/>
            </w:pPr>
            <w:r>
              <w:rPr>
                <w:sz w:val="16"/>
              </w:rPr>
              <w:t>Local service</w:t>
            </w:r>
          </w:p>
        </w:tc>
        <w:tc>
          <w:tcPr>
            <w:tcW w:type="dxa" w:w="3312"/>
            <w:tcMar>
              <w:top w:w="58" w:type="dxa"/>
              <w:start w:w="65" w:type="dxa"/>
              <w:bottom w:w="58" w:type="dxa"/>
              <w:end w:w="65" w:type="dxa"/>
            </w:tcMar>
            <w:vAlign w:val="center"/>
          </w:tcPr>
          <w:p>
            <w:pPr>
              <w:pStyle w:val="MMTableText"/>
              <w:spacing w:after="0"/>
            </w:pPr>
            <w:r>
              <w:rPr>
                <w:sz w:val="16"/>
              </w:rPr>
              <w:t>FastAPI or equivalent local-only service</w:t>
            </w:r>
          </w:p>
        </w:tc>
        <w:tc>
          <w:tcPr>
            <w:tcW w:type="dxa" w:w="5040"/>
            <w:tcMar>
              <w:top w:w="58" w:type="dxa"/>
              <w:start w:w="65" w:type="dxa"/>
              <w:bottom w:w="58" w:type="dxa"/>
              <w:end w:w="65" w:type="dxa"/>
            </w:tcMar>
            <w:vAlign w:val="center"/>
          </w:tcPr>
          <w:p>
            <w:pPr>
              <w:pStyle w:val="MMTableText"/>
              <w:spacing w:after="0"/>
            </w:pPr>
            <w:r>
              <w:rPr>
                <w:sz w:val="16"/>
              </w:rPr>
              <w:t>Domain rules, import normalization, database access, encryption orchestration, migrations, future Plaid calls.</w:t>
            </w:r>
          </w:p>
        </w:tc>
      </w:tr>
      <w:tr>
        <w:trPr>
          <w:cantSplit/>
        </w:trPr>
        <w:tc>
          <w:tcPr>
            <w:tcW w:type="dxa" w:w="1728"/>
            <w:tcMar>
              <w:top w:w="58" w:type="dxa"/>
              <w:start w:w="65" w:type="dxa"/>
              <w:bottom w:w="58" w:type="dxa"/>
              <w:end w:w="65" w:type="dxa"/>
            </w:tcMar>
            <w:shd w:fill="F8FAF9"/>
            <w:vAlign w:val="center"/>
          </w:tcPr>
          <w:p>
            <w:pPr>
              <w:pStyle w:val="MMTableText"/>
              <w:spacing w:after="0"/>
            </w:pPr>
            <w:r>
              <w:rPr>
                <w:sz w:val="16"/>
              </w:rPr>
              <w:t>Database</w:t>
            </w:r>
          </w:p>
        </w:tc>
        <w:tc>
          <w:tcPr>
            <w:tcW w:type="dxa" w:w="3312"/>
            <w:tcMar>
              <w:top w:w="58" w:type="dxa"/>
              <w:start w:w="65" w:type="dxa"/>
              <w:bottom w:w="58" w:type="dxa"/>
              <w:end w:w="65" w:type="dxa"/>
            </w:tcMar>
            <w:shd w:fill="F8FAF9"/>
            <w:vAlign w:val="center"/>
          </w:tcPr>
          <w:p>
            <w:pPr>
              <w:pStyle w:val="MMTableText"/>
              <w:spacing w:after="0"/>
            </w:pPr>
            <w:r>
              <w:rPr>
                <w:sz w:val="16"/>
              </w:rPr>
              <w:t>SQLite with versioned migrations and an approved encryption design</w:t>
            </w:r>
          </w:p>
        </w:tc>
        <w:tc>
          <w:tcPr>
            <w:tcW w:type="dxa" w:w="5040"/>
            <w:tcMar>
              <w:top w:w="58" w:type="dxa"/>
              <w:start w:w="65" w:type="dxa"/>
              <w:bottom w:w="58" w:type="dxa"/>
              <w:end w:w="65" w:type="dxa"/>
            </w:tcMar>
            <w:shd w:fill="F8FAF9"/>
            <w:vAlign w:val="center"/>
          </w:tcPr>
          <w:p>
            <w:pPr>
              <w:pStyle w:val="MMTableText"/>
              <w:spacing w:after="0"/>
            </w:pPr>
            <w:r>
              <w:rPr>
                <w:sz w:val="16"/>
              </w:rPr>
              <w:t>Accounts, transactions, allocations, claims, rules, plans, audit history.</w:t>
            </w:r>
          </w:p>
        </w:tc>
      </w:tr>
      <w:tr>
        <w:trPr>
          <w:cantSplit/>
        </w:trPr>
        <w:tc>
          <w:tcPr>
            <w:tcW w:type="dxa" w:w="1728"/>
            <w:tcMar>
              <w:top w:w="58" w:type="dxa"/>
              <w:start w:w="65" w:type="dxa"/>
              <w:bottom w:w="58" w:type="dxa"/>
              <w:end w:w="65" w:type="dxa"/>
            </w:tcMar>
            <w:vAlign w:val="center"/>
          </w:tcPr>
          <w:p>
            <w:pPr>
              <w:pStyle w:val="MMTableText"/>
              <w:spacing w:after="0"/>
            </w:pPr>
            <w:r>
              <w:rPr>
                <w:sz w:val="16"/>
              </w:rPr>
              <w:t>Secrets</w:t>
            </w:r>
          </w:p>
        </w:tc>
        <w:tc>
          <w:tcPr>
            <w:tcW w:type="dxa" w:w="3312"/>
            <w:tcMar>
              <w:top w:w="58" w:type="dxa"/>
              <w:start w:w="65" w:type="dxa"/>
              <w:bottom w:w="58" w:type="dxa"/>
              <w:end w:w="65" w:type="dxa"/>
            </w:tcMar>
            <w:vAlign w:val="center"/>
          </w:tcPr>
          <w:p>
            <w:pPr>
              <w:pStyle w:val="MMTableText"/>
              <w:spacing w:after="0"/>
            </w:pPr>
            <w:r>
              <w:rPr>
                <w:sz w:val="16"/>
              </w:rPr>
              <w:t>Operating-system Keychain/credential store</w:t>
            </w:r>
          </w:p>
        </w:tc>
        <w:tc>
          <w:tcPr>
            <w:tcW w:type="dxa" w:w="5040"/>
            <w:tcMar>
              <w:top w:w="58" w:type="dxa"/>
              <w:start w:w="65" w:type="dxa"/>
              <w:bottom w:w="58" w:type="dxa"/>
              <w:end w:w="65" w:type="dxa"/>
            </w:tcMar>
            <w:vAlign w:val="center"/>
          </w:tcPr>
          <w:p>
            <w:pPr>
              <w:pStyle w:val="MMTableText"/>
              <w:spacing w:after="0"/>
            </w:pPr>
            <w:r>
              <w:rPr>
                <w:sz w:val="16"/>
              </w:rPr>
              <w:t>Future Plaid client secret and access tokens; never browser storage.</w:t>
            </w:r>
          </w:p>
        </w:tc>
      </w:tr>
      <w:tr>
        <w:trPr>
          <w:cantSplit/>
        </w:trPr>
        <w:tc>
          <w:tcPr>
            <w:tcW w:type="dxa" w:w="1728"/>
            <w:tcMar>
              <w:top w:w="58" w:type="dxa"/>
              <w:start w:w="65" w:type="dxa"/>
              <w:bottom w:w="58" w:type="dxa"/>
              <w:end w:w="65" w:type="dxa"/>
            </w:tcMar>
            <w:shd w:fill="F8FAF9"/>
            <w:vAlign w:val="center"/>
          </w:tcPr>
          <w:p>
            <w:pPr>
              <w:pStyle w:val="MMTableText"/>
              <w:spacing w:after="0"/>
            </w:pPr>
            <w:r>
              <w:rPr>
                <w:sz w:val="16"/>
              </w:rPr>
              <w:t>Vault key</w:t>
            </w:r>
          </w:p>
        </w:tc>
        <w:tc>
          <w:tcPr>
            <w:tcW w:type="dxa" w:w="3312"/>
            <w:tcMar>
              <w:top w:w="58" w:type="dxa"/>
              <w:start w:w="65" w:type="dxa"/>
              <w:bottom w:w="58" w:type="dxa"/>
              <w:end w:w="65" w:type="dxa"/>
            </w:tcMar>
            <w:shd w:fill="F8FAF9"/>
            <w:vAlign w:val="center"/>
          </w:tcPr>
          <w:p>
            <w:pPr>
              <w:pStyle w:val="MMTableText"/>
              <w:spacing w:after="0"/>
            </w:pPr>
            <w:r>
              <w:rPr>
                <w:sz w:val="16"/>
              </w:rPr>
              <w:t>Passphrase-derived key wrapping a random data-encryption key</w:t>
            </w:r>
          </w:p>
        </w:tc>
        <w:tc>
          <w:tcPr>
            <w:tcW w:type="dxa" w:w="5040"/>
            <w:tcMar>
              <w:top w:w="58" w:type="dxa"/>
              <w:start w:w="65" w:type="dxa"/>
              <w:bottom w:w="58" w:type="dxa"/>
              <w:end w:w="65" w:type="dxa"/>
            </w:tcMar>
            <w:shd w:fill="F8FAF9"/>
            <w:vAlign w:val="center"/>
          </w:tcPr>
          <w:p>
            <w:pPr>
              <w:pStyle w:val="MMTableText"/>
              <w:spacing w:after="0"/>
            </w:pPr>
            <w:r>
              <w:rPr>
                <w:sz w:val="16"/>
              </w:rPr>
              <w:t>Encrypted data at rest and portable encrypted backup.</w:t>
            </w:r>
          </w:p>
        </w:tc>
      </w:tr>
      <w:tr>
        <w:trPr>
          <w:cantSplit/>
        </w:trPr>
        <w:tc>
          <w:tcPr>
            <w:tcW w:type="dxa" w:w="1728"/>
            <w:tcMar>
              <w:top w:w="58" w:type="dxa"/>
              <w:start w:w="65" w:type="dxa"/>
              <w:bottom w:w="58" w:type="dxa"/>
              <w:end w:w="65" w:type="dxa"/>
            </w:tcMar>
            <w:vAlign w:val="center"/>
          </w:tcPr>
          <w:p>
            <w:pPr>
              <w:pStyle w:val="MMTableText"/>
              <w:spacing w:after="0"/>
            </w:pPr>
            <w:r>
              <w:rPr>
                <w:sz w:val="16"/>
              </w:rPr>
              <w:t>Import adapters</w:t>
            </w:r>
          </w:p>
        </w:tc>
        <w:tc>
          <w:tcPr>
            <w:tcW w:type="dxa" w:w="3312"/>
            <w:tcMar>
              <w:top w:w="58" w:type="dxa"/>
              <w:start w:w="65" w:type="dxa"/>
              <w:bottom w:w="58" w:type="dxa"/>
              <w:end w:w="65" w:type="dxa"/>
            </w:tcMar>
            <w:vAlign w:val="center"/>
          </w:tcPr>
          <w:p>
            <w:pPr>
              <w:pStyle w:val="MMTableText"/>
              <w:spacing w:after="0"/>
            </w:pPr>
            <w:r>
              <w:rPr>
                <w:sz w:val="16"/>
              </w:rPr>
              <w:t>CSV first; Plaid later</w:t>
            </w:r>
          </w:p>
        </w:tc>
        <w:tc>
          <w:tcPr>
            <w:tcW w:type="dxa" w:w="5040"/>
            <w:tcMar>
              <w:top w:w="58" w:type="dxa"/>
              <w:start w:w="65" w:type="dxa"/>
              <w:bottom w:w="58" w:type="dxa"/>
              <w:end w:w="65" w:type="dxa"/>
            </w:tcMar>
            <w:vAlign w:val="center"/>
          </w:tcPr>
          <w:p>
            <w:pPr>
              <w:pStyle w:val="MMTableText"/>
              <w:spacing w:after="0"/>
            </w:pPr>
            <w:r>
              <w:rPr>
                <w:sz w:val="16"/>
              </w:rPr>
              <w:t>Translate source records into canonical transaction input.</w:t>
            </w:r>
          </w:p>
        </w:tc>
      </w:tr>
    </w:tbl>
    <w:p>
      <w:pPr>
        <w:spacing w:after="0"/>
      </w:pPr>
    </w:p>
    <w:p>
      <w:pPr>
        <w:pStyle w:val="Heading2"/>
      </w:pPr>
      <w:r>
        <w:t>13.3 Architectural boundaries</w:t>
      </w:r>
    </w:p>
    <w:p>
      <w:pPr>
        <w:pStyle w:val="ListBullet"/>
      </w:pPr>
      <w:r>
        <w:t>UI components do not calculate financial totals independently; they call shared domain services/selectors.</w:t>
      </w:r>
    </w:p>
    <w:p>
      <w:pPr>
        <w:pStyle w:val="ListBullet"/>
      </w:pPr>
      <w:r>
        <w:t>Import adapters cannot write directly to reporting tables; they create or reconcile canonical source records.</w:t>
      </w:r>
    </w:p>
    <w:p>
      <w:pPr>
        <w:pStyle w:val="ListBullet"/>
      </w:pPr>
      <w:r>
        <w:t>Provider metadata and user interpretation are stored in separate fields/tables.</w:t>
      </w:r>
    </w:p>
    <w:p>
      <w:pPr>
        <w:pStyle w:val="ListBullet"/>
      </w:pPr>
      <w:r>
        <w:t>Encryption and secret access are isolated from ordinary UI code.</w:t>
      </w:r>
    </w:p>
    <w:p>
      <w:pPr>
        <w:pStyle w:val="ListBullet"/>
      </w:pPr>
      <w:r>
        <w:t>Reports consume allocations and links, not provider categories.</w:t>
      </w:r>
    </w:p>
    <w:p>
      <w:pPr>
        <w:pStyle w:val="ListBullet"/>
      </w:pPr>
      <w:r>
        <w:t>All writes that affect financial meaning create an audit event.</w:t>
      </w:r>
    </w:p>
    <w:p>
      <w:pPr>
        <w:pStyle w:val="ListBullet"/>
      </w:pPr>
      <w:r>
        <w:t>The local service binds only to localhost and uses anti-CSRF/origin controls.</w:t>
      </w:r>
    </w:p>
    <w:p>
      <w:pPr>
        <w:pStyle w:val="Heading2"/>
      </w:pPr>
      <w:r>
        <w:t>13.4 Suggested module boundaries</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2088"/>
            <w:shd w:fill="10261C"/>
            <w:tcMar>
              <w:top w:w="70" w:type="dxa"/>
              <w:start w:w="70" w:type="dxa"/>
              <w:bottom w:w="70" w:type="dxa"/>
              <w:end w:w="70" w:type="dxa"/>
            </w:tcMar>
            <w:vAlign w:val="center"/>
          </w:tcPr>
          <w:p>
            <w:pPr>
              <w:spacing w:after="0"/>
            </w:pPr>
            <w:r>
              <w:rPr>
                <w:b/>
                <w:color w:val="FFFFFF"/>
                <w:sz w:val="16"/>
              </w:rPr>
              <w:t>Module</w:t>
            </w:r>
          </w:p>
        </w:tc>
        <w:tc>
          <w:tcPr>
            <w:tcW w:type="dxa" w:w="7992"/>
            <w:shd w:fill="10261C"/>
            <w:tcMar>
              <w:top w:w="70" w:type="dxa"/>
              <w:start w:w="70" w:type="dxa"/>
              <w:bottom w:w="70" w:type="dxa"/>
              <w:end w:w="70" w:type="dxa"/>
            </w:tcMar>
            <w:vAlign w:val="center"/>
          </w:tcPr>
          <w:p>
            <w:pPr>
              <w:spacing w:after="0"/>
            </w:pPr>
            <w:r>
              <w:rPr>
                <w:b/>
                <w:color w:val="FFFFFF"/>
                <w:sz w:val="16"/>
              </w:rPr>
              <w:t>Responsibilities</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accounts</w:t>
            </w:r>
          </w:p>
        </w:tc>
        <w:tc>
          <w:tcPr>
            <w:tcW w:type="dxa" w:w="7992"/>
            <w:tcMar>
              <w:top w:w="58" w:type="dxa"/>
              <w:start w:w="65" w:type="dxa"/>
              <w:bottom w:w="58" w:type="dxa"/>
              <w:end w:w="65" w:type="dxa"/>
            </w:tcMar>
            <w:shd w:fill="F8FAF9"/>
            <w:vAlign w:val="center"/>
          </w:tcPr>
          <w:p>
            <w:pPr>
              <w:pStyle w:val="MMTableText"/>
              <w:spacing w:after="0"/>
            </w:pPr>
            <w:r>
              <w:rPr>
                <w:sz w:val="16"/>
              </w:rPr>
              <w:t>Account normalization, friendly names, balances, active state.</w:t>
            </w:r>
          </w:p>
        </w:tc>
      </w:tr>
      <w:tr>
        <w:trPr>
          <w:cantSplit/>
        </w:trPr>
        <w:tc>
          <w:tcPr>
            <w:tcW w:type="dxa" w:w="2088"/>
            <w:tcMar>
              <w:top w:w="58" w:type="dxa"/>
              <w:start w:w="65" w:type="dxa"/>
              <w:bottom w:w="58" w:type="dxa"/>
              <w:end w:w="65" w:type="dxa"/>
            </w:tcMar>
            <w:vAlign w:val="center"/>
          </w:tcPr>
          <w:p>
            <w:pPr>
              <w:pStyle w:val="MMTableText"/>
              <w:spacing w:after="0"/>
            </w:pPr>
            <w:r>
              <w:rPr>
                <w:sz w:val="16"/>
              </w:rPr>
              <w:t>transactions</w:t>
            </w:r>
          </w:p>
        </w:tc>
        <w:tc>
          <w:tcPr>
            <w:tcW w:type="dxa" w:w="7992"/>
            <w:tcMar>
              <w:top w:w="58" w:type="dxa"/>
              <w:start w:w="65" w:type="dxa"/>
              <w:bottom w:w="58" w:type="dxa"/>
              <w:end w:w="65" w:type="dxa"/>
            </w:tcMar>
            <w:vAlign w:val="center"/>
          </w:tcPr>
          <w:p>
            <w:pPr>
              <w:pStyle w:val="MMTableText"/>
              <w:spacing w:after="0"/>
            </w:pPr>
            <w:r>
              <w:rPr>
                <w:sz w:val="16"/>
              </w:rPr>
              <w:t>Canonical records, pending/posted lifecycle, manual entries, raw source preservation.</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review</w:t>
            </w:r>
          </w:p>
        </w:tc>
        <w:tc>
          <w:tcPr>
            <w:tcW w:type="dxa" w:w="7992"/>
            <w:tcMar>
              <w:top w:w="58" w:type="dxa"/>
              <w:start w:w="65" w:type="dxa"/>
              <w:bottom w:w="58" w:type="dxa"/>
              <w:end w:w="65" w:type="dxa"/>
            </w:tcMar>
            <w:shd w:fill="F8FAF9"/>
            <w:vAlign w:val="center"/>
          </w:tcPr>
          <w:p>
            <w:pPr>
              <w:pStyle w:val="MMTableText"/>
              <w:spacing w:after="0"/>
            </w:pPr>
            <w:r>
              <w:rPr>
                <w:sz w:val="16"/>
              </w:rPr>
              <w:t>Queue, classification, confirmation, undo, audit.</w:t>
            </w:r>
          </w:p>
        </w:tc>
      </w:tr>
      <w:tr>
        <w:trPr>
          <w:cantSplit/>
        </w:trPr>
        <w:tc>
          <w:tcPr>
            <w:tcW w:type="dxa" w:w="2088"/>
            <w:tcMar>
              <w:top w:w="58" w:type="dxa"/>
              <w:start w:w="65" w:type="dxa"/>
              <w:bottom w:w="58" w:type="dxa"/>
              <w:end w:w="65" w:type="dxa"/>
            </w:tcMar>
            <w:vAlign w:val="center"/>
          </w:tcPr>
          <w:p>
            <w:pPr>
              <w:pStyle w:val="MMTableText"/>
              <w:spacing w:after="0"/>
            </w:pPr>
            <w:r>
              <w:rPr>
                <w:sz w:val="16"/>
              </w:rPr>
              <w:t>buckets</w:t>
            </w:r>
          </w:p>
        </w:tc>
        <w:tc>
          <w:tcPr>
            <w:tcW w:type="dxa" w:w="7992"/>
            <w:tcMar>
              <w:top w:w="58" w:type="dxa"/>
              <w:start w:w="65" w:type="dxa"/>
              <w:bottom w:w="58" w:type="dxa"/>
              <w:end w:w="65" w:type="dxa"/>
            </w:tcMar>
            <w:vAlign w:val="center"/>
          </w:tcPr>
          <w:p>
            <w:pPr>
              <w:pStyle w:val="MMTableText"/>
              <w:spacing w:after="0"/>
            </w:pPr>
            <w:r>
              <w:rPr>
                <w:sz w:val="16"/>
              </w:rPr>
              <w:t>Hierarchy, targets, order, archive, merge.</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allocations</w:t>
            </w:r>
          </w:p>
        </w:tc>
        <w:tc>
          <w:tcPr>
            <w:tcW w:type="dxa" w:w="7992"/>
            <w:tcMar>
              <w:top w:w="58" w:type="dxa"/>
              <w:start w:w="65" w:type="dxa"/>
              <w:bottom w:w="58" w:type="dxa"/>
              <w:end w:w="65" w:type="dxa"/>
            </w:tcMar>
            <w:shd w:fill="F8FAF9"/>
            <w:vAlign w:val="center"/>
          </w:tcPr>
          <w:p>
            <w:pPr>
              <w:pStyle w:val="MMTableText"/>
              <w:spacing w:after="0"/>
            </w:pPr>
            <w:r>
              <w:rPr>
                <w:sz w:val="16"/>
              </w:rPr>
              <w:t>Split validation, ownership, bucket contribution.</w:t>
            </w:r>
          </w:p>
        </w:tc>
      </w:tr>
      <w:tr>
        <w:trPr>
          <w:cantSplit/>
        </w:trPr>
        <w:tc>
          <w:tcPr>
            <w:tcW w:type="dxa" w:w="2088"/>
            <w:tcMar>
              <w:top w:w="58" w:type="dxa"/>
              <w:start w:w="65" w:type="dxa"/>
              <w:bottom w:w="58" w:type="dxa"/>
              <w:end w:w="65" w:type="dxa"/>
            </w:tcMar>
            <w:vAlign w:val="center"/>
          </w:tcPr>
          <w:p>
            <w:pPr>
              <w:pStyle w:val="MMTableText"/>
              <w:spacing w:after="0"/>
            </w:pPr>
            <w:r>
              <w:rPr>
                <w:sz w:val="16"/>
              </w:rPr>
              <w:t>reimbursements</w:t>
            </w:r>
          </w:p>
        </w:tc>
        <w:tc>
          <w:tcPr>
            <w:tcW w:type="dxa" w:w="7992"/>
            <w:tcMar>
              <w:top w:w="58" w:type="dxa"/>
              <w:start w:w="65" w:type="dxa"/>
              <w:bottom w:w="58" w:type="dxa"/>
              <w:end w:w="65" w:type="dxa"/>
            </w:tcMar>
            <w:vAlign w:val="center"/>
          </w:tcPr>
          <w:p>
            <w:pPr>
              <w:pStyle w:val="MMTableText"/>
              <w:spacing w:after="0"/>
            </w:pPr>
            <w:r>
              <w:rPr>
                <w:sz w:val="16"/>
              </w:rPr>
              <w:t>Claims, repayment matching, write-offs, outstanding balances.</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rules</w:t>
            </w:r>
          </w:p>
        </w:tc>
        <w:tc>
          <w:tcPr>
            <w:tcW w:type="dxa" w:w="7992"/>
            <w:tcMar>
              <w:top w:w="58" w:type="dxa"/>
              <w:start w:w="65" w:type="dxa"/>
              <w:bottom w:w="58" w:type="dxa"/>
              <w:end w:w="65" w:type="dxa"/>
            </w:tcMar>
            <w:shd w:fill="F8FAF9"/>
            <w:vAlign w:val="center"/>
          </w:tcPr>
          <w:p>
            <w:pPr>
              <w:pStyle w:val="MMTableText"/>
              <w:spacing w:after="0"/>
            </w:pPr>
            <w:r>
              <w:rPr>
                <w:sz w:val="16"/>
              </w:rPr>
              <w:t>Merchant normalization, matching, suggestions, precedence.</w:t>
            </w:r>
          </w:p>
        </w:tc>
      </w:tr>
      <w:tr>
        <w:trPr>
          <w:cantSplit/>
        </w:trPr>
        <w:tc>
          <w:tcPr>
            <w:tcW w:type="dxa" w:w="2088"/>
            <w:tcMar>
              <w:top w:w="58" w:type="dxa"/>
              <w:start w:w="65" w:type="dxa"/>
              <w:bottom w:w="58" w:type="dxa"/>
              <w:end w:w="65" w:type="dxa"/>
            </w:tcMar>
            <w:vAlign w:val="center"/>
          </w:tcPr>
          <w:p>
            <w:pPr>
              <w:pStyle w:val="MMTableText"/>
              <w:spacing w:after="0"/>
            </w:pPr>
            <w:r>
              <w:rPr>
                <w:sz w:val="16"/>
              </w:rPr>
              <w:t>imports</w:t>
            </w:r>
          </w:p>
        </w:tc>
        <w:tc>
          <w:tcPr>
            <w:tcW w:type="dxa" w:w="7992"/>
            <w:tcMar>
              <w:top w:w="58" w:type="dxa"/>
              <w:start w:w="65" w:type="dxa"/>
              <w:bottom w:w="58" w:type="dxa"/>
              <w:end w:w="65" w:type="dxa"/>
            </w:tcMar>
            <w:vAlign w:val="center"/>
          </w:tcPr>
          <w:p>
            <w:pPr>
              <w:pStyle w:val="MMTableText"/>
              <w:spacing w:after="0"/>
            </w:pPr>
            <w:r>
              <w:rPr>
                <w:sz w:val="16"/>
              </w:rPr>
              <w:t>CSV mapping, preview, validation, batch commit, duplicate detection.</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reports</w:t>
            </w:r>
          </w:p>
        </w:tc>
        <w:tc>
          <w:tcPr>
            <w:tcW w:type="dxa" w:w="7992"/>
            <w:tcMar>
              <w:top w:w="58" w:type="dxa"/>
              <w:start w:w="65" w:type="dxa"/>
              <w:bottom w:w="58" w:type="dxa"/>
              <w:end w:w="65" w:type="dxa"/>
            </w:tcMar>
            <w:shd w:fill="F8FAF9"/>
            <w:vAlign w:val="center"/>
          </w:tcPr>
          <w:p>
            <w:pPr>
              <w:pStyle w:val="MMTableText"/>
              <w:spacing w:after="0"/>
            </w:pPr>
            <w:r>
              <w:rPr>
                <w:sz w:val="16"/>
              </w:rPr>
              <w:t>Period calculations, gross/net measures, drill-down query definitions.</w:t>
            </w:r>
          </w:p>
        </w:tc>
      </w:tr>
      <w:tr>
        <w:trPr>
          <w:cantSplit/>
        </w:trPr>
        <w:tc>
          <w:tcPr>
            <w:tcW w:type="dxa" w:w="2088"/>
            <w:tcMar>
              <w:top w:w="58" w:type="dxa"/>
              <w:start w:w="65" w:type="dxa"/>
              <w:bottom w:w="58" w:type="dxa"/>
              <w:end w:w="65" w:type="dxa"/>
            </w:tcMar>
            <w:vAlign w:val="center"/>
          </w:tcPr>
          <w:p>
            <w:pPr>
              <w:pStyle w:val="MMTableText"/>
              <w:spacing w:after="0"/>
            </w:pPr>
            <w:r>
              <w:rPr>
                <w:sz w:val="16"/>
              </w:rPr>
              <w:t>goals</w:t>
            </w:r>
          </w:p>
        </w:tc>
        <w:tc>
          <w:tcPr>
            <w:tcW w:type="dxa" w:w="7992"/>
            <w:tcMar>
              <w:top w:w="58" w:type="dxa"/>
              <w:start w:w="65" w:type="dxa"/>
              <w:bottom w:w="58" w:type="dxa"/>
              <w:end w:w="65" w:type="dxa"/>
            </w:tcMar>
            <w:vAlign w:val="center"/>
          </w:tcPr>
          <w:p>
            <w:pPr>
              <w:pStyle w:val="MMTableText"/>
              <w:spacing w:after="0"/>
            </w:pPr>
            <w:r>
              <w:rPr>
                <w:sz w:val="16"/>
              </w:rPr>
              <w:t>Debt priority, emergency savings, travel fund, protected amounts.</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travel</w:t>
            </w:r>
          </w:p>
        </w:tc>
        <w:tc>
          <w:tcPr>
            <w:tcW w:type="dxa" w:w="7992"/>
            <w:tcMar>
              <w:top w:w="58" w:type="dxa"/>
              <w:start w:w="65" w:type="dxa"/>
              <w:bottom w:w="58" w:type="dxa"/>
              <w:end w:w="65" w:type="dxa"/>
            </w:tcMar>
            <w:shd w:fill="F8FAF9"/>
            <w:vAlign w:val="center"/>
          </w:tcPr>
          <w:p>
            <w:pPr>
              <w:pStyle w:val="MMTableText"/>
              <w:spacing w:after="0"/>
            </w:pPr>
            <w:r>
              <w:rPr>
                <w:sz w:val="16"/>
              </w:rPr>
              <w:t>Preferences, visited places, destination ranking, trip budgets.</w:t>
            </w:r>
          </w:p>
        </w:tc>
      </w:tr>
      <w:tr>
        <w:trPr>
          <w:cantSplit/>
        </w:trPr>
        <w:tc>
          <w:tcPr>
            <w:tcW w:type="dxa" w:w="2088"/>
            <w:tcMar>
              <w:top w:w="58" w:type="dxa"/>
              <w:start w:w="65" w:type="dxa"/>
              <w:bottom w:w="58" w:type="dxa"/>
              <w:end w:w="65" w:type="dxa"/>
            </w:tcMar>
            <w:vAlign w:val="center"/>
          </w:tcPr>
          <w:p>
            <w:pPr>
              <w:pStyle w:val="MMTableText"/>
              <w:spacing w:after="0"/>
            </w:pPr>
            <w:r>
              <w:rPr>
                <w:sz w:val="16"/>
              </w:rPr>
              <w:t>vault</w:t>
            </w:r>
          </w:p>
        </w:tc>
        <w:tc>
          <w:tcPr>
            <w:tcW w:type="dxa" w:w="7992"/>
            <w:tcMar>
              <w:top w:w="58" w:type="dxa"/>
              <w:start w:w="65" w:type="dxa"/>
              <w:bottom w:w="58" w:type="dxa"/>
              <w:end w:w="65" w:type="dxa"/>
            </w:tcMar>
            <w:vAlign w:val="center"/>
          </w:tcPr>
          <w:p>
            <w:pPr>
              <w:pStyle w:val="MMTableText"/>
              <w:spacing w:after="0"/>
            </w:pPr>
            <w:r>
              <w:rPr>
                <w:sz w:val="16"/>
              </w:rPr>
              <w:t>Encryption, lock state, backup, restore, passphrase changes.</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sync</w:t>
            </w:r>
          </w:p>
        </w:tc>
        <w:tc>
          <w:tcPr>
            <w:tcW w:type="dxa" w:w="7992"/>
            <w:tcMar>
              <w:top w:w="58" w:type="dxa"/>
              <w:start w:w="65" w:type="dxa"/>
              <w:bottom w:w="58" w:type="dxa"/>
              <w:end w:w="65" w:type="dxa"/>
            </w:tcMar>
            <w:shd w:fill="F8FAF9"/>
            <w:vAlign w:val="center"/>
          </w:tcPr>
          <w:p>
            <w:pPr>
              <w:pStyle w:val="MMTableText"/>
              <w:spacing w:after="0"/>
            </w:pPr>
            <w:r>
              <w:rPr>
                <w:sz w:val="16"/>
              </w:rPr>
              <w:t>Future Plaid Link, cursor sync, retries, repair, health.</w:t>
            </w:r>
          </w:p>
        </w:tc>
      </w:tr>
    </w:tbl>
    <w:p>
      <w:pPr>
        <w:spacing w:after="0"/>
      </w:pPr>
    </w:p>
    <w:p>
      <w:pPr>
        <w:pStyle w:val="Heading2"/>
      </w:pPr>
      <w:r>
        <w:t>13.5 Data storage recommendation</w:t>
      </w:r>
    </w:p>
    <w:p>
      <w:r>
        <w:t>V2 should not continue rewriting one monolithic state object after every edit. Use normalized tables and database transactions. The encryption approach must be tested on supported platforms. Acceptable designs include SQLCipher or application-level encrypted fields/pages with a vault data key; the final choice requires an engineering spike and threat-model review.</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2ECF7"/>
            <w:vAlign w:val="center"/>
          </w:tcPr>
          <w:p>
            <w:pPr>
              <w:spacing w:after="0"/>
            </w:pPr>
            <w:r>
              <w:rPr>
                <w:b/>
                <w:color w:val="6B4C8A"/>
                <w:sz w:val="16"/>
              </w:rPr>
              <w:t>DECISION REQUIRED</w:t>
            </w:r>
          </w:p>
        </w:tc>
        <w:tc>
          <w:tcPr>
            <w:tcW w:type="dxa" w:w="1944"/>
            <w:tcMar>
              <w:top w:w="45" w:type="dxa"/>
              <w:start w:w="75" w:type="dxa"/>
              <w:bottom w:w="45" w:type="dxa"/>
              <w:end w:w="75" w:type="dxa"/>
            </w:tcMar>
            <w:shd w:fill="F2ECF7"/>
            <w:vAlign w:val="center"/>
          </w:tcPr>
          <w:p>
            <w:pPr>
              <w:spacing w:after="0"/>
            </w:pPr>
            <w:r>
              <w:rPr>
                <w:b/>
                <w:color w:val="6B4C8A"/>
                <w:sz w:val="16"/>
              </w:rPr>
              <w:t>V2</w:t>
            </w:r>
          </w:p>
        </w:tc>
        <w:tc>
          <w:tcPr>
            <w:tcW w:type="dxa" w:w="5112"/>
            <w:tcMar>
              <w:top w:w="45" w:type="dxa"/>
              <w:start w:w="75" w:type="dxa"/>
              <w:bottom w:w="45" w:type="dxa"/>
              <w:end w:w="75" w:type="dxa"/>
            </w:tcMar>
            <w:shd w:fill="F2ECF7"/>
            <w:vAlign w:val="center"/>
          </w:tcPr>
          <w:p>
            <w:pPr>
              <w:spacing w:after="0"/>
            </w:pPr>
            <w:r>
              <w:rPr>
                <w:b/>
                <w:color w:val="6B4C8A"/>
                <w:sz w:val="16"/>
              </w:rPr>
              <w:t>Owner: Engineering | SQLCipher versus application-level encrypted SQLite</w:t>
            </w:r>
          </w:p>
        </w:tc>
      </w:tr>
    </w:tbl>
    <w:p>
      <w:pPr>
        <w:pStyle w:val="Heading2"/>
      </w:pPr>
      <w:r>
        <w:t>13.6 Local service lifecycle</w:t>
      </w:r>
    </w:p>
    <w:p>
      <w:pPr>
        <w:pStyle w:val="ListBullet"/>
      </w:pPr>
      <w:r>
        <w:t>Launcher starts the local service on a loopback address and opens the UI.</w:t>
      </w:r>
    </w:p>
    <w:p>
      <w:pPr>
        <w:pStyle w:val="ListBullet"/>
      </w:pPr>
      <w:r>
        <w:t>Service does not expose a public network interface.</w:t>
      </w:r>
    </w:p>
    <w:p>
      <w:pPr>
        <w:pStyle w:val="ListBullet"/>
      </w:pPr>
      <w:r>
        <w:t>Vault remains locked until a valid passphrase unwraps the local data key.</w:t>
      </w:r>
    </w:p>
    <w:p>
      <w:pPr>
        <w:pStyle w:val="ListBullet"/>
      </w:pPr>
      <w:r>
        <w:t>Auto-lock clears in-memory keys and closes database access after inactivity.</w:t>
      </w:r>
    </w:p>
    <w:p>
      <w:pPr>
        <w:pStyle w:val="ListBullet"/>
      </w:pPr>
      <w:r>
        <w:t>Closing the app terminates the local service or leaves it locked according to packaging policy.</w:t>
      </w:r>
    </w:p>
    <w:p>
      <w:pPr>
        <w:pStyle w:val="ListBullet"/>
      </w:pPr>
      <w:r>
        <w:t>A single-instance lock prevents two local processes from writing the same vault simultaneously.</w:t>
      </w:r>
    </w:p>
    <w:p>
      <w:pPr>
        <w:pStyle w:val="Heading1"/>
      </w:pPr>
      <w:r>
        <w:t>14. Security, Privacy, and Local-First Requirements</w:t>
      </w:r>
    </w:p>
    <w:p>
      <w:pPr>
        <w:pStyle w:val="Heading2"/>
      </w:pPr>
      <w:r>
        <w:t>14.1 Security objectives</w:t>
      </w:r>
    </w:p>
    <w:p>
      <w:pPr>
        <w:pStyle w:val="ListBullet"/>
      </w:pPr>
      <w:r>
        <w:t>Protect financial data at rest from casual local inspection and copied storage.</w:t>
      </w:r>
    </w:p>
    <w:p>
      <w:pPr>
        <w:pStyle w:val="ListBullet"/>
      </w:pPr>
      <w:r>
        <w:t>Prevent browser code from storing future Plaid secrets.</w:t>
      </w:r>
    </w:p>
    <w:p>
      <w:pPr>
        <w:pStyle w:val="ListBullet"/>
      </w:pPr>
      <w:r>
        <w:t>Make backup files encrypted by default.</w:t>
      </w:r>
    </w:p>
    <w:p>
      <w:pPr>
        <w:pStyle w:val="ListBullet"/>
      </w:pPr>
      <w:r>
        <w:t>Make destructive recovery and reset behavior explicit.</w:t>
      </w:r>
    </w:p>
    <w:p>
      <w:pPr>
        <w:pStyle w:val="ListBullet"/>
      </w:pPr>
      <w:r>
        <w:t>Limit stored location to state and country unless future scope changes.</w:t>
      </w:r>
    </w:p>
    <w:p>
      <w:pPr>
        <w:pStyle w:val="ListBullet"/>
      </w:pPr>
      <w:r>
        <w:t>Avoid remote analytics, remote fonts, and unnecessary third-party scripts.</w:t>
      </w:r>
    </w:p>
    <w:p>
      <w:pPr>
        <w:pStyle w:val="ListBullet"/>
      </w:pPr>
      <w:r>
        <w:t>Document that an unlocked, compromised operating system or browser remains outside the vault’s protection boundary.</w:t>
      </w:r>
    </w:p>
    <w:p>
      <w:pPr>
        <w:pStyle w:val="Heading2"/>
      </w:pPr>
      <w:r>
        <w:t>14.2 Cryptographic requirements</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2232"/>
            <w:shd w:fill="10261C"/>
            <w:tcMar>
              <w:top w:w="70" w:type="dxa"/>
              <w:start w:w="70" w:type="dxa"/>
              <w:bottom w:w="70" w:type="dxa"/>
              <w:end w:w="70" w:type="dxa"/>
            </w:tcMar>
            <w:vAlign w:val="center"/>
          </w:tcPr>
          <w:p>
            <w:pPr>
              <w:spacing w:after="0"/>
            </w:pPr>
            <w:r>
              <w:rPr>
                <w:b/>
                <w:color w:val="FFFFFF"/>
                <w:sz w:val="16"/>
              </w:rPr>
              <w:t>Requirement</w:t>
            </w:r>
          </w:p>
        </w:tc>
        <w:tc>
          <w:tcPr>
            <w:tcW w:type="dxa" w:w="7848"/>
            <w:shd w:fill="10261C"/>
            <w:tcMar>
              <w:top w:w="70" w:type="dxa"/>
              <w:start w:w="70" w:type="dxa"/>
              <w:bottom w:w="70" w:type="dxa"/>
              <w:end w:w="70" w:type="dxa"/>
            </w:tcMar>
            <w:vAlign w:val="center"/>
          </w:tcPr>
          <w:p>
            <w:pPr>
              <w:spacing w:after="0"/>
            </w:pPr>
            <w:r>
              <w:rPr>
                <w:b/>
                <w:color w:val="FFFFFF"/>
                <w:sz w:val="16"/>
              </w:rPr>
              <w:t>V2 expectation</w:t>
            </w:r>
          </w:p>
        </w:tc>
      </w:tr>
      <w:tr>
        <w:trPr>
          <w:cantSplit/>
        </w:trPr>
        <w:tc>
          <w:tcPr>
            <w:tcW w:type="dxa" w:w="2232"/>
            <w:tcMar>
              <w:top w:w="58" w:type="dxa"/>
              <w:start w:w="65" w:type="dxa"/>
              <w:bottom w:w="58" w:type="dxa"/>
              <w:end w:w="65" w:type="dxa"/>
            </w:tcMar>
            <w:shd w:fill="F8FAF9"/>
            <w:vAlign w:val="center"/>
          </w:tcPr>
          <w:p>
            <w:pPr>
              <w:pStyle w:val="MMTableText"/>
              <w:spacing w:after="0"/>
            </w:pPr>
            <w:r>
              <w:rPr>
                <w:sz w:val="16"/>
              </w:rPr>
              <w:t>Authenticated encryption</w:t>
            </w:r>
          </w:p>
        </w:tc>
        <w:tc>
          <w:tcPr>
            <w:tcW w:type="dxa" w:w="7848"/>
            <w:tcMar>
              <w:top w:w="58" w:type="dxa"/>
              <w:start w:w="65" w:type="dxa"/>
              <w:bottom w:w="58" w:type="dxa"/>
              <w:end w:w="65" w:type="dxa"/>
            </w:tcMar>
            <w:shd w:fill="F8FAF9"/>
            <w:vAlign w:val="center"/>
          </w:tcPr>
          <w:p>
            <w:pPr>
              <w:pStyle w:val="MMTableText"/>
              <w:spacing w:after="0"/>
            </w:pPr>
            <w:r>
              <w:rPr>
                <w:sz w:val="16"/>
              </w:rPr>
              <w:t>AES-256-GCM or a comparably reviewed authenticated-encryption construction.</w:t>
            </w:r>
          </w:p>
        </w:tc>
      </w:tr>
      <w:tr>
        <w:trPr>
          <w:cantSplit/>
        </w:trPr>
        <w:tc>
          <w:tcPr>
            <w:tcW w:type="dxa" w:w="2232"/>
            <w:tcMar>
              <w:top w:w="58" w:type="dxa"/>
              <w:start w:w="65" w:type="dxa"/>
              <w:bottom w:w="58" w:type="dxa"/>
              <w:end w:w="65" w:type="dxa"/>
            </w:tcMar>
            <w:vAlign w:val="center"/>
          </w:tcPr>
          <w:p>
            <w:pPr>
              <w:pStyle w:val="MMTableText"/>
              <w:spacing w:after="0"/>
            </w:pPr>
            <w:r>
              <w:rPr>
                <w:sz w:val="16"/>
              </w:rPr>
              <w:t>Key derivation</w:t>
            </w:r>
          </w:p>
        </w:tc>
        <w:tc>
          <w:tcPr>
            <w:tcW w:type="dxa" w:w="7848"/>
            <w:tcMar>
              <w:top w:w="58" w:type="dxa"/>
              <w:start w:w="65" w:type="dxa"/>
              <w:bottom w:w="58" w:type="dxa"/>
              <w:end w:w="65" w:type="dxa"/>
            </w:tcMar>
            <w:vAlign w:val="center"/>
          </w:tcPr>
          <w:p>
            <w:pPr>
              <w:pStyle w:val="MMTableText"/>
              <w:spacing w:after="0"/>
            </w:pPr>
            <w:r>
              <w:rPr>
                <w:sz w:val="16"/>
              </w:rPr>
              <w:t>Versioned KDF parameters. Retain PBKDF2 compatibility for V1 migration; evaluate Argon2id if packaging supports it.</w:t>
            </w:r>
          </w:p>
        </w:tc>
      </w:tr>
      <w:tr>
        <w:trPr>
          <w:cantSplit/>
        </w:trPr>
        <w:tc>
          <w:tcPr>
            <w:tcW w:type="dxa" w:w="2232"/>
            <w:tcMar>
              <w:top w:w="58" w:type="dxa"/>
              <w:start w:w="65" w:type="dxa"/>
              <w:bottom w:w="58" w:type="dxa"/>
              <w:end w:w="65" w:type="dxa"/>
            </w:tcMar>
            <w:shd w:fill="F8FAF9"/>
            <w:vAlign w:val="center"/>
          </w:tcPr>
          <w:p>
            <w:pPr>
              <w:pStyle w:val="MMTableText"/>
              <w:spacing w:after="0"/>
            </w:pPr>
            <w:r>
              <w:rPr>
                <w:sz w:val="16"/>
              </w:rPr>
              <w:t>Data key</w:t>
            </w:r>
          </w:p>
        </w:tc>
        <w:tc>
          <w:tcPr>
            <w:tcW w:type="dxa" w:w="7848"/>
            <w:tcMar>
              <w:top w:w="58" w:type="dxa"/>
              <w:start w:w="65" w:type="dxa"/>
              <w:bottom w:w="58" w:type="dxa"/>
              <w:end w:w="65" w:type="dxa"/>
            </w:tcMar>
            <w:shd w:fill="F8FAF9"/>
            <w:vAlign w:val="center"/>
          </w:tcPr>
          <w:p>
            <w:pPr>
              <w:pStyle w:val="MMTableText"/>
              <w:spacing w:after="0"/>
            </w:pPr>
            <w:r>
              <w:rPr>
                <w:sz w:val="16"/>
              </w:rPr>
              <w:t>Random per-vault data-encryption key wrapped by the passphrase-derived key.</w:t>
            </w:r>
          </w:p>
        </w:tc>
      </w:tr>
      <w:tr>
        <w:trPr>
          <w:cantSplit/>
        </w:trPr>
        <w:tc>
          <w:tcPr>
            <w:tcW w:type="dxa" w:w="2232"/>
            <w:tcMar>
              <w:top w:w="58" w:type="dxa"/>
              <w:start w:w="65" w:type="dxa"/>
              <w:bottom w:w="58" w:type="dxa"/>
              <w:end w:w="65" w:type="dxa"/>
            </w:tcMar>
            <w:vAlign w:val="center"/>
          </w:tcPr>
          <w:p>
            <w:pPr>
              <w:pStyle w:val="MMTableText"/>
              <w:spacing w:after="0"/>
            </w:pPr>
            <w:r>
              <w:rPr>
                <w:sz w:val="16"/>
              </w:rPr>
              <w:t>IV/nonce</w:t>
            </w:r>
          </w:p>
        </w:tc>
        <w:tc>
          <w:tcPr>
            <w:tcW w:type="dxa" w:w="7848"/>
            <w:tcMar>
              <w:top w:w="58" w:type="dxa"/>
              <w:start w:w="65" w:type="dxa"/>
              <w:bottom w:w="58" w:type="dxa"/>
              <w:end w:w="65" w:type="dxa"/>
            </w:tcMar>
            <w:vAlign w:val="center"/>
          </w:tcPr>
          <w:p>
            <w:pPr>
              <w:pStyle w:val="MMTableText"/>
              <w:spacing w:after="0"/>
            </w:pPr>
            <w:r>
              <w:rPr>
                <w:sz w:val="16"/>
              </w:rPr>
              <w:t>Unique random nonce per encryption operation as required by the chosen construction.</w:t>
            </w:r>
          </w:p>
        </w:tc>
      </w:tr>
      <w:tr>
        <w:trPr>
          <w:cantSplit/>
        </w:trPr>
        <w:tc>
          <w:tcPr>
            <w:tcW w:type="dxa" w:w="2232"/>
            <w:tcMar>
              <w:top w:w="58" w:type="dxa"/>
              <w:start w:w="65" w:type="dxa"/>
              <w:bottom w:w="58" w:type="dxa"/>
              <w:end w:w="65" w:type="dxa"/>
            </w:tcMar>
            <w:shd w:fill="F8FAF9"/>
            <w:vAlign w:val="center"/>
          </w:tcPr>
          <w:p>
            <w:pPr>
              <w:pStyle w:val="MMTableText"/>
              <w:spacing w:after="0"/>
            </w:pPr>
            <w:r>
              <w:rPr>
                <w:sz w:val="16"/>
              </w:rPr>
              <w:t>Integrity</w:t>
            </w:r>
          </w:p>
        </w:tc>
        <w:tc>
          <w:tcPr>
            <w:tcW w:type="dxa" w:w="7848"/>
            <w:tcMar>
              <w:top w:w="58" w:type="dxa"/>
              <w:start w:w="65" w:type="dxa"/>
              <w:bottom w:w="58" w:type="dxa"/>
              <w:end w:w="65" w:type="dxa"/>
            </w:tcMar>
            <w:shd w:fill="F8FAF9"/>
            <w:vAlign w:val="center"/>
          </w:tcPr>
          <w:p>
            <w:pPr>
              <w:pStyle w:val="MMTableText"/>
              <w:spacing w:after="0"/>
            </w:pPr>
            <w:r>
              <w:rPr>
                <w:sz w:val="16"/>
              </w:rPr>
              <w:t>Restore must verify authentication before replacing active data.</w:t>
            </w:r>
          </w:p>
        </w:tc>
      </w:tr>
      <w:tr>
        <w:trPr>
          <w:cantSplit/>
        </w:trPr>
        <w:tc>
          <w:tcPr>
            <w:tcW w:type="dxa" w:w="2232"/>
            <w:tcMar>
              <w:top w:w="58" w:type="dxa"/>
              <w:start w:w="65" w:type="dxa"/>
              <w:bottom w:w="58" w:type="dxa"/>
              <w:end w:w="65" w:type="dxa"/>
            </w:tcMar>
            <w:vAlign w:val="center"/>
          </w:tcPr>
          <w:p>
            <w:pPr>
              <w:pStyle w:val="MMTableText"/>
              <w:spacing w:after="0"/>
            </w:pPr>
            <w:r>
              <w:rPr>
                <w:sz w:val="16"/>
              </w:rPr>
              <w:t>Secrets</w:t>
            </w:r>
          </w:p>
        </w:tc>
        <w:tc>
          <w:tcPr>
            <w:tcW w:type="dxa" w:w="7848"/>
            <w:tcMar>
              <w:top w:w="58" w:type="dxa"/>
              <w:start w:w="65" w:type="dxa"/>
              <w:bottom w:w="58" w:type="dxa"/>
              <w:end w:w="65" w:type="dxa"/>
            </w:tcMar>
            <w:vAlign w:val="center"/>
          </w:tcPr>
          <w:p>
            <w:pPr>
              <w:pStyle w:val="MMTableText"/>
              <w:spacing w:after="0"/>
            </w:pPr>
            <w:r>
              <w:rPr>
                <w:sz w:val="16"/>
              </w:rPr>
              <w:t>Plaid access tokens and client secret stored in OS Keychain/credential storage, not backup exports by default.</w:t>
            </w:r>
          </w:p>
        </w:tc>
      </w:tr>
      <w:tr>
        <w:trPr>
          <w:cantSplit/>
        </w:trPr>
        <w:tc>
          <w:tcPr>
            <w:tcW w:type="dxa" w:w="2232"/>
            <w:tcMar>
              <w:top w:w="58" w:type="dxa"/>
              <w:start w:w="65" w:type="dxa"/>
              <w:bottom w:w="58" w:type="dxa"/>
              <w:end w:w="65" w:type="dxa"/>
            </w:tcMar>
            <w:shd w:fill="F8FAF9"/>
            <w:vAlign w:val="center"/>
          </w:tcPr>
          <w:p>
            <w:pPr>
              <w:pStyle w:val="MMTableText"/>
              <w:spacing w:after="0"/>
            </w:pPr>
            <w:r>
              <w:rPr>
                <w:sz w:val="16"/>
              </w:rPr>
              <w:t>Memory</w:t>
            </w:r>
          </w:p>
        </w:tc>
        <w:tc>
          <w:tcPr>
            <w:tcW w:type="dxa" w:w="7848"/>
            <w:tcMar>
              <w:top w:w="58" w:type="dxa"/>
              <w:start w:w="65" w:type="dxa"/>
              <w:bottom w:w="58" w:type="dxa"/>
              <w:end w:w="65" w:type="dxa"/>
            </w:tcMar>
            <w:shd w:fill="F8FAF9"/>
            <w:vAlign w:val="center"/>
          </w:tcPr>
          <w:p>
            <w:pPr>
              <w:pStyle w:val="MMTableText"/>
              <w:spacing w:after="0"/>
            </w:pPr>
            <w:r>
              <w:rPr>
                <w:sz w:val="16"/>
              </w:rPr>
              <w:t>Keys cleared on lock, timeout, process exit, and failed unlock where practicable.</w:t>
            </w:r>
          </w:p>
        </w:tc>
      </w:tr>
    </w:tbl>
    <w:p>
      <w:pPr>
        <w:spacing w:after="0"/>
      </w:pPr>
    </w:p>
    <w:p>
      <w:pPr>
        <w:pStyle w:val="Heading2"/>
      </w:pPr>
      <w:r>
        <w:t>14.3 Privacy controls</w:t>
      </w:r>
    </w:p>
    <w:p>
      <w:pPr>
        <w:pStyle w:val="Heading3"/>
      </w:pPr>
      <w:r>
        <w:t>SEC-001 — No remote analytics</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EAF5EE"/>
            <w:vAlign w:val="center"/>
          </w:tcPr>
          <w:p>
            <w:pPr>
              <w:spacing w:after="0"/>
            </w:pPr>
            <w:r>
              <w:rPr>
                <w:b/>
                <w:color w:val="287A4D"/>
                <w:sz w:val="16"/>
              </w:rPr>
              <w:t>IMPLEMENTED IN V1</w:t>
            </w:r>
          </w:p>
        </w:tc>
        <w:tc>
          <w:tcPr>
            <w:tcW w:type="dxa" w:w="1944"/>
            <w:tcMar>
              <w:top w:w="45" w:type="dxa"/>
              <w:start w:w="75" w:type="dxa"/>
              <w:bottom w:w="45" w:type="dxa"/>
              <w:end w:w="75" w:type="dxa"/>
            </w:tcMar>
            <w:shd w:fill="EAF5EE"/>
            <w:vAlign w:val="center"/>
          </w:tcPr>
          <w:p>
            <w:pPr>
              <w:spacing w:after="0"/>
            </w:pPr>
            <w:r>
              <w:rPr>
                <w:b/>
                <w:color w:val="287A4D"/>
                <w:sz w:val="16"/>
              </w:rPr>
              <w:t>V1 → retain</w:t>
            </w:r>
          </w:p>
        </w:tc>
        <w:tc>
          <w:tcPr>
            <w:tcW w:type="dxa" w:w="5112"/>
            <w:tcMar>
              <w:top w:w="45" w:type="dxa"/>
              <w:start w:w="75" w:type="dxa"/>
              <w:bottom w:w="45" w:type="dxa"/>
              <w:end w:w="75" w:type="dxa"/>
            </w:tcMar>
            <w:shd w:fill="EAF5EE"/>
            <w:vAlign w:val="center"/>
          </w:tcPr>
          <w:p>
            <w:pPr>
              <w:spacing w:after="0"/>
            </w:pPr>
            <w:r>
              <w:rPr>
                <w:b/>
                <w:color w:val="287A4D"/>
                <w:sz w:val="16"/>
              </w:rPr>
              <w:t>Owner: Engineering</w:t>
            </w:r>
          </w:p>
        </w:tc>
      </w:tr>
    </w:tbl>
    <w:p>
      <w:pPr>
        <w:pStyle w:val="MMRequirement"/>
      </w:pPr>
      <w:r>
        <w:t>Do not send transaction, account, merchant, bucket, reimbursement, location, or search data to an analytics service.</w:t>
      </w:r>
    </w:p>
    <w:p>
      <w:pPr>
        <w:pStyle w:val="Heading3"/>
      </w:pPr>
      <w:r>
        <w:t>SEC-002 — Location minimization</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Persist state/region and country only for product use. Preserve richer provider location only if required for source audit and encrypted, and do not expose it in ordinary UI or exports by default.</w:t>
      </w:r>
    </w:p>
    <w:p>
      <w:pPr>
        <w:pStyle w:val="Heading3"/>
      </w:pPr>
      <w:r>
        <w:t>SEC-003 — Plain export warning</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MMRequirement"/>
      </w:pPr>
      <w:r>
        <w:t>Before generating an unencrypted CSV or JSON export, explain that the file contains readable financial data and require explicit confirmation.</w:t>
      </w:r>
    </w:p>
    <w:p>
      <w:pPr>
        <w:pStyle w:val="Heading3"/>
      </w:pPr>
      <w:r>
        <w:t>SEC-004 — Threat-model documentation</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EAF5EE"/>
            <w:vAlign w:val="center"/>
          </w:tcPr>
          <w:p>
            <w:pPr>
              <w:spacing w:after="0"/>
            </w:pPr>
            <w:r>
              <w:rPr>
                <w:b/>
                <w:color w:val="287A4D"/>
                <w:sz w:val="16"/>
              </w:rPr>
              <w:t>IMPLEMENTED IN V1</w:t>
            </w:r>
          </w:p>
        </w:tc>
        <w:tc>
          <w:tcPr>
            <w:tcW w:type="dxa" w:w="1944"/>
            <w:tcMar>
              <w:top w:w="45" w:type="dxa"/>
              <w:start w:w="75" w:type="dxa"/>
              <w:bottom w:w="45" w:type="dxa"/>
              <w:end w:w="75" w:type="dxa"/>
            </w:tcMar>
            <w:shd w:fill="EAF5EE"/>
            <w:vAlign w:val="center"/>
          </w:tcPr>
          <w:p>
            <w:pPr>
              <w:spacing w:after="0"/>
            </w:pPr>
            <w:r>
              <w:rPr>
                <w:b/>
                <w:color w:val="287A4D"/>
                <w:sz w:val="16"/>
              </w:rPr>
              <w:t>V1 → retain</w:t>
            </w:r>
          </w:p>
        </w:tc>
        <w:tc>
          <w:tcPr>
            <w:tcW w:type="dxa" w:w="5112"/>
            <w:tcMar>
              <w:top w:w="45" w:type="dxa"/>
              <w:start w:w="75" w:type="dxa"/>
              <w:bottom w:w="45" w:type="dxa"/>
              <w:end w:w="75" w:type="dxa"/>
            </w:tcMar>
            <w:shd w:fill="EAF5EE"/>
            <w:vAlign w:val="center"/>
          </w:tcPr>
          <w:p>
            <w:pPr>
              <w:spacing w:after="0"/>
            </w:pPr>
            <w:r>
              <w:rPr>
                <w:b/>
                <w:color w:val="287A4D"/>
                <w:sz w:val="16"/>
              </w:rPr>
              <w:t>Owner: Engineering</w:t>
            </w:r>
          </w:p>
        </w:tc>
      </w:tr>
    </w:tbl>
    <w:p>
      <w:pPr>
        <w:pStyle w:val="MMRequirement"/>
      </w:pPr>
      <w:r>
        <w:t>The Settings &amp; Vault screen and README must state what local encryption protects and does not protect.</w:t>
      </w:r>
    </w:p>
    <w:p>
      <w:pPr>
        <w:pStyle w:val="Heading1"/>
      </w:pPr>
      <w:r>
        <w:t>15. Plaid Integration Strategy</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EAF2F8"/>
            <w:vAlign w:val="center"/>
          </w:tcPr>
          <w:p>
            <w:pPr>
              <w:spacing w:after="0"/>
            </w:pPr>
            <w:r>
              <w:rPr>
                <w:b/>
                <w:color w:val="275D8C"/>
                <w:sz w:val="16"/>
              </w:rPr>
              <w:t>FUTURE / PLAID</w:t>
            </w:r>
          </w:p>
        </w:tc>
        <w:tc>
          <w:tcPr>
            <w:tcW w:type="dxa" w:w="1944"/>
            <w:tcMar>
              <w:top w:w="45" w:type="dxa"/>
              <w:start w:w="75" w:type="dxa"/>
              <w:bottom w:w="45" w:type="dxa"/>
              <w:end w:w="75" w:type="dxa"/>
            </w:tcMar>
            <w:shd w:fill="EAF2F8"/>
            <w:vAlign w:val="center"/>
          </w:tcPr>
          <w:p>
            <w:pPr>
              <w:spacing w:after="0"/>
            </w:pPr>
            <w:r>
              <w:rPr>
                <w:b/>
                <w:color w:val="275D8C"/>
                <w:sz w:val="16"/>
              </w:rPr>
              <w:t>V2B and later</w:t>
            </w:r>
          </w:p>
        </w:tc>
        <w:tc>
          <w:tcPr>
            <w:tcW w:type="dxa" w:w="5112"/>
            <w:tcMar>
              <w:top w:w="45" w:type="dxa"/>
              <w:start w:w="75" w:type="dxa"/>
              <w:bottom w:w="45" w:type="dxa"/>
              <w:end w:w="75" w:type="dxa"/>
            </w:tcMar>
            <w:shd w:fill="EAF2F8"/>
            <w:vAlign w:val="center"/>
          </w:tcPr>
          <w:p>
            <w:pPr>
              <w:spacing w:after="0"/>
            </w:pPr>
            <w:r>
              <w:rPr>
                <w:b/>
                <w:color w:val="275D8C"/>
                <w:sz w:val="16"/>
              </w:rPr>
              <w:t>Owner: Engineering</w:t>
            </w:r>
          </w:p>
        </w:tc>
      </w:tr>
    </w:tbl>
    <w:p>
      <w:r>
        <w:t>Plaid integration begins only after the V2A canonical model, review workflow, splits, claims, and reporting invariants are tested. Plaid is an ingestion adapter, not the financial model. The application cannot reuse account connections established inside ChatGPT or another product; Money Moves must create its own user-authorized Plaid connection.</w:t>
      </w:r>
    </w:p>
    <w:p>
      <w:pPr>
        <w:pStyle w:val="Heading2"/>
      </w:pPr>
      <w:r>
        <w:t>15.1 Recommended rollout</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3389"/>
        <w:gridCol w:w="3389"/>
        <w:gridCol w:w="3389"/>
      </w:tblGrid>
      <w:tr>
        <w:trPr>
          <w:tblHeader w:val="true"/>
          <w:cantSplit/>
        </w:trPr>
        <w:tc>
          <w:tcPr>
            <w:tcW w:type="dxa" w:w="1584"/>
            <w:shd w:fill="10261C"/>
            <w:tcMar>
              <w:top w:w="70" w:type="dxa"/>
              <w:start w:w="70" w:type="dxa"/>
              <w:bottom w:w="70" w:type="dxa"/>
              <w:end w:w="70" w:type="dxa"/>
            </w:tcMar>
            <w:vAlign w:val="center"/>
          </w:tcPr>
          <w:p>
            <w:pPr>
              <w:spacing w:after="0"/>
            </w:pPr>
            <w:r>
              <w:rPr>
                <w:b/>
                <w:color w:val="FFFFFF"/>
                <w:sz w:val="16"/>
              </w:rPr>
              <w:t>Phase</w:t>
            </w:r>
          </w:p>
        </w:tc>
        <w:tc>
          <w:tcPr>
            <w:tcW w:type="dxa" w:w="5112"/>
            <w:shd w:fill="10261C"/>
            <w:tcMar>
              <w:top w:w="70" w:type="dxa"/>
              <w:start w:w="70" w:type="dxa"/>
              <w:bottom w:w="70" w:type="dxa"/>
              <w:end w:w="70" w:type="dxa"/>
            </w:tcMar>
            <w:vAlign w:val="center"/>
          </w:tcPr>
          <w:p>
            <w:pPr>
              <w:spacing w:after="0"/>
            </w:pPr>
            <w:r>
              <w:rPr>
                <w:b/>
                <w:color w:val="FFFFFF"/>
                <w:sz w:val="16"/>
              </w:rPr>
              <w:t>Scope</w:t>
            </w:r>
          </w:p>
        </w:tc>
        <w:tc>
          <w:tcPr>
            <w:tcW w:type="dxa" w:w="3384"/>
            <w:shd w:fill="10261C"/>
            <w:tcMar>
              <w:top w:w="70" w:type="dxa"/>
              <w:start w:w="70" w:type="dxa"/>
              <w:bottom w:w="70" w:type="dxa"/>
              <w:end w:w="70" w:type="dxa"/>
            </w:tcMar>
            <w:vAlign w:val="center"/>
          </w:tcPr>
          <w:p>
            <w:pPr>
              <w:spacing w:after="0"/>
            </w:pPr>
            <w:r>
              <w:rPr>
                <w:b/>
                <w:color w:val="FFFFFF"/>
                <w:sz w:val="16"/>
              </w:rPr>
              <w:t>Exit criteria</w:t>
            </w:r>
          </w:p>
        </w:tc>
      </w:tr>
      <w:tr>
        <w:trPr>
          <w:cantSplit/>
        </w:trPr>
        <w:tc>
          <w:tcPr>
            <w:tcW w:type="dxa" w:w="1584"/>
            <w:tcMar>
              <w:top w:w="58" w:type="dxa"/>
              <w:start w:w="65" w:type="dxa"/>
              <w:bottom w:w="58" w:type="dxa"/>
              <w:end w:w="65" w:type="dxa"/>
            </w:tcMar>
            <w:shd w:fill="F8FAF9"/>
            <w:vAlign w:val="center"/>
          </w:tcPr>
          <w:p>
            <w:pPr>
              <w:pStyle w:val="MMTableText"/>
              <w:spacing w:after="0"/>
            </w:pPr>
            <w:r>
              <w:rPr>
                <w:sz w:val="16"/>
              </w:rPr>
              <w:t>V2A</w:t>
            </w:r>
          </w:p>
        </w:tc>
        <w:tc>
          <w:tcPr>
            <w:tcW w:type="dxa" w:w="5112"/>
            <w:tcMar>
              <w:top w:w="58" w:type="dxa"/>
              <w:start w:w="65" w:type="dxa"/>
              <w:bottom w:w="58" w:type="dxa"/>
              <w:end w:w="65" w:type="dxa"/>
            </w:tcMar>
            <w:shd w:fill="F8FAF9"/>
            <w:vAlign w:val="center"/>
          </w:tcPr>
          <w:p>
            <w:pPr>
              <w:pStyle w:val="MMTableText"/>
              <w:spacing w:after="0"/>
            </w:pPr>
            <w:r>
              <w:rPr>
                <w:sz w:val="16"/>
              </w:rPr>
              <w:t>Manual/CSV canonical model</w:t>
            </w:r>
          </w:p>
        </w:tc>
        <w:tc>
          <w:tcPr>
            <w:tcW w:type="dxa" w:w="3384"/>
            <w:tcMar>
              <w:top w:w="58" w:type="dxa"/>
              <w:start w:w="65" w:type="dxa"/>
              <w:bottom w:w="58" w:type="dxa"/>
              <w:end w:w="65" w:type="dxa"/>
            </w:tcMar>
            <w:shd w:fill="F8FAF9"/>
            <w:vAlign w:val="center"/>
          </w:tcPr>
          <w:p>
            <w:pPr>
              <w:pStyle w:val="MMTableText"/>
              <w:spacing w:after="0"/>
            </w:pPr>
            <w:r>
              <w:rPr>
                <w:sz w:val="16"/>
              </w:rPr>
              <w:t>All money-model acceptance tests pass; migration and backups verified.</w:t>
            </w:r>
          </w:p>
        </w:tc>
      </w:tr>
      <w:tr>
        <w:trPr>
          <w:cantSplit/>
        </w:trPr>
        <w:tc>
          <w:tcPr>
            <w:tcW w:type="dxa" w:w="1584"/>
            <w:tcMar>
              <w:top w:w="58" w:type="dxa"/>
              <w:start w:w="65" w:type="dxa"/>
              <w:bottom w:w="58" w:type="dxa"/>
              <w:end w:w="65" w:type="dxa"/>
            </w:tcMar>
            <w:vAlign w:val="center"/>
          </w:tcPr>
          <w:p>
            <w:pPr>
              <w:pStyle w:val="MMTableText"/>
              <w:spacing w:after="0"/>
            </w:pPr>
            <w:r>
              <w:rPr>
                <w:sz w:val="16"/>
              </w:rPr>
              <w:t>V2B Sandbox</w:t>
            </w:r>
          </w:p>
        </w:tc>
        <w:tc>
          <w:tcPr>
            <w:tcW w:type="dxa" w:w="5112"/>
            <w:tcMar>
              <w:top w:w="58" w:type="dxa"/>
              <w:start w:w="65" w:type="dxa"/>
              <w:bottom w:w="58" w:type="dxa"/>
              <w:end w:w="65" w:type="dxa"/>
            </w:tcMar>
            <w:vAlign w:val="center"/>
          </w:tcPr>
          <w:p>
            <w:pPr>
              <w:pStyle w:val="MMTableText"/>
              <w:spacing w:after="0"/>
            </w:pPr>
            <w:r>
              <w:rPr>
                <w:sz w:val="16"/>
              </w:rPr>
              <w:t>Plaid Link Sandbox, token exchange, transaction sync, local polling, cursor storage</w:t>
            </w:r>
          </w:p>
        </w:tc>
        <w:tc>
          <w:tcPr>
            <w:tcW w:type="dxa" w:w="3384"/>
            <w:tcMar>
              <w:top w:w="58" w:type="dxa"/>
              <w:start w:w="65" w:type="dxa"/>
              <w:bottom w:w="58" w:type="dxa"/>
              <w:end w:w="65" w:type="dxa"/>
            </w:tcMar>
            <w:vAlign w:val="center"/>
          </w:tcPr>
          <w:p>
            <w:pPr>
              <w:pStyle w:val="MMTableText"/>
              <w:spacing w:after="0"/>
            </w:pPr>
            <w:r>
              <w:rPr>
                <w:sz w:val="16"/>
              </w:rPr>
              <w:t>Sandbox institutions sync without duplication; pending/posting and reconnect flows tested.</w:t>
            </w:r>
          </w:p>
        </w:tc>
      </w:tr>
      <w:tr>
        <w:trPr>
          <w:cantSplit/>
        </w:trPr>
        <w:tc>
          <w:tcPr>
            <w:tcW w:type="dxa" w:w="1584"/>
            <w:tcMar>
              <w:top w:w="58" w:type="dxa"/>
              <w:start w:w="65" w:type="dxa"/>
              <w:bottom w:w="58" w:type="dxa"/>
              <w:end w:w="65" w:type="dxa"/>
            </w:tcMar>
            <w:shd w:fill="F8FAF9"/>
            <w:vAlign w:val="center"/>
          </w:tcPr>
          <w:p>
            <w:pPr>
              <w:pStyle w:val="MMTableText"/>
              <w:spacing w:after="0"/>
            </w:pPr>
            <w:r>
              <w:rPr>
                <w:sz w:val="16"/>
              </w:rPr>
              <w:t>Pilot</w:t>
            </w:r>
          </w:p>
        </w:tc>
        <w:tc>
          <w:tcPr>
            <w:tcW w:type="dxa" w:w="5112"/>
            <w:tcMar>
              <w:top w:w="58" w:type="dxa"/>
              <w:start w:w="65" w:type="dxa"/>
              <w:bottom w:w="58" w:type="dxa"/>
              <w:end w:w="65" w:type="dxa"/>
            </w:tcMar>
            <w:shd w:fill="F8FAF9"/>
            <w:vAlign w:val="center"/>
          </w:tcPr>
          <w:p>
            <w:pPr>
              <w:pStyle w:val="MMTableText"/>
              <w:spacing w:after="0"/>
            </w:pPr>
            <w:r>
              <w:rPr>
                <w:sz w:val="16"/>
              </w:rPr>
              <w:t>Limited production/test access with explicit user consent</w:t>
            </w:r>
          </w:p>
        </w:tc>
        <w:tc>
          <w:tcPr>
            <w:tcW w:type="dxa" w:w="3384"/>
            <w:tcMar>
              <w:top w:w="58" w:type="dxa"/>
              <w:start w:w="65" w:type="dxa"/>
              <w:bottom w:w="58" w:type="dxa"/>
              <w:end w:w="65" w:type="dxa"/>
            </w:tcMar>
            <w:shd w:fill="F8FAF9"/>
            <w:vAlign w:val="center"/>
          </w:tcPr>
          <w:p>
            <w:pPr>
              <w:pStyle w:val="MMTableText"/>
              <w:spacing w:after="0"/>
            </w:pPr>
            <w:r>
              <w:rPr>
                <w:sz w:val="16"/>
              </w:rPr>
              <w:t>Observed real-world edge cases resolved; security review complete.</w:t>
            </w:r>
          </w:p>
        </w:tc>
      </w:tr>
      <w:tr>
        <w:trPr>
          <w:cantSplit/>
        </w:trPr>
        <w:tc>
          <w:tcPr>
            <w:tcW w:type="dxa" w:w="1584"/>
            <w:tcMar>
              <w:top w:w="58" w:type="dxa"/>
              <w:start w:w="65" w:type="dxa"/>
              <w:bottom w:w="58" w:type="dxa"/>
              <w:end w:w="65" w:type="dxa"/>
            </w:tcMar>
            <w:vAlign w:val="center"/>
          </w:tcPr>
          <w:p>
            <w:pPr>
              <w:pStyle w:val="MMTableText"/>
              <w:spacing w:after="0"/>
            </w:pPr>
            <w:r>
              <w:rPr>
                <w:sz w:val="16"/>
              </w:rPr>
              <w:t>Production</w:t>
            </w:r>
          </w:p>
        </w:tc>
        <w:tc>
          <w:tcPr>
            <w:tcW w:type="dxa" w:w="5112"/>
            <w:tcMar>
              <w:top w:w="58" w:type="dxa"/>
              <w:start w:w="65" w:type="dxa"/>
              <w:bottom w:w="58" w:type="dxa"/>
              <w:end w:w="65" w:type="dxa"/>
            </w:tcMar>
            <w:vAlign w:val="center"/>
          </w:tcPr>
          <w:p>
            <w:pPr>
              <w:pStyle w:val="MMTableText"/>
              <w:spacing w:after="0"/>
            </w:pPr>
            <w:r>
              <w:rPr>
                <w:sz w:val="16"/>
              </w:rPr>
              <w:t>Live supported institutions</w:t>
            </w:r>
          </w:p>
        </w:tc>
        <w:tc>
          <w:tcPr>
            <w:tcW w:type="dxa" w:w="3384"/>
            <w:tcMar>
              <w:top w:w="58" w:type="dxa"/>
              <w:start w:w="65" w:type="dxa"/>
              <w:bottom w:w="58" w:type="dxa"/>
              <w:end w:w="65" w:type="dxa"/>
            </w:tcMar>
            <w:vAlign w:val="center"/>
          </w:tcPr>
          <w:p>
            <w:pPr>
              <w:pStyle w:val="MMTableText"/>
              <w:spacing w:after="0"/>
            </w:pPr>
            <w:r>
              <w:rPr>
                <w:sz w:val="16"/>
              </w:rPr>
              <w:t>Operational monitoring, repair, deletion, backup, and support documentation approved.</w:t>
            </w:r>
          </w:p>
        </w:tc>
      </w:tr>
    </w:tbl>
    <w:p>
      <w:pPr>
        <w:spacing w:after="0"/>
      </w:pPr>
    </w:p>
    <w:p>
      <w:pPr>
        <w:pStyle w:val="Heading2"/>
      </w:pPr>
      <w:r>
        <w:t>15.2 Plaid data flow</w:t>
      </w:r>
    </w:p>
    <w:p>
      <w:pPr>
        <w:pStyle w:val="Heading4"/>
      </w:pPr>
      <w:r>
        <w:t>Connection and sync flow</w:t>
      </w:r>
    </w:p>
    <w:p>
      <w:pPr>
        <w:ind w:left="216"/>
      </w:pPr>
      <w:r>
        <w:rPr>
          <w:b/>
          <w:color w:val="287A4D"/>
        </w:rPr>
        <w:t xml:space="preserve">1. </w:t>
      </w:r>
      <w:r>
        <w:t>The local service requests a Link token; the browser opens Plaid Link.</w:t>
      </w:r>
    </w:p>
    <w:p>
      <w:pPr>
        <w:ind w:left="216"/>
      </w:pPr>
      <w:r>
        <w:rPr>
          <w:b/>
          <w:color w:val="287A4D"/>
        </w:rPr>
        <w:t xml:space="preserve">2. </w:t>
      </w:r>
      <w:r>
        <w:t>The user authorizes an institution in Plaid Link.</w:t>
      </w:r>
    </w:p>
    <w:p>
      <w:pPr>
        <w:ind w:left="216"/>
      </w:pPr>
      <w:r>
        <w:rPr>
          <w:b/>
          <w:color w:val="287A4D"/>
        </w:rPr>
        <w:t xml:space="preserve">3. </w:t>
      </w:r>
      <w:r>
        <w:t>The browser returns a public token to the local service.</w:t>
      </w:r>
    </w:p>
    <w:p>
      <w:pPr>
        <w:ind w:left="216"/>
      </w:pPr>
      <w:r>
        <w:rPr>
          <w:b/>
          <w:color w:val="287A4D"/>
        </w:rPr>
        <w:t xml:space="preserve">4. </w:t>
      </w:r>
      <w:r>
        <w:t>The local service exchanges the public token for an access token and stores it in the OS credential store.</w:t>
      </w:r>
    </w:p>
    <w:p>
      <w:pPr>
        <w:ind w:left="216"/>
      </w:pPr>
      <w:r>
        <w:rPr>
          <w:b/>
          <w:color w:val="287A4D"/>
        </w:rPr>
        <w:t xml:space="preserve">5. </w:t>
      </w:r>
      <w:r>
        <w:t>The local service calls the transaction synchronization endpoint using a cursor.</w:t>
      </w:r>
    </w:p>
    <w:p>
      <w:pPr>
        <w:ind w:left="216"/>
      </w:pPr>
      <w:r>
        <w:rPr>
          <w:b/>
          <w:color w:val="287A4D"/>
        </w:rPr>
        <w:t xml:space="preserve">6. </w:t>
      </w:r>
      <w:r>
        <w:t>Source records are normalized and reconciled into canonical accounts and transactions.</w:t>
      </w:r>
    </w:p>
    <w:p>
      <w:pPr>
        <w:ind w:left="216"/>
      </w:pPr>
      <w:r>
        <w:rPr>
          <w:b/>
          <w:color w:val="287A4D"/>
        </w:rPr>
        <w:t xml:space="preserve">7. </w:t>
      </w:r>
      <w:r>
        <w:t>New or changed transactions enter the supervised review workflow.</w:t>
      </w:r>
    </w:p>
    <w:p>
      <w:pPr>
        <w:ind w:left="216"/>
      </w:pPr>
      <w:r>
        <w:rPr>
          <w:b/>
          <w:color w:val="287A4D"/>
        </w:rPr>
        <w:t xml:space="preserve">8. </w:t>
      </w:r>
      <w:r>
        <w:t>Local user fields remain unchanged unless the user resolves a source conflict.</w:t>
      </w:r>
    </w:p>
    <w:p>
      <w:pPr>
        <w:pStyle w:val="Heading2"/>
      </w:pPr>
      <w:r>
        <w:t>15.3 Polling versus webhooks</w:t>
      </w:r>
    </w:p>
    <w:p>
      <w:r>
        <w:t>For the first local-only release, use scheduled local polling and a manual Refresh button. Public Plaid webhooks require an externally reachable HTTPS endpoint, which conflicts with the initial local-first deployment. Webhooks may be considered later if a privacy-reviewed relay service is introduced.</w:t>
      </w:r>
    </w:p>
    <w:p>
      <w:pPr>
        <w:pStyle w:val="Heading2"/>
      </w:pPr>
      <w:r>
        <w:t>15.4 Required Plaid edge cases</w:t>
      </w:r>
    </w:p>
    <w:p>
      <w:pPr>
        <w:pStyle w:val="ListBullet"/>
      </w:pPr>
      <w:r>
        <w:t>Pending charge replaced by a posted charge with a different amount or merchant string.</w:t>
      </w:r>
    </w:p>
    <w:p>
      <w:pPr>
        <w:pStyle w:val="ListBullet"/>
      </w:pPr>
      <w:r>
        <w:t>Restaurant tip changes between authorization and posting.</w:t>
      </w:r>
    </w:p>
    <w:p>
      <w:pPr>
        <w:pStyle w:val="ListBullet"/>
      </w:pPr>
      <w:r>
        <w:t>Partial and full refunds.</w:t>
      </w:r>
    </w:p>
    <w:p>
      <w:pPr>
        <w:pStyle w:val="ListBullet"/>
      </w:pPr>
      <w:r>
        <w:t>Card payment shown on both checking and card accounts.</w:t>
      </w:r>
    </w:p>
    <w:p>
      <w:pPr>
        <w:pStyle w:val="ListBullet"/>
      </w:pPr>
      <w:r>
        <w:t>Duplicate account links or institution reconnection.</w:t>
      </w:r>
    </w:p>
    <w:p>
      <w:pPr>
        <w:pStyle w:val="ListBullet"/>
      </w:pPr>
      <w:r>
        <w:t>Removed transactions and provider corrections.</w:t>
      </w:r>
    </w:p>
    <w:p>
      <w:pPr>
        <w:pStyle w:val="ListBullet"/>
      </w:pPr>
      <w:r>
        <w:t>Foreign-currency amounts and unofficial currencies.</w:t>
      </w:r>
    </w:p>
    <w:p>
      <w:pPr>
        <w:pStyle w:val="ListBullet"/>
      </w:pPr>
      <w:r>
        <w:t>Missing location or generic account labels.</w:t>
      </w:r>
    </w:p>
    <w:p>
      <w:pPr>
        <w:pStyle w:val="ListBullet"/>
      </w:pPr>
      <w:r>
        <w:t>Institution requiring reauthentication or reporting degraded sync status.</w:t>
      </w:r>
    </w:p>
    <w:p>
      <w:pPr>
        <w:pStyle w:val="ListBullet"/>
      </w:pPr>
      <w:r>
        <w:t>Historical backfill arriving after recent transactions are already available.</w:t>
      </w:r>
    </w:p>
    <w:p>
      <w:pPr>
        <w:pStyle w:val="Heading1"/>
      </w:pPr>
      <w:r>
        <w:t>16. V1 Data Migration and Compatibility</w:t>
      </w:r>
    </w:p>
    <w:tbl>
      <w:tblPr>
        <w:tblW w:type="auto" w:w="0"/>
        <w:jc w:val="left"/>
        <w:tblLayout w:type="fixed"/>
        <w:tblLook w:firstColumn="1" w:firstRow="1" w:lastColumn="0" w:lastRow="0" w:noHBand="0" w:noVBand="1" w:val="04A0"/>
      </w:tblPr>
      <w:tblGrid>
        <w:gridCol w:w="3389"/>
        <w:gridCol w:w="3389"/>
        <w:gridCol w:w="3389"/>
      </w:tblGrid>
      <w:tr>
        <w:trPr>
          <w:trHeight w:hRule="atLeast"/>
          <w:cantSplit/>
        </w:trPr>
        <w:tc>
          <w:tcPr>
            <w:tcW w:type="dxa" w:w="3024"/>
            <w:tcMar>
              <w:top w:w="45" w:type="dxa"/>
              <w:start w:w="75" w:type="dxa"/>
              <w:bottom w:w="45" w:type="dxa"/>
              <w:end w:w="75" w:type="dxa"/>
            </w:tcMar>
            <w:shd w:fill="FFF0E2"/>
            <w:vAlign w:val="center"/>
          </w:tcPr>
          <w:p>
            <w:pPr>
              <w:spacing w:after="0"/>
            </w:pPr>
            <w:r>
              <w:rPr>
                <w:b/>
                <w:color w:val="B86119"/>
                <w:sz w:val="16"/>
              </w:rPr>
              <w:t>NEEDS IMPLEMENTATION</w:t>
            </w:r>
          </w:p>
        </w:tc>
        <w:tc>
          <w:tcPr>
            <w:tcW w:type="dxa" w:w="1944"/>
            <w:tcMar>
              <w:top w:w="45" w:type="dxa"/>
              <w:start w:w="75" w:type="dxa"/>
              <w:bottom w:w="45" w:type="dxa"/>
              <w:end w:w="75" w:type="dxa"/>
            </w:tcMar>
            <w:shd w:fill="FFF0E2"/>
            <w:vAlign w:val="center"/>
          </w:tcPr>
          <w:p>
            <w:pPr>
              <w:spacing w:after="0"/>
            </w:pPr>
            <w:r>
              <w:rPr>
                <w:b/>
                <w:color w:val="B86119"/>
                <w:sz w:val="16"/>
              </w:rPr>
              <w:t>V2</w:t>
            </w:r>
          </w:p>
        </w:tc>
        <w:tc>
          <w:tcPr>
            <w:tcW w:type="dxa" w:w="5112"/>
            <w:tcMar>
              <w:top w:w="45" w:type="dxa"/>
              <w:start w:w="75" w:type="dxa"/>
              <w:bottom w:w="45" w:type="dxa"/>
              <w:end w:w="75" w:type="dxa"/>
            </w:tcMar>
            <w:shd w:fill="FFF0E2"/>
            <w:vAlign w:val="center"/>
          </w:tcPr>
          <w:p>
            <w:pPr>
              <w:spacing w:after="0"/>
            </w:pPr>
            <w:r>
              <w:rPr>
                <w:b/>
                <w:color w:val="B86119"/>
                <w:sz w:val="16"/>
              </w:rPr>
              <w:t>Owner: Engineering</w:t>
            </w:r>
          </w:p>
        </w:tc>
      </w:tr>
    </w:tbl>
    <w:p>
      <w:pPr>
        <w:pStyle w:val="Heading2"/>
      </w:pPr>
      <w:r>
        <w:t>16.1 Migration principles</w:t>
      </w:r>
    </w:p>
    <w:p>
      <w:pPr>
        <w:pStyle w:val="ListBullet"/>
      </w:pPr>
      <w:r>
        <w:t>Migration is non-destructive until the new vault is fully written and verified.</w:t>
      </w:r>
    </w:p>
    <w:p>
      <w:pPr>
        <w:pStyle w:val="ListBullet"/>
      </w:pPr>
      <w:r>
        <w:t>The user may export a V1 encrypted backup before migration.</w:t>
      </w:r>
    </w:p>
    <w:p>
      <w:pPr>
        <w:pStyle w:val="ListBullet"/>
      </w:pPr>
      <w:r>
        <w:t>The existing passphrase should unlock the V1 vault and may be reused to initialize V2 unless the user changes it.</w:t>
      </w:r>
    </w:p>
    <w:p>
      <w:pPr>
        <w:pStyle w:val="ListBullet"/>
      </w:pPr>
      <w:r>
        <w:t>V1 aggregate actuals cannot be converted into transaction history; they become clearly labeled legacy snapshots.</w:t>
      </w:r>
    </w:p>
    <w:p>
      <w:pPr>
        <w:pStyle w:val="ListBullet"/>
      </w:pPr>
      <w:r>
        <w:t>No migration step invents account masks, transaction locations, merchants, or historical reimbursements.</w:t>
      </w:r>
    </w:p>
    <w:p>
      <w:pPr>
        <w:pStyle w:val="ListBullet"/>
      </w:pPr>
      <w:r>
        <w:t>Old storage keys are removed only after successful V2 save and verification.</w:t>
      </w:r>
    </w:p>
    <w:p>
      <w:pPr>
        <w:pStyle w:val="Heading2"/>
      </w:pPr>
      <w:r>
        <w:t>16.2 Field mapping</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3389"/>
        <w:gridCol w:w="3389"/>
        <w:gridCol w:w="3389"/>
      </w:tblGrid>
      <w:tr>
        <w:trPr>
          <w:tblHeader w:val="true"/>
          <w:cantSplit/>
        </w:trPr>
        <w:tc>
          <w:tcPr>
            <w:tcW w:type="dxa" w:w="2376"/>
            <w:shd w:fill="10261C"/>
            <w:tcMar>
              <w:top w:w="70" w:type="dxa"/>
              <w:start w:w="70" w:type="dxa"/>
              <w:bottom w:w="70" w:type="dxa"/>
              <w:end w:w="70" w:type="dxa"/>
            </w:tcMar>
            <w:vAlign w:val="center"/>
          </w:tcPr>
          <w:p>
            <w:pPr>
              <w:spacing w:after="0"/>
            </w:pPr>
            <w:r>
              <w:rPr>
                <w:b/>
                <w:color w:val="FFFFFF"/>
                <w:sz w:val="16"/>
              </w:rPr>
              <w:t>V1 data</w:t>
            </w:r>
          </w:p>
        </w:tc>
        <w:tc>
          <w:tcPr>
            <w:tcW w:type="dxa" w:w="3240"/>
            <w:shd w:fill="10261C"/>
            <w:tcMar>
              <w:top w:w="70" w:type="dxa"/>
              <w:start w:w="70" w:type="dxa"/>
              <w:bottom w:w="70" w:type="dxa"/>
              <w:end w:w="70" w:type="dxa"/>
            </w:tcMar>
            <w:vAlign w:val="center"/>
          </w:tcPr>
          <w:p>
            <w:pPr>
              <w:spacing w:after="0"/>
            </w:pPr>
            <w:r>
              <w:rPr>
                <w:b/>
                <w:color w:val="FFFFFF"/>
                <w:sz w:val="16"/>
              </w:rPr>
              <w:t>V2 destination</w:t>
            </w:r>
          </w:p>
        </w:tc>
        <w:tc>
          <w:tcPr>
            <w:tcW w:type="dxa" w:w="4464"/>
            <w:shd w:fill="10261C"/>
            <w:tcMar>
              <w:top w:w="70" w:type="dxa"/>
              <w:start w:w="70" w:type="dxa"/>
              <w:bottom w:w="70" w:type="dxa"/>
              <w:end w:w="70" w:type="dxa"/>
            </w:tcMar>
            <w:vAlign w:val="center"/>
          </w:tcPr>
          <w:p>
            <w:pPr>
              <w:spacing w:after="0"/>
            </w:pPr>
            <w:r>
              <w:rPr>
                <w:b/>
                <w:color w:val="FFFFFF"/>
                <w:sz w:val="16"/>
              </w:rPr>
              <w:t>Migration treatment</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6"/>
              </w:rPr>
              <w:t>monthlyIncome</w:t>
            </w:r>
          </w:p>
        </w:tc>
        <w:tc>
          <w:tcPr>
            <w:tcW w:type="dxa" w:w="3240"/>
            <w:tcMar>
              <w:top w:w="58" w:type="dxa"/>
              <w:start w:w="65" w:type="dxa"/>
              <w:bottom w:w="58" w:type="dxa"/>
              <w:end w:w="65" w:type="dxa"/>
            </w:tcMar>
            <w:shd w:fill="F8FAF9"/>
            <w:vAlign w:val="center"/>
          </w:tcPr>
          <w:p>
            <w:pPr>
              <w:pStyle w:val="MMTableText"/>
              <w:spacing w:after="0"/>
            </w:pPr>
            <w:r>
              <w:rPr>
                <w:sz w:val="16"/>
              </w:rPr>
              <w:t>MonthlyPlan income baseline / preference</w:t>
            </w:r>
          </w:p>
        </w:tc>
        <w:tc>
          <w:tcPr>
            <w:tcW w:type="dxa" w:w="4464"/>
            <w:tcMar>
              <w:top w:w="58" w:type="dxa"/>
              <w:start w:w="65" w:type="dxa"/>
              <w:bottom w:w="58" w:type="dxa"/>
              <w:end w:w="65" w:type="dxa"/>
            </w:tcMar>
            <w:shd w:fill="F8FAF9"/>
            <w:vAlign w:val="center"/>
          </w:tcPr>
          <w:p>
            <w:pPr>
              <w:pStyle w:val="MMTableText"/>
              <w:spacing w:after="0"/>
            </w:pPr>
            <w:r>
              <w:rPr>
                <w:sz w:val="16"/>
              </w:rPr>
              <w:t>Copy as planning baseline, not as verified earned income.</w:t>
            </w:r>
          </w:p>
        </w:tc>
      </w:tr>
      <w:tr>
        <w:trPr>
          <w:cantSplit/>
        </w:trPr>
        <w:tc>
          <w:tcPr>
            <w:tcW w:type="dxa" w:w="2376"/>
            <w:tcMar>
              <w:top w:w="58" w:type="dxa"/>
              <w:start w:w="65" w:type="dxa"/>
              <w:bottom w:w="58" w:type="dxa"/>
              <w:end w:w="65" w:type="dxa"/>
            </w:tcMar>
            <w:vAlign w:val="center"/>
          </w:tcPr>
          <w:p>
            <w:pPr>
              <w:pStyle w:val="MMTableText"/>
              <w:spacing w:after="0"/>
            </w:pPr>
            <w:r>
              <w:rPr>
                <w:sz w:val="16"/>
              </w:rPr>
              <w:t>categories[].name/group/target</w:t>
            </w:r>
          </w:p>
        </w:tc>
        <w:tc>
          <w:tcPr>
            <w:tcW w:type="dxa" w:w="3240"/>
            <w:tcMar>
              <w:top w:w="58" w:type="dxa"/>
              <w:start w:w="65" w:type="dxa"/>
              <w:bottom w:w="58" w:type="dxa"/>
              <w:end w:w="65" w:type="dxa"/>
            </w:tcMar>
            <w:vAlign w:val="center"/>
          </w:tcPr>
          <w:p>
            <w:pPr>
              <w:pStyle w:val="MMTableText"/>
              <w:spacing w:after="0"/>
            </w:pPr>
            <w:r>
              <w:rPr>
                <w:sz w:val="16"/>
              </w:rPr>
              <w:t>Bucket and monthly targets</w:t>
            </w:r>
          </w:p>
        </w:tc>
        <w:tc>
          <w:tcPr>
            <w:tcW w:type="dxa" w:w="4464"/>
            <w:tcMar>
              <w:top w:w="58" w:type="dxa"/>
              <w:start w:w="65" w:type="dxa"/>
              <w:bottom w:w="58" w:type="dxa"/>
              <w:end w:w="65" w:type="dxa"/>
            </w:tcMar>
            <w:vAlign w:val="center"/>
          </w:tcPr>
          <w:p>
            <w:pPr>
              <w:pStyle w:val="MMTableText"/>
              <w:spacing w:after="0"/>
            </w:pPr>
            <w:r>
              <w:rPr>
                <w:sz w:val="16"/>
              </w:rPr>
              <w:t>Create parent buckets preserving order from V1 list.</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6"/>
              </w:rPr>
              <w:t>categories[].actual</w:t>
            </w:r>
          </w:p>
        </w:tc>
        <w:tc>
          <w:tcPr>
            <w:tcW w:type="dxa" w:w="3240"/>
            <w:tcMar>
              <w:top w:w="58" w:type="dxa"/>
              <w:start w:w="65" w:type="dxa"/>
              <w:bottom w:w="58" w:type="dxa"/>
              <w:end w:w="65" w:type="dxa"/>
            </w:tcMar>
            <w:shd w:fill="F8FAF9"/>
            <w:vAlign w:val="center"/>
          </w:tcPr>
          <w:p>
            <w:pPr>
              <w:pStyle w:val="MMTableText"/>
              <w:spacing w:after="0"/>
            </w:pPr>
            <w:r>
              <w:rPr>
                <w:sz w:val="16"/>
              </w:rPr>
              <w:t>LegacyMonthlySnapshot</w:t>
            </w:r>
          </w:p>
        </w:tc>
        <w:tc>
          <w:tcPr>
            <w:tcW w:type="dxa" w:w="4464"/>
            <w:tcMar>
              <w:top w:w="58" w:type="dxa"/>
              <w:start w:w="65" w:type="dxa"/>
              <w:bottom w:w="58" w:type="dxa"/>
              <w:end w:w="65" w:type="dxa"/>
            </w:tcMar>
            <w:shd w:fill="F8FAF9"/>
            <w:vAlign w:val="center"/>
          </w:tcPr>
          <w:p>
            <w:pPr>
              <w:pStyle w:val="MMTableText"/>
              <w:spacing w:after="0"/>
            </w:pPr>
            <w:r>
              <w:rPr>
                <w:sz w:val="16"/>
              </w:rPr>
              <w:t>Store aggregate-only amount with “legacy, no transaction detail” label.</w:t>
            </w:r>
          </w:p>
        </w:tc>
      </w:tr>
      <w:tr>
        <w:trPr>
          <w:cantSplit/>
        </w:trPr>
        <w:tc>
          <w:tcPr>
            <w:tcW w:type="dxa" w:w="2376"/>
            <w:tcMar>
              <w:top w:w="58" w:type="dxa"/>
              <w:start w:w="65" w:type="dxa"/>
              <w:bottom w:w="58" w:type="dxa"/>
              <w:end w:w="65" w:type="dxa"/>
            </w:tcMar>
            <w:vAlign w:val="center"/>
          </w:tcPr>
          <w:p>
            <w:pPr>
              <w:pStyle w:val="MMTableText"/>
              <w:spacing w:after="0"/>
            </w:pPr>
            <w:r>
              <w:rPr>
                <w:sz w:val="16"/>
              </w:rPr>
              <w:t>accounts cash/debt/net worth</w:t>
            </w:r>
          </w:p>
        </w:tc>
        <w:tc>
          <w:tcPr>
            <w:tcW w:type="dxa" w:w="3240"/>
            <w:tcMar>
              <w:top w:w="58" w:type="dxa"/>
              <w:start w:w="65" w:type="dxa"/>
              <w:bottom w:w="58" w:type="dxa"/>
              <w:end w:w="65" w:type="dxa"/>
            </w:tcMar>
            <w:vAlign w:val="center"/>
          </w:tcPr>
          <w:p>
            <w:pPr>
              <w:pStyle w:val="MMTableText"/>
              <w:spacing w:after="0"/>
            </w:pPr>
            <w:r>
              <w:rPr>
                <w:sz w:val="16"/>
              </w:rPr>
              <w:t>LegacyBalanceSnapshot</w:t>
            </w:r>
          </w:p>
        </w:tc>
        <w:tc>
          <w:tcPr>
            <w:tcW w:type="dxa" w:w="4464"/>
            <w:tcMar>
              <w:top w:w="58" w:type="dxa"/>
              <w:start w:w="65" w:type="dxa"/>
              <w:bottom w:w="58" w:type="dxa"/>
              <w:end w:w="65" w:type="dxa"/>
            </w:tcMar>
            <w:vAlign w:val="center"/>
          </w:tcPr>
          <w:p>
            <w:pPr>
              <w:pStyle w:val="MMTableText"/>
              <w:spacing w:after="0"/>
            </w:pPr>
            <w:r>
              <w:rPr>
                <w:sz w:val="16"/>
              </w:rPr>
              <w:t>Store as dated manual snapshot; do not create fake accounts unless user maps them.</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6"/>
              </w:rPr>
              <w:t>travel rules</w:t>
            </w:r>
          </w:p>
        </w:tc>
        <w:tc>
          <w:tcPr>
            <w:tcW w:type="dxa" w:w="3240"/>
            <w:tcMar>
              <w:top w:w="58" w:type="dxa"/>
              <w:start w:w="65" w:type="dxa"/>
              <w:bottom w:w="58" w:type="dxa"/>
              <w:end w:w="65" w:type="dxa"/>
            </w:tcMar>
            <w:shd w:fill="F8FAF9"/>
            <w:vAlign w:val="center"/>
          </w:tcPr>
          <w:p>
            <w:pPr>
              <w:pStyle w:val="MMTableText"/>
              <w:spacing w:after="0"/>
            </w:pPr>
            <w:r>
              <w:rPr>
                <w:sz w:val="16"/>
              </w:rPr>
              <w:t>Travel preferences</w:t>
            </w:r>
          </w:p>
        </w:tc>
        <w:tc>
          <w:tcPr>
            <w:tcW w:type="dxa" w:w="4464"/>
            <w:tcMar>
              <w:top w:w="58" w:type="dxa"/>
              <w:start w:w="65" w:type="dxa"/>
              <w:bottom w:w="58" w:type="dxa"/>
              <w:end w:w="65" w:type="dxa"/>
            </w:tcMar>
            <w:shd w:fill="F8FAF9"/>
            <w:vAlign w:val="center"/>
          </w:tcPr>
          <w:p>
            <w:pPr>
              <w:pStyle w:val="MMTableText"/>
              <w:spacing w:after="0"/>
            </w:pPr>
            <w:r>
              <w:rPr>
                <w:sz w:val="16"/>
              </w:rPr>
              <w:t>Copy directly.</w:t>
            </w:r>
          </w:p>
        </w:tc>
      </w:tr>
      <w:tr>
        <w:trPr>
          <w:cantSplit/>
        </w:trPr>
        <w:tc>
          <w:tcPr>
            <w:tcW w:type="dxa" w:w="2376"/>
            <w:tcMar>
              <w:top w:w="58" w:type="dxa"/>
              <w:start w:w="65" w:type="dxa"/>
              <w:bottom w:w="58" w:type="dxa"/>
              <w:end w:w="65" w:type="dxa"/>
            </w:tcMar>
            <w:vAlign w:val="center"/>
          </w:tcPr>
          <w:p>
            <w:pPr>
              <w:pStyle w:val="MMTableText"/>
              <w:spacing w:after="0"/>
            </w:pPr>
            <w:r>
              <w:rPr>
                <w:sz w:val="16"/>
              </w:rPr>
              <w:t>visited city/state</w:t>
            </w:r>
          </w:p>
        </w:tc>
        <w:tc>
          <w:tcPr>
            <w:tcW w:type="dxa" w:w="3240"/>
            <w:tcMar>
              <w:top w:w="58" w:type="dxa"/>
              <w:start w:w="65" w:type="dxa"/>
              <w:bottom w:w="58" w:type="dxa"/>
              <w:end w:w="65" w:type="dxa"/>
            </w:tcMar>
            <w:vAlign w:val="center"/>
          </w:tcPr>
          <w:p>
            <w:pPr>
              <w:pStyle w:val="MMTableText"/>
              <w:spacing w:after="0"/>
            </w:pPr>
            <w:r>
              <w:rPr>
                <w:sz w:val="16"/>
              </w:rPr>
              <w:t>VisitedPlace records</w:t>
            </w:r>
          </w:p>
        </w:tc>
        <w:tc>
          <w:tcPr>
            <w:tcW w:type="dxa" w:w="4464"/>
            <w:tcMar>
              <w:top w:w="58" w:type="dxa"/>
              <w:start w:w="65" w:type="dxa"/>
              <w:bottom w:w="58" w:type="dxa"/>
              <w:end w:w="65" w:type="dxa"/>
            </w:tcMar>
            <w:vAlign w:val="center"/>
          </w:tcPr>
          <w:p>
            <w:pPr>
              <w:pStyle w:val="MMTableText"/>
              <w:spacing w:after="0"/>
            </w:pPr>
            <w:r>
              <w:rPr>
                <w:sz w:val="16"/>
              </w:rPr>
              <w:t>Copy directly.</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6"/>
              </w:rPr>
              <w:t>destination list</w:t>
            </w:r>
          </w:p>
        </w:tc>
        <w:tc>
          <w:tcPr>
            <w:tcW w:type="dxa" w:w="3240"/>
            <w:tcMar>
              <w:top w:w="58" w:type="dxa"/>
              <w:start w:w="65" w:type="dxa"/>
              <w:bottom w:w="58" w:type="dxa"/>
              <w:end w:w="65" w:type="dxa"/>
            </w:tcMar>
            <w:shd w:fill="F8FAF9"/>
            <w:vAlign w:val="center"/>
          </w:tcPr>
          <w:p>
            <w:pPr>
              <w:pStyle w:val="MMTableText"/>
              <w:spacing w:after="0"/>
            </w:pPr>
            <w:r>
              <w:rPr>
                <w:sz w:val="16"/>
              </w:rPr>
              <w:t>Curated travel catalog</w:t>
            </w:r>
          </w:p>
        </w:tc>
        <w:tc>
          <w:tcPr>
            <w:tcW w:type="dxa" w:w="4464"/>
            <w:tcMar>
              <w:top w:w="58" w:type="dxa"/>
              <w:start w:w="65" w:type="dxa"/>
              <w:bottom w:w="58" w:type="dxa"/>
              <w:end w:w="65" w:type="dxa"/>
            </w:tcMar>
            <w:shd w:fill="F8FAF9"/>
            <w:vAlign w:val="center"/>
          </w:tcPr>
          <w:p>
            <w:pPr>
              <w:pStyle w:val="MMTableText"/>
              <w:spacing w:after="0"/>
            </w:pPr>
            <w:r>
              <w:rPr>
                <w:sz w:val="16"/>
              </w:rPr>
              <w:t>Carry as seed data, versioned separately from user data.</w:t>
            </w:r>
          </w:p>
        </w:tc>
      </w:tr>
      <w:tr>
        <w:trPr>
          <w:cantSplit/>
        </w:trPr>
        <w:tc>
          <w:tcPr>
            <w:tcW w:type="dxa" w:w="2376"/>
            <w:tcMar>
              <w:top w:w="58" w:type="dxa"/>
              <w:start w:w="65" w:type="dxa"/>
              <w:bottom w:w="58" w:type="dxa"/>
              <w:end w:w="65" w:type="dxa"/>
            </w:tcMar>
            <w:vAlign w:val="center"/>
          </w:tcPr>
          <w:p>
            <w:pPr>
              <w:pStyle w:val="MMTableText"/>
              <w:spacing w:after="0"/>
            </w:pPr>
            <w:r>
              <w:rPr>
                <w:sz w:val="16"/>
              </w:rPr>
              <w:t>asOf</w:t>
            </w:r>
          </w:p>
        </w:tc>
        <w:tc>
          <w:tcPr>
            <w:tcW w:type="dxa" w:w="3240"/>
            <w:tcMar>
              <w:top w:w="58" w:type="dxa"/>
              <w:start w:w="65" w:type="dxa"/>
              <w:bottom w:w="58" w:type="dxa"/>
              <w:end w:w="65" w:type="dxa"/>
            </w:tcMar>
            <w:vAlign w:val="center"/>
          </w:tcPr>
          <w:p>
            <w:pPr>
              <w:pStyle w:val="MMTableText"/>
              <w:spacing w:after="0"/>
            </w:pPr>
            <w:r>
              <w:rPr>
                <w:sz w:val="16"/>
              </w:rPr>
              <w:t>Snapshot timestamp</w:t>
            </w:r>
          </w:p>
        </w:tc>
        <w:tc>
          <w:tcPr>
            <w:tcW w:type="dxa" w:w="4464"/>
            <w:tcMar>
              <w:top w:w="58" w:type="dxa"/>
              <w:start w:w="65" w:type="dxa"/>
              <w:bottom w:w="58" w:type="dxa"/>
              <w:end w:w="65" w:type="dxa"/>
            </w:tcMar>
            <w:vAlign w:val="center"/>
          </w:tcPr>
          <w:p>
            <w:pPr>
              <w:pStyle w:val="MMTableText"/>
              <w:spacing w:after="0"/>
            </w:pPr>
            <w:r>
              <w:rPr>
                <w:sz w:val="16"/>
              </w:rPr>
              <w:t>Preserve.</w:t>
            </w:r>
          </w:p>
        </w:tc>
      </w:tr>
      <w:tr>
        <w:trPr>
          <w:cantSplit/>
        </w:trPr>
        <w:tc>
          <w:tcPr>
            <w:tcW w:type="dxa" w:w="2376"/>
            <w:tcMar>
              <w:top w:w="58" w:type="dxa"/>
              <w:start w:w="65" w:type="dxa"/>
              <w:bottom w:w="58" w:type="dxa"/>
              <w:end w:w="65" w:type="dxa"/>
            </w:tcMar>
            <w:shd w:fill="F8FAF9"/>
            <w:vAlign w:val="center"/>
          </w:tcPr>
          <w:p>
            <w:pPr>
              <w:pStyle w:val="MMTableText"/>
              <w:spacing w:after="0"/>
            </w:pPr>
            <w:r>
              <w:rPr>
                <w:sz w:val="16"/>
              </w:rPr>
              <w:t>vault cryptographic metadata</w:t>
            </w:r>
          </w:p>
        </w:tc>
        <w:tc>
          <w:tcPr>
            <w:tcW w:type="dxa" w:w="3240"/>
            <w:tcMar>
              <w:top w:w="58" w:type="dxa"/>
              <w:start w:w="65" w:type="dxa"/>
              <w:bottom w:w="58" w:type="dxa"/>
              <w:end w:w="65" w:type="dxa"/>
            </w:tcMar>
            <w:shd w:fill="F8FAF9"/>
            <w:vAlign w:val="center"/>
          </w:tcPr>
          <w:p>
            <w:pPr>
              <w:pStyle w:val="MMTableText"/>
              <w:spacing w:after="0"/>
            </w:pPr>
            <w:r>
              <w:rPr>
                <w:sz w:val="16"/>
              </w:rPr>
              <w:t>V2 vault migration input</w:t>
            </w:r>
          </w:p>
        </w:tc>
        <w:tc>
          <w:tcPr>
            <w:tcW w:type="dxa" w:w="4464"/>
            <w:tcMar>
              <w:top w:w="58" w:type="dxa"/>
              <w:start w:w="65" w:type="dxa"/>
              <w:bottom w:w="58" w:type="dxa"/>
              <w:end w:w="65" w:type="dxa"/>
            </w:tcMar>
            <w:shd w:fill="F8FAF9"/>
            <w:vAlign w:val="center"/>
          </w:tcPr>
          <w:p>
            <w:pPr>
              <w:pStyle w:val="MMTableText"/>
              <w:spacing w:after="0"/>
            </w:pPr>
            <w:r>
              <w:rPr>
                <w:sz w:val="16"/>
              </w:rPr>
              <w:t>Decrypt and re-encrypt using V2 schema and current crypto policy.</w:t>
            </w:r>
          </w:p>
        </w:tc>
      </w:tr>
    </w:tbl>
    <w:p>
      <w:pPr>
        <w:spacing w:after="0"/>
      </w:pPr>
    </w:p>
    <w:p>
      <w:pPr>
        <w:pStyle w:val="Heading2"/>
      </w:pPr>
      <w:r>
        <w:t>16.3 Migration user experience</w:t>
      </w:r>
    </w:p>
    <w:p>
      <w:pPr>
        <w:pStyle w:val="Heading4"/>
      </w:pPr>
      <w:r>
        <w:t>Migration sequence</w:t>
      </w:r>
    </w:p>
    <w:p>
      <w:pPr>
        <w:ind w:left="216"/>
      </w:pPr>
      <w:r>
        <w:rPr>
          <w:b/>
          <w:color w:val="287A4D"/>
        </w:rPr>
        <w:t xml:space="preserve">1. </w:t>
      </w:r>
      <w:r>
        <w:t>Detect an existing V1 vault under the legacy storage namespace.</w:t>
      </w:r>
    </w:p>
    <w:p>
      <w:pPr>
        <w:ind w:left="216"/>
      </w:pPr>
      <w:r>
        <w:rPr>
          <w:b/>
          <w:color w:val="287A4D"/>
        </w:rPr>
        <w:t xml:space="preserve">2. </w:t>
      </w:r>
      <w:r>
        <w:t>Explain that V1 is aggregate-only and what will and will not migrate.</w:t>
      </w:r>
    </w:p>
    <w:p>
      <w:pPr>
        <w:ind w:left="216"/>
      </w:pPr>
      <w:r>
        <w:rPr>
          <w:b/>
          <w:color w:val="287A4D"/>
        </w:rPr>
        <w:t xml:space="preserve">3. </w:t>
      </w:r>
      <w:r>
        <w:t>Request the existing passphrase and decrypt V1 in memory.</w:t>
      </w:r>
    </w:p>
    <w:p>
      <w:pPr>
        <w:ind w:left="216"/>
      </w:pPr>
      <w:r>
        <w:rPr>
          <w:b/>
          <w:color w:val="287A4D"/>
        </w:rPr>
        <w:t xml:space="preserve">4. </w:t>
      </w:r>
      <w:r>
        <w:t>Validate required fields and create a V2 migration plan preview.</w:t>
      </w:r>
    </w:p>
    <w:p>
      <w:pPr>
        <w:ind w:left="216"/>
      </w:pPr>
      <w:r>
        <w:rPr>
          <w:b/>
          <w:color w:val="287A4D"/>
        </w:rPr>
        <w:t xml:space="preserve">5. </w:t>
      </w:r>
      <w:r>
        <w:t>Create the V2 database and encrypted vault in a temporary location.</w:t>
      </w:r>
    </w:p>
    <w:p>
      <w:pPr>
        <w:ind w:left="216"/>
      </w:pPr>
      <w:r>
        <w:rPr>
          <w:b/>
          <w:color w:val="287A4D"/>
        </w:rPr>
        <w:t xml:space="preserve">6. </w:t>
      </w:r>
      <w:r>
        <w:t>Run integrity checks and compare migrated counts/totals.</w:t>
      </w:r>
    </w:p>
    <w:p>
      <w:pPr>
        <w:ind w:left="216"/>
      </w:pPr>
      <w:r>
        <w:rPr>
          <w:b/>
          <w:color w:val="287A4D"/>
        </w:rPr>
        <w:t xml:space="preserve">7. </w:t>
      </w:r>
      <w:r>
        <w:t>Commit the new vault atomically and retain a rollback backup until the next successful launch.</w:t>
      </w:r>
    </w:p>
    <w:p>
      <w:pPr>
        <w:ind w:left="216"/>
      </w:pPr>
      <w:r>
        <w:rPr>
          <w:b/>
          <w:color w:val="287A4D"/>
        </w:rPr>
        <w:t xml:space="preserve">8. </w:t>
      </w:r>
      <w:r>
        <w:t>Show a migration report and direct the user to map account snapshots if desired.</w:t>
      </w:r>
    </w:p>
    <w:p>
      <w:pPr>
        <w:pStyle w:val="Heading1"/>
      </w:pPr>
      <w:r>
        <w:t>17. Testing, Quality, and Acceptance</w:t>
      </w:r>
    </w:p>
    <w:p>
      <w:pPr>
        <w:pStyle w:val="Heading2"/>
      </w:pPr>
      <w:r>
        <w:t>17.1 Test layers</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2088"/>
            <w:shd w:fill="10261C"/>
            <w:tcMar>
              <w:top w:w="70" w:type="dxa"/>
              <w:start w:w="70" w:type="dxa"/>
              <w:bottom w:w="70" w:type="dxa"/>
              <w:end w:w="70" w:type="dxa"/>
            </w:tcMar>
            <w:vAlign w:val="center"/>
          </w:tcPr>
          <w:p>
            <w:pPr>
              <w:spacing w:after="0"/>
            </w:pPr>
            <w:r>
              <w:rPr>
                <w:b/>
                <w:color w:val="FFFFFF"/>
                <w:sz w:val="16"/>
              </w:rPr>
              <w:t>Layer</w:t>
            </w:r>
          </w:p>
        </w:tc>
        <w:tc>
          <w:tcPr>
            <w:tcW w:type="dxa" w:w="7992"/>
            <w:shd w:fill="10261C"/>
            <w:tcMar>
              <w:top w:w="70" w:type="dxa"/>
              <w:start w:w="70" w:type="dxa"/>
              <w:bottom w:w="70" w:type="dxa"/>
              <w:end w:w="70" w:type="dxa"/>
            </w:tcMar>
            <w:vAlign w:val="center"/>
          </w:tcPr>
          <w:p>
            <w:pPr>
              <w:spacing w:after="0"/>
            </w:pPr>
            <w:r>
              <w:rPr>
                <w:b/>
                <w:color w:val="FFFFFF"/>
                <w:sz w:val="16"/>
              </w:rPr>
              <w:t>Required coverage</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Unit tests</w:t>
            </w:r>
          </w:p>
        </w:tc>
        <w:tc>
          <w:tcPr>
            <w:tcW w:type="dxa" w:w="7992"/>
            <w:tcMar>
              <w:top w:w="58" w:type="dxa"/>
              <w:start w:w="65" w:type="dxa"/>
              <w:bottom w:w="58" w:type="dxa"/>
              <w:end w:w="65" w:type="dxa"/>
            </w:tcMar>
            <w:shd w:fill="F8FAF9"/>
            <w:vAlign w:val="center"/>
          </w:tcPr>
          <w:p>
            <w:pPr>
              <w:pStyle w:val="MMTableText"/>
              <w:spacing w:after="0"/>
            </w:pPr>
            <w:r>
              <w:rPr>
                <w:sz w:val="16"/>
              </w:rPr>
              <w:t>Amount normalization, allocation sums, claim balances, refund links, transfer exclusion, safe-to-spend inputs, rule precedence, date/month logic.</w:t>
            </w:r>
          </w:p>
        </w:tc>
      </w:tr>
      <w:tr>
        <w:trPr>
          <w:cantSplit/>
        </w:trPr>
        <w:tc>
          <w:tcPr>
            <w:tcW w:type="dxa" w:w="2088"/>
            <w:tcMar>
              <w:top w:w="58" w:type="dxa"/>
              <w:start w:w="65" w:type="dxa"/>
              <w:bottom w:w="58" w:type="dxa"/>
              <w:end w:w="65" w:type="dxa"/>
            </w:tcMar>
            <w:vAlign w:val="center"/>
          </w:tcPr>
          <w:p>
            <w:pPr>
              <w:pStyle w:val="MMTableText"/>
              <w:spacing w:after="0"/>
            </w:pPr>
            <w:r>
              <w:rPr>
                <w:sz w:val="16"/>
              </w:rPr>
              <w:t>Property/invariant tests</w:t>
            </w:r>
          </w:p>
        </w:tc>
        <w:tc>
          <w:tcPr>
            <w:tcW w:type="dxa" w:w="7992"/>
            <w:tcMar>
              <w:top w:w="58" w:type="dxa"/>
              <w:start w:w="65" w:type="dxa"/>
              <w:bottom w:w="58" w:type="dxa"/>
              <w:end w:w="65" w:type="dxa"/>
            </w:tcMar>
            <w:vAlign w:val="center"/>
          </w:tcPr>
          <w:p>
            <w:pPr>
              <w:pStyle w:val="MMTableText"/>
              <w:spacing w:after="0"/>
            </w:pPr>
            <w:r>
              <w:rPr>
                <w:sz w:val="16"/>
              </w:rPr>
              <w:t>Random split combinations, rounding, partial repayments, overpayments, and migration values never violate invariants.</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Database tests</w:t>
            </w:r>
          </w:p>
        </w:tc>
        <w:tc>
          <w:tcPr>
            <w:tcW w:type="dxa" w:w="7992"/>
            <w:tcMar>
              <w:top w:w="58" w:type="dxa"/>
              <w:start w:w="65" w:type="dxa"/>
              <w:bottom w:w="58" w:type="dxa"/>
              <w:end w:w="65" w:type="dxa"/>
            </w:tcMar>
            <w:shd w:fill="F8FAF9"/>
            <w:vAlign w:val="center"/>
          </w:tcPr>
          <w:p>
            <w:pPr>
              <w:pStyle w:val="MMTableText"/>
              <w:spacing w:after="0"/>
            </w:pPr>
            <w:r>
              <w:rPr>
                <w:sz w:val="16"/>
              </w:rPr>
              <w:t>Migrations, rollback, atomic writes, archive/merge referential integrity, audit events.</w:t>
            </w:r>
          </w:p>
        </w:tc>
      </w:tr>
      <w:tr>
        <w:trPr>
          <w:cantSplit/>
        </w:trPr>
        <w:tc>
          <w:tcPr>
            <w:tcW w:type="dxa" w:w="2088"/>
            <w:tcMar>
              <w:top w:w="58" w:type="dxa"/>
              <w:start w:w="65" w:type="dxa"/>
              <w:bottom w:w="58" w:type="dxa"/>
              <w:end w:w="65" w:type="dxa"/>
            </w:tcMar>
            <w:vAlign w:val="center"/>
          </w:tcPr>
          <w:p>
            <w:pPr>
              <w:pStyle w:val="MMTableText"/>
              <w:spacing w:after="0"/>
            </w:pPr>
            <w:r>
              <w:rPr>
                <w:sz w:val="16"/>
              </w:rPr>
              <w:t>Import tests</w:t>
            </w:r>
          </w:p>
        </w:tc>
        <w:tc>
          <w:tcPr>
            <w:tcW w:type="dxa" w:w="7992"/>
            <w:tcMar>
              <w:top w:w="58" w:type="dxa"/>
              <w:start w:w="65" w:type="dxa"/>
              <w:bottom w:w="58" w:type="dxa"/>
              <w:end w:w="65" w:type="dxa"/>
            </w:tcMar>
            <w:vAlign w:val="center"/>
          </w:tcPr>
          <w:p>
            <w:pPr>
              <w:pStyle w:val="MMTableText"/>
              <w:spacing w:after="0"/>
            </w:pPr>
            <w:r>
              <w:rPr>
                <w:sz w:val="16"/>
              </w:rPr>
              <w:t>Institution CSV variants, sign conventions, missing columns, malformed rows, duplicates, idempotent reimport.</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UI tests</w:t>
            </w:r>
          </w:p>
        </w:tc>
        <w:tc>
          <w:tcPr>
            <w:tcW w:type="dxa" w:w="7992"/>
            <w:tcMar>
              <w:top w:w="58" w:type="dxa"/>
              <w:start w:w="65" w:type="dxa"/>
              <w:bottom w:w="58" w:type="dxa"/>
              <w:end w:w="65" w:type="dxa"/>
            </w:tcMar>
            <w:shd w:fill="F8FAF9"/>
            <w:vAlign w:val="center"/>
          </w:tcPr>
          <w:p>
            <w:pPr>
              <w:pStyle w:val="MMTableText"/>
              <w:spacing w:after="0"/>
            </w:pPr>
            <w:r>
              <w:rPr>
                <w:sz w:val="16"/>
              </w:rPr>
              <w:t>Weekly review, keyboard navigation, split editor, claim matching, undo, filters, empty/error states.</w:t>
            </w:r>
          </w:p>
        </w:tc>
      </w:tr>
      <w:tr>
        <w:trPr>
          <w:cantSplit/>
        </w:trPr>
        <w:tc>
          <w:tcPr>
            <w:tcW w:type="dxa" w:w="2088"/>
            <w:tcMar>
              <w:top w:w="58" w:type="dxa"/>
              <w:start w:w="65" w:type="dxa"/>
              <w:bottom w:w="58" w:type="dxa"/>
              <w:end w:w="65" w:type="dxa"/>
            </w:tcMar>
            <w:vAlign w:val="center"/>
          </w:tcPr>
          <w:p>
            <w:pPr>
              <w:pStyle w:val="MMTableText"/>
              <w:spacing w:after="0"/>
            </w:pPr>
            <w:r>
              <w:rPr>
                <w:sz w:val="16"/>
              </w:rPr>
              <w:t>Security tests</w:t>
            </w:r>
          </w:p>
        </w:tc>
        <w:tc>
          <w:tcPr>
            <w:tcW w:type="dxa" w:w="7992"/>
            <w:tcMar>
              <w:top w:w="58" w:type="dxa"/>
              <w:start w:w="65" w:type="dxa"/>
              <w:bottom w:w="58" w:type="dxa"/>
              <w:end w:w="65" w:type="dxa"/>
            </w:tcMar>
            <w:vAlign w:val="center"/>
          </w:tcPr>
          <w:p>
            <w:pPr>
              <w:pStyle w:val="MMTableText"/>
              <w:spacing w:after="0"/>
            </w:pPr>
            <w:r>
              <w:rPr>
                <w:sz w:val="16"/>
              </w:rPr>
              <w:t>Locked-state access, bad passphrase, modified backup, token storage boundary, local-service origin controls.</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End-to-end tests</w:t>
            </w:r>
          </w:p>
        </w:tc>
        <w:tc>
          <w:tcPr>
            <w:tcW w:type="dxa" w:w="7992"/>
            <w:tcMar>
              <w:top w:w="58" w:type="dxa"/>
              <w:start w:w="65" w:type="dxa"/>
              <w:bottom w:w="58" w:type="dxa"/>
              <w:end w:w="65" w:type="dxa"/>
            </w:tcMar>
            <w:shd w:fill="F8FAF9"/>
            <w:vAlign w:val="center"/>
          </w:tcPr>
          <w:p>
            <w:pPr>
              <w:pStyle w:val="MMTableText"/>
              <w:spacing w:after="0"/>
            </w:pPr>
            <w:r>
              <w:rPr>
                <w:sz w:val="16"/>
              </w:rPr>
              <w:t>V1 migration through V2 review and backup restore in a clean profile.</w:t>
            </w:r>
          </w:p>
        </w:tc>
      </w:tr>
      <w:tr>
        <w:trPr>
          <w:cantSplit/>
        </w:trPr>
        <w:tc>
          <w:tcPr>
            <w:tcW w:type="dxa" w:w="2088"/>
            <w:tcMar>
              <w:top w:w="58" w:type="dxa"/>
              <w:start w:w="65" w:type="dxa"/>
              <w:bottom w:w="58" w:type="dxa"/>
              <w:end w:w="65" w:type="dxa"/>
            </w:tcMar>
            <w:vAlign w:val="center"/>
          </w:tcPr>
          <w:p>
            <w:pPr>
              <w:pStyle w:val="MMTableText"/>
              <w:spacing w:after="0"/>
            </w:pPr>
            <w:r>
              <w:rPr>
                <w:sz w:val="16"/>
              </w:rPr>
              <w:t>Plaid Sandbox tests</w:t>
            </w:r>
          </w:p>
        </w:tc>
        <w:tc>
          <w:tcPr>
            <w:tcW w:type="dxa" w:w="7992"/>
            <w:tcMar>
              <w:top w:w="58" w:type="dxa"/>
              <w:start w:w="65" w:type="dxa"/>
              <w:bottom w:w="58" w:type="dxa"/>
              <w:end w:w="65" w:type="dxa"/>
            </w:tcMar>
            <w:vAlign w:val="center"/>
          </w:tcPr>
          <w:p>
            <w:pPr>
              <w:pStyle w:val="MMTableText"/>
              <w:spacing w:after="0"/>
            </w:pPr>
            <w:r>
              <w:rPr>
                <w:sz w:val="16"/>
              </w:rPr>
              <w:t>Later phase: link, cursor sync, pending/posting, reconnect, removed rows, duplicate handling.</w:t>
            </w:r>
          </w:p>
        </w:tc>
      </w:tr>
    </w:tbl>
    <w:p>
      <w:pPr>
        <w:spacing w:after="0"/>
      </w:pPr>
    </w:p>
    <w:p>
      <w:pPr>
        <w:pStyle w:val="Heading2"/>
      </w:pPr>
      <w:r>
        <w:t>17.2 Definition of done</w:t>
      </w:r>
    </w:p>
    <w:p>
      <w:pPr>
        <w:pStyle w:val="ListBullet"/>
      </w:pPr>
      <w:r>
        <w:t>Requirement acceptance criteria pass.</w:t>
      </w:r>
    </w:p>
    <w:p>
      <w:pPr>
        <w:pStyle w:val="ListBullet"/>
      </w:pPr>
      <w:r>
        <w:t>Automated tests cover domain behavior and critical UI flows.</w:t>
      </w:r>
    </w:p>
    <w:p>
      <w:pPr>
        <w:pStyle w:val="ListBullet"/>
      </w:pPr>
      <w:r>
        <w:t>No unresolved data-loss or double-counting defect remains.</w:t>
      </w:r>
    </w:p>
    <w:p>
      <w:pPr>
        <w:pStyle w:val="ListBullet"/>
      </w:pPr>
      <w:r>
        <w:t>Security and privacy review is complete for the changed surface.</w:t>
      </w:r>
    </w:p>
    <w:p>
      <w:pPr>
        <w:pStyle w:val="ListBullet"/>
      </w:pPr>
      <w:r>
        <w:t>Migration is tested on a copy of the V1 vault.</w:t>
      </w:r>
    </w:p>
    <w:p>
      <w:pPr>
        <w:pStyle w:val="ListBullet"/>
      </w:pPr>
      <w:r>
        <w:t>Documentation and in-product explanations match the implemented calculation.</w:t>
      </w:r>
    </w:p>
    <w:p>
      <w:pPr>
        <w:pStyle w:val="ListBullet"/>
      </w:pPr>
      <w:r>
        <w:t>A clean encrypted backup can be restored into a new local installation.</w:t>
      </w:r>
    </w:p>
    <w:p>
      <w:pPr>
        <w:pStyle w:val="ListBullet"/>
      </w:pPr>
      <w:r>
        <w:t>The feature is included in the implementation status matrix as Implemented only after verification.</w:t>
      </w:r>
    </w:p>
    <w:p>
      <w:pPr>
        <w:pStyle w:val="Heading2"/>
      </w:pPr>
      <w:r>
        <w:t>17.3 Epic acceptance summary</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2088"/>
            <w:shd w:fill="10261C"/>
            <w:tcMar>
              <w:top w:w="70" w:type="dxa"/>
              <w:start w:w="70" w:type="dxa"/>
              <w:bottom w:w="70" w:type="dxa"/>
              <w:end w:w="70" w:type="dxa"/>
            </w:tcMar>
            <w:vAlign w:val="center"/>
          </w:tcPr>
          <w:p>
            <w:pPr>
              <w:spacing w:after="0"/>
            </w:pPr>
            <w:r>
              <w:rPr>
                <w:b/>
                <w:color w:val="FFFFFF"/>
                <w:sz w:val="16"/>
              </w:rPr>
              <w:t>Epic</w:t>
            </w:r>
          </w:p>
        </w:tc>
        <w:tc>
          <w:tcPr>
            <w:tcW w:type="dxa" w:w="7992"/>
            <w:shd w:fill="10261C"/>
            <w:tcMar>
              <w:top w:w="70" w:type="dxa"/>
              <w:start w:w="70" w:type="dxa"/>
              <w:bottom w:w="70" w:type="dxa"/>
              <w:end w:w="70" w:type="dxa"/>
            </w:tcMar>
            <w:vAlign w:val="center"/>
          </w:tcPr>
          <w:p>
            <w:pPr>
              <w:spacing w:after="0"/>
            </w:pPr>
            <w:r>
              <w:rPr>
                <w:b/>
                <w:color w:val="FFFFFF"/>
                <w:sz w:val="16"/>
              </w:rPr>
              <w:t>Acceptance statement</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Canonical ledger</w:t>
            </w:r>
          </w:p>
        </w:tc>
        <w:tc>
          <w:tcPr>
            <w:tcW w:type="dxa" w:w="7992"/>
            <w:tcMar>
              <w:top w:w="58" w:type="dxa"/>
              <w:start w:w="65" w:type="dxa"/>
              <w:bottom w:w="58" w:type="dxa"/>
              <w:end w:w="65" w:type="dxa"/>
            </w:tcMar>
            <w:shd w:fill="F8FAF9"/>
            <w:vAlign w:val="center"/>
          </w:tcPr>
          <w:p>
            <w:pPr>
              <w:pStyle w:val="MMTableText"/>
              <w:spacing w:after="0"/>
            </w:pPr>
            <w:r>
              <w:rPr>
                <w:sz w:val="16"/>
              </w:rPr>
              <w:t>Imported/manual transactions persist with stable IDs, source facts, user meaning, and audit history.</w:t>
            </w:r>
          </w:p>
        </w:tc>
      </w:tr>
      <w:tr>
        <w:trPr>
          <w:cantSplit/>
        </w:trPr>
        <w:tc>
          <w:tcPr>
            <w:tcW w:type="dxa" w:w="2088"/>
            <w:tcMar>
              <w:top w:w="58" w:type="dxa"/>
              <w:start w:w="65" w:type="dxa"/>
              <w:bottom w:w="58" w:type="dxa"/>
              <w:end w:w="65" w:type="dxa"/>
            </w:tcMar>
            <w:vAlign w:val="center"/>
          </w:tcPr>
          <w:p>
            <w:pPr>
              <w:pStyle w:val="MMTableText"/>
              <w:spacing w:after="0"/>
            </w:pPr>
            <w:r>
              <w:rPr>
                <w:sz w:val="16"/>
              </w:rPr>
              <w:t>Buckets</w:t>
            </w:r>
          </w:p>
        </w:tc>
        <w:tc>
          <w:tcPr>
            <w:tcW w:type="dxa" w:w="7992"/>
            <w:tcMar>
              <w:top w:w="58" w:type="dxa"/>
              <w:start w:w="65" w:type="dxa"/>
              <w:bottom w:w="58" w:type="dxa"/>
              <w:end w:w="65" w:type="dxa"/>
            </w:tcMar>
            <w:vAlign w:val="center"/>
          </w:tcPr>
          <w:p>
            <w:pPr>
              <w:pStyle w:val="MMTableText"/>
              <w:spacing w:after="0"/>
            </w:pPr>
            <w:r>
              <w:rPr>
                <w:sz w:val="16"/>
              </w:rPr>
              <w:t>Parent/sub-buckets roll up correctly and display allocation-level drill-down.</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Splits</w:t>
            </w:r>
          </w:p>
        </w:tc>
        <w:tc>
          <w:tcPr>
            <w:tcW w:type="dxa" w:w="7992"/>
            <w:tcMar>
              <w:top w:w="58" w:type="dxa"/>
              <w:start w:w="65" w:type="dxa"/>
              <w:bottom w:w="58" w:type="dxa"/>
              <w:end w:w="65" w:type="dxa"/>
            </w:tcMar>
            <w:shd w:fill="F8FAF9"/>
            <w:vAlign w:val="center"/>
          </w:tcPr>
          <w:p>
            <w:pPr>
              <w:pStyle w:val="MMTableText"/>
              <w:spacing w:after="0"/>
            </w:pPr>
            <w:r>
              <w:rPr>
                <w:sz w:val="16"/>
              </w:rPr>
              <w:t>No finalized expense has unallocated or overallocated cents.</w:t>
            </w:r>
          </w:p>
        </w:tc>
      </w:tr>
      <w:tr>
        <w:trPr>
          <w:cantSplit/>
        </w:trPr>
        <w:tc>
          <w:tcPr>
            <w:tcW w:type="dxa" w:w="2088"/>
            <w:tcMar>
              <w:top w:w="58" w:type="dxa"/>
              <w:start w:w="65" w:type="dxa"/>
              <w:bottom w:w="58" w:type="dxa"/>
              <w:end w:w="65" w:type="dxa"/>
            </w:tcMar>
            <w:vAlign w:val="center"/>
          </w:tcPr>
          <w:p>
            <w:pPr>
              <w:pStyle w:val="MMTableText"/>
              <w:spacing w:after="0"/>
            </w:pPr>
            <w:r>
              <w:rPr>
                <w:sz w:val="16"/>
              </w:rPr>
              <w:t>Reimbursements</w:t>
            </w:r>
          </w:p>
        </w:tc>
        <w:tc>
          <w:tcPr>
            <w:tcW w:type="dxa" w:w="7992"/>
            <w:tcMar>
              <w:top w:w="58" w:type="dxa"/>
              <w:start w:w="65" w:type="dxa"/>
              <w:bottom w:w="58" w:type="dxa"/>
              <w:end w:w="65" w:type="dxa"/>
            </w:tcMar>
            <w:vAlign w:val="center"/>
          </w:tcPr>
          <w:p>
            <w:pPr>
              <w:pStyle w:val="MMTableText"/>
              <w:spacing w:after="0"/>
            </w:pPr>
            <w:r>
              <w:rPr>
                <w:sz w:val="16"/>
              </w:rPr>
              <w:t>Expected, received, outstanding, settled, and written-off states calculate correctly for multi-claim/multi-payment cases.</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Accounts</w:t>
            </w:r>
          </w:p>
        </w:tc>
        <w:tc>
          <w:tcPr>
            <w:tcW w:type="dxa" w:w="7992"/>
            <w:tcMar>
              <w:top w:w="58" w:type="dxa"/>
              <w:start w:w="65" w:type="dxa"/>
              <w:bottom w:w="58" w:type="dxa"/>
              <w:end w:w="65" w:type="dxa"/>
            </w:tcMar>
            <w:shd w:fill="F8FAF9"/>
            <w:vAlign w:val="center"/>
          </w:tcPr>
          <w:p>
            <w:pPr>
              <w:pStyle w:val="MMTableText"/>
              <w:spacing w:after="0"/>
            </w:pPr>
            <w:r>
              <w:rPr>
                <w:sz w:val="16"/>
              </w:rPr>
              <w:t>Every transaction shows a normalized account or explicit Unknown account.</w:t>
            </w:r>
          </w:p>
        </w:tc>
      </w:tr>
      <w:tr>
        <w:trPr>
          <w:cantSplit/>
        </w:trPr>
        <w:tc>
          <w:tcPr>
            <w:tcW w:type="dxa" w:w="2088"/>
            <w:tcMar>
              <w:top w:w="58" w:type="dxa"/>
              <w:start w:w="65" w:type="dxa"/>
              <w:bottom w:w="58" w:type="dxa"/>
              <w:end w:w="65" w:type="dxa"/>
            </w:tcMar>
            <w:vAlign w:val="center"/>
          </w:tcPr>
          <w:p>
            <w:pPr>
              <w:pStyle w:val="MMTableText"/>
              <w:spacing w:after="0"/>
            </w:pPr>
            <w:r>
              <w:rPr>
                <w:sz w:val="16"/>
              </w:rPr>
              <w:t>Location</w:t>
            </w:r>
          </w:p>
        </w:tc>
        <w:tc>
          <w:tcPr>
            <w:tcW w:type="dxa" w:w="7992"/>
            <w:tcMar>
              <w:top w:w="58" w:type="dxa"/>
              <w:start w:w="65" w:type="dxa"/>
              <w:bottom w:w="58" w:type="dxa"/>
              <w:end w:w="65" w:type="dxa"/>
            </w:tcMar>
            <w:vAlign w:val="center"/>
          </w:tcPr>
          <w:p>
            <w:pPr>
              <w:pStyle w:val="MMTableText"/>
              <w:spacing w:after="0"/>
            </w:pPr>
            <w:r>
              <w:rPr>
                <w:sz w:val="16"/>
              </w:rPr>
              <w:t>State/country appears only when known and preserves provenance.</w:t>
            </w:r>
          </w:p>
        </w:tc>
      </w:tr>
      <w:tr>
        <w:trPr>
          <w:cantSplit/>
        </w:trPr>
        <w:tc>
          <w:tcPr>
            <w:tcW w:type="dxa" w:w="2088"/>
            <w:tcMar>
              <w:top w:w="58" w:type="dxa"/>
              <w:start w:w="65" w:type="dxa"/>
              <w:bottom w:w="58" w:type="dxa"/>
              <w:end w:w="65" w:type="dxa"/>
            </w:tcMar>
            <w:shd w:fill="F8FAF9"/>
            <w:vAlign w:val="center"/>
          </w:tcPr>
          <w:p>
            <w:pPr>
              <w:pStyle w:val="MMTableText"/>
              <w:spacing w:after="0"/>
            </w:pPr>
            <w:r>
              <w:rPr>
                <w:sz w:val="16"/>
              </w:rPr>
              <w:t>Reports</w:t>
            </w:r>
          </w:p>
        </w:tc>
        <w:tc>
          <w:tcPr>
            <w:tcW w:type="dxa" w:w="7992"/>
            <w:tcMar>
              <w:top w:w="58" w:type="dxa"/>
              <w:start w:w="65" w:type="dxa"/>
              <w:bottom w:w="58" w:type="dxa"/>
              <w:end w:w="65" w:type="dxa"/>
            </w:tcMar>
            <w:shd w:fill="F8FAF9"/>
            <w:vAlign w:val="center"/>
          </w:tcPr>
          <w:p>
            <w:pPr>
              <w:pStyle w:val="MMTableText"/>
              <w:spacing w:after="0"/>
            </w:pPr>
            <w:r>
              <w:rPr>
                <w:sz w:val="16"/>
              </w:rPr>
              <w:t>Gross, expected personal, realized net, refunds, and reimbursements reconcile to source records.</w:t>
            </w:r>
          </w:p>
        </w:tc>
      </w:tr>
      <w:tr>
        <w:trPr>
          <w:cantSplit/>
        </w:trPr>
        <w:tc>
          <w:tcPr>
            <w:tcW w:type="dxa" w:w="2088"/>
            <w:tcMar>
              <w:top w:w="58" w:type="dxa"/>
              <w:start w:w="65" w:type="dxa"/>
              <w:bottom w:w="58" w:type="dxa"/>
              <w:end w:w="65" w:type="dxa"/>
            </w:tcMar>
            <w:vAlign w:val="center"/>
          </w:tcPr>
          <w:p>
            <w:pPr>
              <w:pStyle w:val="MMTableText"/>
              <w:spacing w:after="0"/>
            </w:pPr>
            <w:r>
              <w:rPr>
                <w:sz w:val="16"/>
              </w:rPr>
              <w:t>Vault</w:t>
            </w:r>
          </w:p>
        </w:tc>
        <w:tc>
          <w:tcPr>
            <w:tcW w:type="dxa" w:w="7992"/>
            <w:tcMar>
              <w:top w:w="58" w:type="dxa"/>
              <w:start w:w="65" w:type="dxa"/>
              <w:bottom w:w="58" w:type="dxa"/>
              <w:end w:w="65" w:type="dxa"/>
            </w:tcMar>
            <w:vAlign w:val="center"/>
          </w:tcPr>
          <w:p>
            <w:pPr>
              <w:pStyle w:val="MMTableText"/>
              <w:spacing w:after="0"/>
            </w:pPr>
            <w:r>
              <w:rPr>
                <w:sz w:val="16"/>
              </w:rPr>
              <w:t>Lock, backup, restore, migration, and tamper detection pass end-to-end tests.</w:t>
            </w:r>
          </w:p>
        </w:tc>
      </w:tr>
    </w:tbl>
    <w:p>
      <w:pPr>
        <w:spacing w:after="0"/>
      </w:pPr>
    </w:p>
    <w:p>
      <w:pPr>
        <w:pStyle w:val="Heading1"/>
      </w:pPr>
      <w:r>
        <w:t>18. Delivery Plan and Engineering Work Breakdown</w:t>
      </w:r>
    </w:p>
    <w:p>
      <w:pPr>
        <w:pStyle w:val="Heading2"/>
      </w:pPr>
      <w:r>
        <w:t>18.1 Recommended sequence</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2520"/>
            <w:shd w:fill="10261C"/>
            <w:tcMar>
              <w:top w:w="70" w:type="dxa"/>
              <w:start w:w="70" w:type="dxa"/>
              <w:bottom w:w="70" w:type="dxa"/>
              <w:end w:w="70" w:type="dxa"/>
            </w:tcMar>
            <w:vAlign w:val="center"/>
          </w:tcPr>
          <w:p>
            <w:pPr>
              <w:spacing w:after="0"/>
            </w:pPr>
            <w:r>
              <w:rPr>
                <w:b/>
                <w:color w:val="FFFFFF"/>
                <w:sz w:val="16"/>
              </w:rPr>
              <w:t>Phase</w:t>
            </w:r>
          </w:p>
        </w:tc>
        <w:tc>
          <w:tcPr>
            <w:tcW w:type="dxa" w:w="7560"/>
            <w:shd w:fill="10261C"/>
            <w:tcMar>
              <w:top w:w="70" w:type="dxa"/>
              <w:start w:w="70" w:type="dxa"/>
              <w:bottom w:w="70" w:type="dxa"/>
              <w:end w:w="70" w:type="dxa"/>
            </w:tcMar>
            <w:vAlign w:val="center"/>
          </w:tcPr>
          <w:p>
            <w:pPr>
              <w:spacing w:after="0"/>
            </w:pPr>
            <w:r>
              <w:rPr>
                <w:b/>
                <w:color w:val="FFFFFF"/>
                <w:sz w:val="16"/>
              </w:rPr>
              <w:t>Deliverables</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6"/>
              </w:rPr>
              <w:t>0. Discovery and architecture</w:t>
            </w:r>
          </w:p>
        </w:tc>
        <w:tc>
          <w:tcPr>
            <w:tcW w:type="dxa" w:w="7560"/>
            <w:tcMar>
              <w:top w:w="58" w:type="dxa"/>
              <w:start w:w="65" w:type="dxa"/>
              <w:bottom w:w="58" w:type="dxa"/>
              <w:end w:w="65" w:type="dxa"/>
            </w:tcMar>
            <w:shd w:fill="F8FAF9"/>
            <w:vAlign w:val="center"/>
          </w:tcPr>
          <w:p>
            <w:pPr>
              <w:pStyle w:val="MMTableText"/>
              <w:spacing w:after="0"/>
            </w:pPr>
            <w:r>
              <w:rPr>
                <w:sz w:val="16"/>
              </w:rPr>
              <w:t>Confirm stack, encryption/database approach, amount sign convention, V1 migration fixture, UI component system.</w:t>
            </w:r>
          </w:p>
        </w:tc>
      </w:tr>
      <w:tr>
        <w:trPr>
          <w:cantSplit/>
        </w:trPr>
        <w:tc>
          <w:tcPr>
            <w:tcW w:type="dxa" w:w="2520"/>
            <w:tcMar>
              <w:top w:w="58" w:type="dxa"/>
              <w:start w:w="65" w:type="dxa"/>
              <w:bottom w:w="58" w:type="dxa"/>
              <w:end w:w="65" w:type="dxa"/>
            </w:tcMar>
            <w:vAlign w:val="center"/>
          </w:tcPr>
          <w:p>
            <w:pPr>
              <w:pStyle w:val="MMTableText"/>
              <w:spacing w:after="0"/>
            </w:pPr>
            <w:r>
              <w:rPr>
                <w:sz w:val="16"/>
              </w:rPr>
              <w:t>1. Canonical foundation</w:t>
            </w:r>
          </w:p>
        </w:tc>
        <w:tc>
          <w:tcPr>
            <w:tcW w:type="dxa" w:w="7560"/>
            <w:tcMar>
              <w:top w:w="58" w:type="dxa"/>
              <w:start w:w="65" w:type="dxa"/>
              <w:bottom w:w="58" w:type="dxa"/>
              <w:end w:w="65" w:type="dxa"/>
            </w:tcMar>
            <w:vAlign w:val="center"/>
          </w:tcPr>
          <w:p>
            <w:pPr>
              <w:pStyle w:val="MMTableText"/>
              <w:spacing w:after="0"/>
            </w:pPr>
            <w:r>
              <w:rPr>
                <w:sz w:val="16"/>
              </w:rPr>
              <w:t>Accounts, transactions, source facts, movement types, audit events, import batches, manual entries.</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6"/>
              </w:rPr>
              <w:t>2. Buckets and allocations</w:t>
            </w:r>
          </w:p>
        </w:tc>
        <w:tc>
          <w:tcPr>
            <w:tcW w:type="dxa" w:w="7560"/>
            <w:tcMar>
              <w:top w:w="58" w:type="dxa"/>
              <w:start w:w="65" w:type="dxa"/>
              <w:bottom w:w="58" w:type="dxa"/>
              <w:end w:w="65" w:type="dxa"/>
            </w:tcMar>
            <w:shd w:fill="F8FAF9"/>
            <w:vAlign w:val="center"/>
          </w:tcPr>
          <w:p>
            <w:pPr>
              <w:pStyle w:val="MMTableText"/>
              <w:spacing w:after="0"/>
            </w:pPr>
            <w:r>
              <w:rPr>
                <w:sz w:val="16"/>
              </w:rPr>
              <w:t>Parent/sub-buckets, targets, ordering, archive/merge, allocation validation, drill-down.</w:t>
            </w:r>
          </w:p>
        </w:tc>
      </w:tr>
      <w:tr>
        <w:trPr>
          <w:cantSplit/>
        </w:trPr>
        <w:tc>
          <w:tcPr>
            <w:tcW w:type="dxa" w:w="2520"/>
            <w:tcMar>
              <w:top w:w="58" w:type="dxa"/>
              <w:start w:w="65" w:type="dxa"/>
              <w:bottom w:w="58" w:type="dxa"/>
              <w:end w:w="65" w:type="dxa"/>
            </w:tcMar>
            <w:vAlign w:val="center"/>
          </w:tcPr>
          <w:p>
            <w:pPr>
              <w:pStyle w:val="MMTableText"/>
              <w:spacing w:after="0"/>
            </w:pPr>
            <w:r>
              <w:rPr>
                <w:sz w:val="16"/>
              </w:rPr>
              <w:t>3. Weekly review</w:t>
            </w:r>
          </w:p>
        </w:tc>
        <w:tc>
          <w:tcPr>
            <w:tcW w:type="dxa" w:w="7560"/>
            <w:tcMar>
              <w:top w:w="58" w:type="dxa"/>
              <w:start w:w="65" w:type="dxa"/>
              <w:bottom w:w="58" w:type="dxa"/>
              <w:end w:w="65" w:type="dxa"/>
            </w:tcMar>
            <w:vAlign w:val="center"/>
          </w:tcPr>
          <w:p>
            <w:pPr>
              <w:pStyle w:val="MMTableText"/>
              <w:spacing w:after="0"/>
            </w:pPr>
            <w:r>
              <w:rPr>
                <w:sz w:val="16"/>
              </w:rPr>
              <w:t>Queue, context, assignment, split editor, rules, confirmation, undo.</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6"/>
              </w:rPr>
              <w:t>4. Reimbursements and refunds</w:t>
            </w:r>
          </w:p>
        </w:tc>
        <w:tc>
          <w:tcPr>
            <w:tcW w:type="dxa" w:w="7560"/>
            <w:tcMar>
              <w:top w:w="58" w:type="dxa"/>
              <w:start w:w="65" w:type="dxa"/>
              <w:bottom w:w="58" w:type="dxa"/>
              <w:end w:w="65" w:type="dxa"/>
            </w:tcMar>
            <w:shd w:fill="F8FAF9"/>
            <w:vAlign w:val="center"/>
          </w:tcPr>
          <w:p>
            <w:pPr>
              <w:pStyle w:val="MMTableText"/>
              <w:spacing w:after="0"/>
            </w:pPr>
            <w:r>
              <w:rPr>
                <w:sz w:val="16"/>
              </w:rPr>
              <w:t>Claims, matching, shared-expense center, write-off, report measures.</w:t>
            </w:r>
          </w:p>
        </w:tc>
      </w:tr>
      <w:tr>
        <w:trPr>
          <w:cantSplit/>
        </w:trPr>
        <w:tc>
          <w:tcPr>
            <w:tcW w:type="dxa" w:w="2520"/>
            <w:tcMar>
              <w:top w:w="58" w:type="dxa"/>
              <w:start w:w="65" w:type="dxa"/>
              <w:bottom w:w="58" w:type="dxa"/>
              <w:end w:w="65" w:type="dxa"/>
            </w:tcMar>
            <w:vAlign w:val="center"/>
          </w:tcPr>
          <w:p>
            <w:pPr>
              <w:pStyle w:val="MMTableText"/>
              <w:spacing w:after="0"/>
            </w:pPr>
            <w:r>
              <w:rPr>
                <w:sz w:val="16"/>
              </w:rPr>
              <w:t>5. Reports and Overview</w:t>
            </w:r>
          </w:p>
        </w:tc>
        <w:tc>
          <w:tcPr>
            <w:tcW w:type="dxa" w:w="7560"/>
            <w:tcMar>
              <w:top w:w="58" w:type="dxa"/>
              <w:start w:w="65" w:type="dxa"/>
              <w:bottom w:w="58" w:type="dxa"/>
              <w:end w:w="65" w:type="dxa"/>
            </w:tcMar>
            <w:vAlign w:val="center"/>
          </w:tcPr>
          <w:p>
            <w:pPr>
              <w:pStyle w:val="MMTableText"/>
              <w:spacing w:after="0"/>
            </w:pPr>
            <w:r>
              <w:rPr>
                <w:sz w:val="16"/>
              </w:rPr>
              <w:t>Gross/net calculations, safe-to-spend, drill-down, month comparison.</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6"/>
              </w:rPr>
              <w:t>6. Debt, goals, and travel</w:t>
            </w:r>
          </w:p>
        </w:tc>
        <w:tc>
          <w:tcPr>
            <w:tcW w:type="dxa" w:w="7560"/>
            <w:tcMar>
              <w:top w:w="58" w:type="dxa"/>
              <w:start w:w="65" w:type="dxa"/>
              <w:bottom w:w="58" w:type="dxa"/>
              <w:end w:w="65" w:type="dxa"/>
            </w:tcMar>
            <w:shd w:fill="F8FAF9"/>
            <w:vAlign w:val="center"/>
          </w:tcPr>
          <w:p>
            <w:pPr>
              <w:pStyle w:val="MMTableText"/>
              <w:spacing w:after="0"/>
            </w:pPr>
            <w:r>
              <w:rPr>
                <w:sz w:val="16"/>
              </w:rPr>
              <w:t>Debt payment treatment, payoff priority, emergency/travel goals, V1 travel migration.</w:t>
            </w:r>
          </w:p>
        </w:tc>
      </w:tr>
      <w:tr>
        <w:trPr>
          <w:cantSplit/>
        </w:trPr>
        <w:tc>
          <w:tcPr>
            <w:tcW w:type="dxa" w:w="2520"/>
            <w:tcMar>
              <w:top w:w="58" w:type="dxa"/>
              <w:start w:w="65" w:type="dxa"/>
              <w:bottom w:w="58" w:type="dxa"/>
              <w:end w:w="65" w:type="dxa"/>
            </w:tcMar>
            <w:vAlign w:val="center"/>
          </w:tcPr>
          <w:p>
            <w:pPr>
              <w:pStyle w:val="MMTableText"/>
              <w:spacing w:after="0"/>
            </w:pPr>
            <w:r>
              <w:rPr>
                <w:sz w:val="16"/>
              </w:rPr>
              <w:t>7. Vault and migration hardening</w:t>
            </w:r>
          </w:p>
        </w:tc>
        <w:tc>
          <w:tcPr>
            <w:tcW w:type="dxa" w:w="7560"/>
            <w:tcMar>
              <w:top w:w="58" w:type="dxa"/>
              <w:start w:w="65" w:type="dxa"/>
              <w:bottom w:w="58" w:type="dxa"/>
              <w:end w:w="65" w:type="dxa"/>
            </w:tcMar>
            <w:vAlign w:val="center"/>
          </w:tcPr>
          <w:p>
            <w:pPr>
              <w:pStyle w:val="MMTableText"/>
              <w:spacing w:after="0"/>
            </w:pPr>
            <w:r>
              <w:rPr>
                <w:sz w:val="16"/>
              </w:rPr>
              <w:t>Versioned backups, V1 conversion, diagnostics, platform testing.</w:t>
            </w:r>
          </w:p>
        </w:tc>
      </w:tr>
      <w:tr>
        <w:trPr>
          <w:cantSplit/>
        </w:trPr>
        <w:tc>
          <w:tcPr>
            <w:tcW w:type="dxa" w:w="2520"/>
            <w:tcMar>
              <w:top w:w="58" w:type="dxa"/>
              <w:start w:w="65" w:type="dxa"/>
              <w:bottom w:w="58" w:type="dxa"/>
              <w:end w:w="65" w:type="dxa"/>
            </w:tcMar>
            <w:shd w:fill="F8FAF9"/>
            <w:vAlign w:val="center"/>
          </w:tcPr>
          <w:p>
            <w:pPr>
              <w:pStyle w:val="MMTableText"/>
              <w:spacing w:after="0"/>
            </w:pPr>
            <w:r>
              <w:rPr>
                <w:sz w:val="16"/>
              </w:rPr>
              <w:t>8. Plaid Sandbox</w:t>
            </w:r>
          </w:p>
        </w:tc>
        <w:tc>
          <w:tcPr>
            <w:tcW w:type="dxa" w:w="7560"/>
            <w:tcMar>
              <w:top w:w="58" w:type="dxa"/>
              <w:start w:w="65" w:type="dxa"/>
              <w:bottom w:w="58" w:type="dxa"/>
              <w:end w:w="65" w:type="dxa"/>
            </w:tcMar>
            <w:shd w:fill="F8FAF9"/>
            <w:vAlign w:val="center"/>
          </w:tcPr>
          <w:p>
            <w:pPr>
              <w:pStyle w:val="MMTableText"/>
              <w:spacing w:after="0"/>
            </w:pPr>
            <w:r>
              <w:rPr>
                <w:sz w:val="16"/>
              </w:rPr>
              <w:t>Local backend secrets, Link, sync cursor, pending/posting, repair, polling.</w:t>
            </w:r>
          </w:p>
        </w:tc>
      </w:tr>
    </w:tbl>
    <w:p>
      <w:pPr>
        <w:spacing w:after="0"/>
      </w:pPr>
    </w:p>
    <w:p>
      <w:pPr>
        <w:pStyle w:val="Heading2"/>
      </w:pPr>
      <w:r>
        <w:t>18.2 Priority order before Plaid</w:t>
      </w:r>
    </w:p>
    <w:p>
      <w:pPr>
        <w:pStyle w:val="ListNumber"/>
      </w:pPr>
      <w:r>
        <w:t>Finalize canonical transaction and account models.</w:t>
      </w:r>
    </w:p>
    <w:p>
      <w:pPr>
        <w:pStyle w:val="ListNumber"/>
      </w:pPr>
      <w:r>
        <w:t>Implement bucket drill-down and two-level sub-buckets.</w:t>
      </w:r>
    </w:p>
    <w:p>
      <w:pPr>
        <w:pStyle w:val="ListNumber"/>
      </w:pPr>
      <w:r>
        <w:t>Implement allocation splits and exact-cent validation.</w:t>
      </w:r>
    </w:p>
    <w:p>
      <w:pPr>
        <w:pStyle w:val="ListNumber"/>
      </w:pPr>
      <w:r>
        <w:t>Implement movement classification for inflows, refunds, transfers, and debt payments.</w:t>
      </w:r>
    </w:p>
    <w:p>
      <w:pPr>
        <w:pStyle w:val="ListNumber"/>
      </w:pPr>
      <w:r>
        <w:t>Implement reimbursement claims and repayment matching.</w:t>
      </w:r>
    </w:p>
    <w:p>
      <w:pPr>
        <w:pStyle w:val="ListNumber"/>
      </w:pPr>
      <w:r>
        <w:t>Implement gross, expected personal, realized net, and outstanding measures.</w:t>
      </w:r>
    </w:p>
    <w:p>
      <w:pPr>
        <w:pStyle w:val="ListNumber"/>
      </w:pPr>
      <w:r>
        <w:t>Surface account identity and state/country throughout the UI.</w:t>
      </w:r>
    </w:p>
    <w:p>
      <w:pPr>
        <w:pStyle w:val="ListNumber"/>
      </w:pPr>
      <w:r>
        <w:t>Implement merchant-rule suggestions and review undo.</w:t>
      </w:r>
    </w:p>
    <w:p>
      <w:pPr>
        <w:pStyle w:val="ListNumber"/>
      </w:pPr>
      <w:r>
        <w:t>Migrate V1 targets, travel preferences, security state, and legacy snapshots.</w:t>
      </w:r>
    </w:p>
    <w:p>
      <w:pPr>
        <w:pStyle w:val="ListNumber"/>
      </w:pPr>
      <w:r>
        <w:t>Complete automated tests and backup/restore verification.</w:t>
      </w:r>
    </w:p>
    <w:p>
      <w:pPr>
        <w:pStyle w:val="ListNumber"/>
      </w:pPr>
      <w:r>
        <w:t>Only then begin Plaid Sandbox integration.</w:t>
      </w:r>
    </w:p>
    <w:p>
      <w:pPr>
        <w:pStyle w:val="Heading2"/>
      </w:pPr>
      <w:r>
        <w:t>18.3 Engineering handoff artifacts</w:t>
      </w:r>
    </w:p>
    <w:p>
      <w:pPr>
        <w:pStyle w:val="ListBullet"/>
      </w:pPr>
      <w:r>
        <w:t>This PRD as the product source of truth.</w:t>
      </w:r>
    </w:p>
    <w:p>
      <w:pPr>
        <w:pStyle w:val="ListBullet"/>
      </w:pPr>
      <w:r>
        <w:t>Architecture decision records for stack, encryption, amount signs, and database choice.</w:t>
      </w:r>
    </w:p>
    <w:p>
      <w:pPr>
        <w:pStyle w:val="ListBullet"/>
      </w:pPr>
      <w:r>
        <w:t>Database migration files and entity schema.</w:t>
      </w:r>
    </w:p>
    <w:p>
      <w:pPr>
        <w:pStyle w:val="ListBullet"/>
      </w:pPr>
      <w:r>
        <w:t>API contract or typed service interfaces.</w:t>
      </w:r>
    </w:p>
    <w:p>
      <w:pPr>
        <w:pStyle w:val="ListBullet"/>
      </w:pPr>
      <w:r>
        <w:t>Wireframes/component states for each screen.</w:t>
      </w:r>
    </w:p>
    <w:p>
      <w:pPr>
        <w:pStyle w:val="ListBullet"/>
      </w:pPr>
      <w:r>
        <w:t>V1 encrypted migration test fixture with synthetic data.</w:t>
      </w:r>
    </w:p>
    <w:p>
      <w:pPr>
        <w:pStyle w:val="ListBullet"/>
      </w:pPr>
      <w:r>
        <w:t>CSV import fixture library.</w:t>
      </w:r>
    </w:p>
    <w:p>
      <w:pPr>
        <w:pStyle w:val="ListBullet"/>
      </w:pPr>
      <w:r>
        <w:t>Domain calculation test vectors for reimbursements and transfers.</w:t>
      </w:r>
    </w:p>
    <w:p>
      <w:pPr>
        <w:pStyle w:val="ListBullet"/>
      </w:pPr>
      <w:r>
        <w:t>Release checklist and implementation status update.</w:t>
      </w:r>
    </w:p>
    <w:p>
      <w:pPr>
        <w:pStyle w:val="Heading1"/>
      </w:pPr>
      <w:r>
        <w:t>19. Master Implementation Status Matrix</w:t>
      </w:r>
    </w:p>
    <w:p>
      <w:r>
        <w:t>This matrix is the concise answer to “what exists versus what still needs to be built.” It must be updated as implementation is verified. At the date of this PRD, only V1 items are implemented.</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2541"/>
        <w:gridCol w:w="2541"/>
        <w:gridCol w:w="2541"/>
        <w:gridCol w:w="2541"/>
      </w:tblGrid>
      <w:tr>
        <w:trPr>
          <w:tblHeader w:val="true"/>
          <w:cantSplit/>
        </w:trPr>
        <w:tc>
          <w:tcPr>
            <w:tcW w:type="dxa" w:w="2880"/>
            <w:shd w:fill="10261C"/>
            <w:tcMar>
              <w:top w:w="70" w:type="dxa"/>
              <w:start w:w="70" w:type="dxa"/>
              <w:bottom w:w="70" w:type="dxa"/>
              <w:end w:w="70" w:type="dxa"/>
            </w:tcMar>
            <w:vAlign w:val="center"/>
          </w:tcPr>
          <w:p>
            <w:pPr>
              <w:spacing w:after="0"/>
            </w:pPr>
            <w:r>
              <w:rPr>
                <w:b/>
                <w:color w:val="FFFFFF"/>
                <w:sz w:val="14"/>
              </w:rPr>
              <w:t>Capability</w:t>
            </w:r>
          </w:p>
        </w:tc>
        <w:tc>
          <w:tcPr>
            <w:tcW w:type="dxa" w:w="1080"/>
            <w:shd w:fill="10261C"/>
            <w:tcMar>
              <w:top w:w="70" w:type="dxa"/>
              <w:start w:w="70" w:type="dxa"/>
              <w:bottom w:w="70" w:type="dxa"/>
              <w:end w:w="70" w:type="dxa"/>
            </w:tcMar>
            <w:vAlign w:val="center"/>
          </w:tcPr>
          <w:p>
            <w:pPr>
              <w:spacing w:after="0"/>
            </w:pPr>
            <w:r>
              <w:rPr>
                <w:b/>
                <w:color w:val="FFFFFF"/>
                <w:sz w:val="14"/>
              </w:rPr>
              <w:t>Version</w:t>
            </w:r>
          </w:p>
        </w:tc>
        <w:tc>
          <w:tcPr>
            <w:tcW w:type="dxa" w:w="1800"/>
            <w:shd w:fill="10261C"/>
            <w:tcMar>
              <w:top w:w="70" w:type="dxa"/>
              <w:start w:w="70" w:type="dxa"/>
              <w:bottom w:w="70" w:type="dxa"/>
              <w:end w:w="70" w:type="dxa"/>
            </w:tcMar>
            <w:vAlign w:val="center"/>
          </w:tcPr>
          <w:p>
            <w:pPr>
              <w:spacing w:after="0"/>
            </w:pPr>
            <w:r>
              <w:rPr>
                <w:b/>
                <w:color w:val="FFFFFF"/>
                <w:sz w:val="14"/>
              </w:rPr>
              <w:t>Status</w:t>
            </w:r>
          </w:p>
        </w:tc>
        <w:tc>
          <w:tcPr>
            <w:tcW w:type="dxa" w:w="4320"/>
            <w:shd w:fill="10261C"/>
            <w:tcMar>
              <w:top w:w="70" w:type="dxa"/>
              <w:start w:w="70" w:type="dxa"/>
              <w:bottom w:w="70" w:type="dxa"/>
              <w:end w:w="70" w:type="dxa"/>
            </w:tcMar>
            <w:vAlign w:val="center"/>
          </w:tcPr>
          <w:p>
            <w:pPr>
              <w:spacing w:after="0"/>
            </w:pPr>
            <w:r>
              <w:rPr>
                <w:b/>
                <w:color w:val="FFFFFF"/>
                <w:sz w:val="14"/>
              </w:rPr>
              <w:t>Implementation note</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Money Moves naming</w:t>
            </w:r>
          </w:p>
        </w:tc>
        <w:tc>
          <w:tcPr>
            <w:tcW w:type="dxa" w:w="1080"/>
            <w:tcMar>
              <w:top w:w="58" w:type="dxa"/>
              <w:start w:w="65" w:type="dxa"/>
              <w:bottom w:w="58" w:type="dxa"/>
              <w:end w:w="65" w:type="dxa"/>
            </w:tcMar>
            <w:shd w:fill="F8FAF9"/>
            <w:vAlign w:val="center"/>
          </w:tcPr>
          <w:p>
            <w:pPr>
              <w:pStyle w:val="MMTableText"/>
              <w:spacing w:after="0"/>
            </w:pPr>
            <w:r>
              <w:rPr>
                <w:sz w:val="14"/>
              </w:rPr>
              <w:t>V2</w:t>
            </w:r>
          </w:p>
        </w:tc>
        <w:tc>
          <w:tcPr>
            <w:tcW w:type="dxa" w:w="1800"/>
            <w:tcMar>
              <w:top w:w="58" w:type="dxa"/>
              <w:start w:w="65" w:type="dxa"/>
              <w:bottom w:w="58" w:type="dxa"/>
              <w:end w:w="65" w:type="dxa"/>
            </w:tcMar>
            <w:shd w:fill="F8FAF9"/>
            <w:vAlign w:val="center"/>
          </w:tcPr>
          <w:p>
            <w:pPr>
              <w:pStyle w:val="MMTableText"/>
              <w:spacing w:after="0"/>
            </w:pPr>
            <w:r>
              <w:rPr>
                <w:sz w:val="14"/>
              </w:rPr>
              <w:t>Needs implementation</w:t>
            </w:r>
          </w:p>
        </w:tc>
        <w:tc>
          <w:tcPr>
            <w:tcW w:type="dxa" w:w="4320"/>
            <w:tcMar>
              <w:top w:w="58" w:type="dxa"/>
              <w:start w:w="65" w:type="dxa"/>
              <w:bottom w:w="58" w:type="dxa"/>
              <w:end w:w="65" w:type="dxa"/>
            </w:tcMar>
            <w:shd w:fill="F8FAF9"/>
            <w:vAlign w:val="center"/>
          </w:tcPr>
          <w:p>
            <w:pPr>
              <w:pStyle w:val="MMTableText"/>
              <w:spacing w:after="0"/>
            </w:pPr>
            <w:r>
              <w:rPr>
                <w:sz w:val="14"/>
              </w:rPr>
              <w:t>Replace legacy UI, keys, backup names, and docs.</w:t>
            </w:r>
          </w:p>
        </w:tc>
      </w:tr>
      <w:tr>
        <w:trPr>
          <w:cantSplit/>
        </w:trPr>
        <w:tc>
          <w:tcPr>
            <w:tcW w:type="dxa" w:w="2880"/>
            <w:tcMar>
              <w:top w:w="58" w:type="dxa"/>
              <w:start w:w="65" w:type="dxa"/>
              <w:bottom w:w="58" w:type="dxa"/>
              <w:end w:w="65" w:type="dxa"/>
            </w:tcMar>
            <w:vAlign w:val="center"/>
          </w:tcPr>
          <w:p>
            <w:pPr>
              <w:pStyle w:val="MMTableText"/>
              <w:spacing w:after="0"/>
            </w:pPr>
            <w:r>
              <w:rPr>
                <w:sz w:val="14"/>
              </w:rPr>
              <w:t>Localhost browser launch</w:t>
            </w:r>
          </w:p>
        </w:tc>
        <w:tc>
          <w:tcPr>
            <w:tcW w:type="dxa" w:w="1080"/>
            <w:tcMar>
              <w:top w:w="58" w:type="dxa"/>
              <w:start w:w="65" w:type="dxa"/>
              <w:bottom w:w="58" w:type="dxa"/>
              <w:end w:w="65" w:type="dxa"/>
            </w:tcMar>
            <w:vAlign w:val="center"/>
          </w:tcPr>
          <w:p>
            <w:pPr>
              <w:pStyle w:val="MMTableText"/>
              <w:spacing w:after="0"/>
            </w:pPr>
            <w:r>
              <w:rPr>
                <w:sz w:val="14"/>
              </w:rPr>
              <w:t>V1</w:t>
            </w:r>
          </w:p>
        </w:tc>
        <w:tc>
          <w:tcPr>
            <w:tcW w:type="dxa" w:w="1800"/>
            <w:tcMar>
              <w:top w:w="58" w:type="dxa"/>
              <w:start w:w="65" w:type="dxa"/>
              <w:bottom w:w="58" w:type="dxa"/>
              <w:end w:w="65" w:type="dxa"/>
            </w:tcMar>
            <w:vAlign w:val="center"/>
          </w:tcPr>
          <w:p>
            <w:pPr>
              <w:pStyle w:val="MMTableText"/>
              <w:spacing w:after="0"/>
            </w:pPr>
            <w:r>
              <w:rPr>
                <w:sz w:val="14"/>
              </w:rPr>
              <w:t>Implemented</w:t>
            </w:r>
          </w:p>
        </w:tc>
        <w:tc>
          <w:tcPr>
            <w:tcW w:type="dxa" w:w="4320"/>
            <w:tcMar>
              <w:top w:w="58" w:type="dxa"/>
              <w:start w:w="65" w:type="dxa"/>
              <w:bottom w:w="58" w:type="dxa"/>
              <w:end w:w="65" w:type="dxa"/>
            </w:tcMar>
            <w:vAlign w:val="center"/>
          </w:tcPr>
          <w:p>
            <w:pPr>
              <w:pStyle w:val="MMTableText"/>
              <w:spacing w:after="0"/>
            </w:pPr>
            <w:r>
              <w:rPr>
                <w:sz w:val="14"/>
              </w:rPr>
              <w:t>Retain or replace with V2 launcher.</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Encrypted local vault</w:t>
            </w:r>
          </w:p>
        </w:tc>
        <w:tc>
          <w:tcPr>
            <w:tcW w:type="dxa" w:w="1080"/>
            <w:tcMar>
              <w:top w:w="58" w:type="dxa"/>
              <w:start w:w="65" w:type="dxa"/>
              <w:bottom w:w="58" w:type="dxa"/>
              <w:end w:w="65" w:type="dxa"/>
            </w:tcMar>
            <w:shd w:fill="F8FAF9"/>
            <w:vAlign w:val="center"/>
          </w:tcPr>
          <w:p>
            <w:pPr>
              <w:pStyle w:val="MMTableText"/>
              <w:spacing w:after="0"/>
            </w:pPr>
            <w:r>
              <w:rPr>
                <w:sz w:val="14"/>
              </w:rPr>
              <w:t>V1</w:t>
            </w:r>
          </w:p>
        </w:tc>
        <w:tc>
          <w:tcPr>
            <w:tcW w:type="dxa" w:w="1800"/>
            <w:tcMar>
              <w:top w:w="58" w:type="dxa"/>
              <w:start w:w="65" w:type="dxa"/>
              <w:bottom w:w="58" w:type="dxa"/>
              <w:end w:w="65" w:type="dxa"/>
            </w:tcMar>
            <w:shd w:fill="F8FAF9"/>
            <w:vAlign w:val="center"/>
          </w:tcPr>
          <w:p>
            <w:pPr>
              <w:pStyle w:val="MMTableText"/>
              <w:spacing w:after="0"/>
            </w:pPr>
            <w:r>
              <w:rPr>
                <w:sz w:val="14"/>
              </w:rPr>
              <w:t>Implemented</w:t>
            </w:r>
          </w:p>
        </w:tc>
        <w:tc>
          <w:tcPr>
            <w:tcW w:type="dxa" w:w="4320"/>
            <w:tcMar>
              <w:top w:w="58" w:type="dxa"/>
              <w:start w:w="65" w:type="dxa"/>
              <w:bottom w:w="58" w:type="dxa"/>
              <w:end w:w="65" w:type="dxa"/>
            </w:tcMar>
            <w:shd w:fill="F8FAF9"/>
            <w:vAlign w:val="center"/>
          </w:tcPr>
          <w:p>
            <w:pPr>
              <w:pStyle w:val="MMTableText"/>
              <w:spacing w:after="0"/>
            </w:pPr>
            <w:r>
              <w:rPr>
                <w:sz w:val="14"/>
              </w:rPr>
              <w:t>Migrate/harden for database storage.</w:t>
            </w:r>
          </w:p>
        </w:tc>
      </w:tr>
      <w:tr>
        <w:trPr>
          <w:cantSplit/>
        </w:trPr>
        <w:tc>
          <w:tcPr>
            <w:tcW w:type="dxa" w:w="2880"/>
            <w:tcMar>
              <w:top w:w="58" w:type="dxa"/>
              <w:start w:w="65" w:type="dxa"/>
              <w:bottom w:w="58" w:type="dxa"/>
              <w:end w:w="65" w:type="dxa"/>
            </w:tcMar>
            <w:vAlign w:val="center"/>
          </w:tcPr>
          <w:p>
            <w:pPr>
              <w:pStyle w:val="MMTableText"/>
              <w:spacing w:after="0"/>
            </w:pPr>
            <w:r>
              <w:rPr>
                <w:sz w:val="14"/>
              </w:rPr>
              <w:t>Passphrase setup/unlock/change</w:t>
            </w:r>
          </w:p>
        </w:tc>
        <w:tc>
          <w:tcPr>
            <w:tcW w:type="dxa" w:w="1080"/>
            <w:tcMar>
              <w:top w:w="58" w:type="dxa"/>
              <w:start w:w="65" w:type="dxa"/>
              <w:bottom w:w="58" w:type="dxa"/>
              <w:end w:w="65" w:type="dxa"/>
            </w:tcMar>
            <w:vAlign w:val="center"/>
          </w:tcPr>
          <w:p>
            <w:pPr>
              <w:pStyle w:val="MMTableText"/>
              <w:spacing w:after="0"/>
            </w:pPr>
            <w:r>
              <w:rPr>
                <w:sz w:val="14"/>
              </w:rPr>
              <w:t>V1</w:t>
            </w:r>
          </w:p>
        </w:tc>
        <w:tc>
          <w:tcPr>
            <w:tcW w:type="dxa" w:w="1800"/>
            <w:tcMar>
              <w:top w:w="58" w:type="dxa"/>
              <w:start w:w="65" w:type="dxa"/>
              <w:bottom w:w="58" w:type="dxa"/>
              <w:end w:w="65" w:type="dxa"/>
            </w:tcMar>
            <w:vAlign w:val="center"/>
          </w:tcPr>
          <w:p>
            <w:pPr>
              <w:pStyle w:val="MMTableText"/>
              <w:spacing w:after="0"/>
            </w:pPr>
            <w:r>
              <w:rPr>
                <w:sz w:val="14"/>
              </w:rPr>
              <w:t>Implemented</w:t>
            </w:r>
          </w:p>
        </w:tc>
        <w:tc>
          <w:tcPr>
            <w:tcW w:type="dxa" w:w="4320"/>
            <w:tcMar>
              <w:top w:w="58" w:type="dxa"/>
              <w:start w:w="65" w:type="dxa"/>
              <w:bottom w:w="58" w:type="dxa"/>
              <w:end w:w="65" w:type="dxa"/>
            </w:tcMar>
            <w:vAlign w:val="center"/>
          </w:tcPr>
          <w:p>
            <w:pPr>
              <w:pStyle w:val="MMTableText"/>
              <w:spacing w:after="0"/>
            </w:pPr>
            <w:r>
              <w:rPr>
                <w:sz w:val="14"/>
              </w:rPr>
              <w:t>Retain.</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Encrypted backup/restore</w:t>
            </w:r>
          </w:p>
        </w:tc>
        <w:tc>
          <w:tcPr>
            <w:tcW w:type="dxa" w:w="1080"/>
            <w:tcMar>
              <w:top w:w="58" w:type="dxa"/>
              <w:start w:w="65" w:type="dxa"/>
              <w:bottom w:w="58" w:type="dxa"/>
              <w:end w:w="65" w:type="dxa"/>
            </w:tcMar>
            <w:shd w:fill="F8FAF9"/>
            <w:vAlign w:val="center"/>
          </w:tcPr>
          <w:p>
            <w:pPr>
              <w:pStyle w:val="MMTableText"/>
              <w:spacing w:after="0"/>
            </w:pPr>
            <w:r>
              <w:rPr>
                <w:sz w:val="14"/>
              </w:rPr>
              <w:t>V1</w:t>
            </w:r>
          </w:p>
        </w:tc>
        <w:tc>
          <w:tcPr>
            <w:tcW w:type="dxa" w:w="1800"/>
            <w:tcMar>
              <w:top w:w="58" w:type="dxa"/>
              <w:start w:w="65" w:type="dxa"/>
              <w:bottom w:w="58" w:type="dxa"/>
              <w:end w:w="65" w:type="dxa"/>
            </w:tcMar>
            <w:shd w:fill="F8FAF9"/>
            <w:vAlign w:val="center"/>
          </w:tcPr>
          <w:p>
            <w:pPr>
              <w:pStyle w:val="MMTableText"/>
              <w:spacing w:after="0"/>
            </w:pPr>
            <w:r>
              <w:rPr>
                <w:sz w:val="14"/>
              </w:rPr>
              <w:t>Implemented</w:t>
            </w:r>
          </w:p>
        </w:tc>
        <w:tc>
          <w:tcPr>
            <w:tcW w:type="dxa" w:w="4320"/>
            <w:tcMar>
              <w:top w:w="58" w:type="dxa"/>
              <w:start w:w="65" w:type="dxa"/>
              <w:bottom w:w="58" w:type="dxa"/>
              <w:end w:w="65" w:type="dxa"/>
            </w:tcMar>
            <w:shd w:fill="F8FAF9"/>
            <w:vAlign w:val="center"/>
          </w:tcPr>
          <w:p>
            <w:pPr>
              <w:pStyle w:val="MMTableText"/>
              <w:spacing w:after="0"/>
            </w:pPr>
            <w:r>
              <w:rPr>
                <w:sz w:val="14"/>
              </w:rPr>
              <w:t>Add versioned manifest and V2 validation.</w:t>
            </w:r>
          </w:p>
        </w:tc>
      </w:tr>
      <w:tr>
        <w:trPr>
          <w:cantSplit/>
        </w:trPr>
        <w:tc>
          <w:tcPr>
            <w:tcW w:type="dxa" w:w="2880"/>
            <w:tcMar>
              <w:top w:w="58" w:type="dxa"/>
              <w:start w:w="65" w:type="dxa"/>
              <w:bottom w:w="58" w:type="dxa"/>
              <w:end w:w="65" w:type="dxa"/>
            </w:tcMar>
            <w:vAlign w:val="center"/>
          </w:tcPr>
          <w:p>
            <w:pPr>
              <w:pStyle w:val="MMTableText"/>
              <w:spacing w:after="0"/>
            </w:pPr>
            <w:r>
              <w:rPr>
                <w:sz w:val="14"/>
              </w:rPr>
              <w:t>60-minute inactivity lock</w:t>
            </w:r>
          </w:p>
        </w:tc>
        <w:tc>
          <w:tcPr>
            <w:tcW w:type="dxa" w:w="1080"/>
            <w:tcMar>
              <w:top w:w="58" w:type="dxa"/>
              <w:start w:w="65" w:type="dxa"/>
              <w:bottom w:w="58" w:type="dxa"/>
              <w:end w:w="65" w:type="dxa"/>
            </w:tcMar>
            <w:vAlign w:val="center"/>
          </w:tcPr>
          <w:p>
            <w:pPr>
              <w:pStyle w:val="MMTableText"/>
              <w:spacing w:after="0"/>
            </w:pPr>
            <w:r>
              <w:rPr>
                <w:sz w:val="14"/>
              </w:rPr>
              <w:t>V1</w:t>
            </w:r>
          </w:p>
        </w:tc>
        <w:tc>
          <w:tcPr>
            <w:tcW w:type="dxa" w:w="1800"/>
            <w:tcMar>
              <w:top w:w="58" w:type="dxa"/>
              <w:start w:w="65" w:type="dxa"/>
              <w:bottom w:w="58" w:type="dxa"/>
              <w:end w:w="65" w:type="dxa"/>
            </w:tcMar>
            <w:vAlign w:val="center"/>
          </w:tcPr>
          <w:p>
            <w:pPr>
              <w:pStyle w:val="MMTableText"/>
              <w:spacing w:after="0"/>
            </w:pPr>
            <w:r>
              <w:rPr>
                <w:sz w:val="14"/>
              </w:rPr>
              <w:t>Implemented</w:t>
            </w:r>
          </w:p>
        </w:tc>
        <w:tc>
          <w:tcPr>
            <w:tcW w:type="dxa" w:w="4320"/>
            <w:tcMar>
              <w:top w:w="58" w:type="dxa"/>
              <w:start w:w="65" w:type="dxa"/>
              <w:bottom w:w="58" w:type="dxa"/>
              <w:end w:w="65" w:type="dxa"/>
            </w:tcMar>
            <w:vAlign w:val="center"/>
          </w:tcPr>
          <w:p>
            <w:pPr>
              <w:pStyle w:val="MMTableText"/>
              <w:spacing w:after="0"/>
            </w:pPr>
            <w:r>
              <w:rPr>
                <w:sz w:val="14"/>
              </w:rPr>
              <w:t>Make configurable within safe limits.</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Aggregate safe-to-spend</w:t>
            </w:r>
          </w:p>
        </w:tc>
        <w:tc>
          <w:tcPr>
            <w:tcW w:type="dxa" w:w="1080"/>
            <w:tcMar>
              <w:top w:w="58" w:type="dxa"/>
              <w:start w:w="65" w:type="dxa"/>
              <w:bottom w:w="58" w:type="dxa"/>
              <w:end w:w="65" w:type="dxa"/>
            </w:tcMar>
            <w:shd w:fill="F8FAF9"/>
            <w:vAlign w:val="center"/>
          </w:tcPr>
          <w:p>
            <w:pPr>
              <w:pStyle w:val="MMTableText"/>
              <w:spacing w:after="0"/>
            </w:pPr>
            <w:r>
              <w:rPr>
                <w:sz w:val="14"/>
              </w:rPr>
              <w:t>V1</w:t>
            </w:r>
          </w:p>
        </w:tc>
        <w:tc>
          <w:tcPr>
            <w:tcW w:type="dxa" w:w="1800"/>
            <w:tcMar>
              <w:top w:w="58" w:type="dxa"/>
              <w:start w:w="65" w:type="dxa"/>
              <w:bottom w:w="58" w:type="dxa"/>
              <w:end w:w="65" w:type="dxa"/>
            </w:tcMar>
            <w:shd w:fill="F8FAF9"/>
            <w:vAlign w:val="center"/>
          </w:tcPr>
          <w:p>
            <w:pPr>
              <w:pStyle w:val="MMTableText"/>
              <w:spacing w:after="0"/>
            </w:pPr>
            <w:r>
              <w:rPr>
                <w:sz w:val="14"/>
              </w:rPr>
              <w:t>Implemented</w:t>
            </w:r>
          </w:p>
        </w:tc>
        <w:tc>
          <w:tcPr>
            <w:tcW w:type="dxa" w:w="4320"/>
            <w:tcMar>
              <w:top w:w="58" w:type="dxa"/>
              <w:start w:w="65" w:type="dxa"/>
              <w:bottom w:w="58" w:type="dxa"/>
              <w:end w:w="65" w:type="dxa"/>
            </w:tcMar>
            <w:shd w:fill="F8FAF9"/>
            <w:vAlign w:val="center"/>
          </w:tcPr>
          <w:p>
            <w:pPr>
              <w:pStyle w:val="MMTableText"/>
              <w:spacing w:after="0"/>
            </w:pPr>
            <w:r>
              <w:rPr>
                <w:sz w:val="14"/>
              </w:rPr>
              <w:t>Replace with transaction-derived V2 calculation.</w:t>
            </w:r>
          </w:p>
        </w:tc>
      </w:tr>
      <w:tr>
        <w:trPr>
          <w:cantSplit/>
        </w:trPr>
        <w:tc>
          <w:tcPr>
            <w:tcW w:type="dxa" w:w="2880"/>
            <w:tcMar>
              <w:top w:w="58" w:type="dxa"/>
              <w:start w:w="65" w:type="dxa"/>
              <w:bottom w:w="58" w:type="dxa"/>
              <w:end w:w="65" w:type="dxa"/>
            </w:tcMar>
            <w:vAlign w:val="center"/>
          </w:tcPr>
          <w:p>
            <w:pPr>
              <w:pStyle w:val="MMTableText"/>
              <w:spacing w:after="0"/>
            </w:pPr>
            <w:r>
              <w:rPr>
                <w:sz w:val="14"/>
              </w:rPr>
              <w:t>Aggregate actual-vs-target</w:t>
            </w:r>
          </w:p>
        </w:tc>
        <w:tc>
          <w:tcPr>
            <w:tcW w:type="dxa" w:w="1080"/>
            <w:tcMar>
              <w:top w:w="58" w:type="dxa"/>
              <w:start w:w="65" w:type="dxa"/>
              <w:bottom w:w="58" w:type="dxa"/>
              <w:end w:w="65" w:type="dxa"/>
            </w:tcMar>
            <w:vAlign w:val="center"/>
          </w:tcPr>
          <w:p>
            <w:pPr>
              <w:pStyle w:val="MMTableText"/>
              <w:spacing w:after="0"/>
            </w:pPr>
            <w:r>
              <w:rPr>
                <w:sz w:val="14"/>
              </w:rPr>
              <w:t>V1</w:t>
            </w:r>
          </w:p>
        </w:tc>
        <w:tc>
          <w:tcPr>
            <w:tcW w:type="dxa" w:w="1800"/>
            <w:tcMar>
              <w:top w:w="58" w:type="dxa"/>
              <w:start w:w="65" w:type="dxa"/>
              <w:bottom w:w="58" w:type="dxa"/>
              <w:end w:w="65" w:type="dxa"/>
            </w:tcMar>
            <w:vAlign w:val="center"/>
          </w:tcPr>
          <w:p>
            <w:pPr>
              <w:pStyle w:val="MMTableText"/>
              <w:spacing w:after="0"/>
            </w:pPr>
            <w:r>
              <w:rPr>
                <w:sz w:val="14"/>
              </w:rPr>
              <w:t>Implemented</w:t>
            </w:r>
          </w:p>
        </w:tc>
        <w:tc>
          <w:tcPr>
            <w:tcW w:type="dxa" w:w="4320"/>
            <w:tcMar>
              <w:top w:w="58" w:type="dxa"/>
              <w:start w:w="65" w:type="dxa"/>
              <w:bottom w:w="58" w:type="dxa"/>
              <w:end w:w="65" w:type="dxa"/>
            </w:tcMar>
            <w:vAlign w:val="center"/>
          </w:tcPr>
          <w:p>
            <w:pPr>
              <w:pStyle w:val="MMTableText"/>
              <w:spacing w:after="0"/>
            </w:pPr>
            <w:r>
              <w:rPr>
                <w:sz w:val="14"/>
              </w:rPr>
              <w:t>Replace with allocation-derived drill-down.</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50/30/20 guidance</w:t>
            </w:r>
          </w:p>
        </w:tc>
        <w:tc>
          <w:tcPr>
            <w:tcW w:type="dxa" w:w="1080"/>
            <w:tcMar>
              <w:top w:w="58" w:type="dxa"/>
              <w:start w:w="65" w:type="dxa"/>
              <w:bottom w:w="58" w:type="dxa"/>
              <w:end w:w="65" w:type="dxa"/>
            </w:tcMar>
            <w:shd w:fill="F8FAF9"/>
            <w:vAlign w:val="center"/>
          </w:tcPr>
          <w:p>
            <w:pPr>
              <w:pStyle w:val="MMTableText"/>
              <w:spacing w:after="0"/>
            </w:pPr>
            <w:r>
              <w:rPr>
                <w:sz w:val="14"/>
              </w:rPr>
              <w:t>V1</w:t>
            </w:r>
          </w:p>
        </w:tc>
        <w:tc>
          <w:tcPr>
            <w:tcW w:type="dxa" w:w="1800"/>
            <w:tcMar>
              <w:top w:w="58" w:type="dxa"/>
              <w:start w:w="65" w:type="dxa"/>
              <w:bottom w:w="58" w:type="dxa"/>
              <w:end w:w="65" w:type="dxa"/>
            </w:tcMar>
            <w:shd w:fill="F8FAF9"/>
            <w:vAlign w:val="center"/>
          </w:tcPr>
          <w:p>
            <w:pPr>
              <w:pStyle w:val="MMTableText"/>
              <w:spacing w:after="0"/>
            </w:pPr>
            <w:r>
              <w:rPr>
                <w:sz w:val="14"/>
              </w:rPr>
              <w:t>Implemented</w:t>
            </w:r>
          </w:p>
        </w:tc>
        <w:tc>
          <w:tcPr>
            <w:tcW w:type="dxa" w:w="4320"/>
            <w:tcMar>
              <w:top w:w="58" w:type="dxa"/>
              <w:start w:w="65" w:type="dxa"/>
              <w:bottom w:w="58" w:type="dxa"/>
              <w:end w:w="65" w:type="dxa"/>
            </w:tcMar>
            <w:shd w:fill="F8FAF9"/>
            <w:vAlign w:val="center"/>
          </w:tcPr>
          <w:p>
            <w:pPr>
              <w:pStyle w:val="MMTableText"/>
              <w:spacing w:after="0"/>
            </w:pPr>
            <w:r>
              <w:rPr>
                <w:sz w:val="14"/>
              </w:rPr>
              <w:t>Retain as guidance, not mandatory budget structure.</w:t>
            </w:r>
          </w:p>
        </w:tc>
      </w:tr>
      <w:tr>
        <w:trPr>
          <w:cantSplit/>
        </w:trPr>
        <w:tc>
          <w:tcPr>
            <w:tcW w:type="dxa" w:w="2880"/>
            <w:tcMar>
              <w:top w:w="58" w:type="dxa"/>
              <w:start w:w="65" w:type="dxa"/>
              <w:bottom w:w="58" w:type="dxa"/>
              <w:end w:w="65" w:type="dxa"/>
            </w:tcMar>
            <w:vAlign w:val="center"/>
          </w:tcPr>
          <w:p>
            <w:pPr>
              <w:pStyle w:val="MMTableText"/>
              <w:spacing w:after="0"/>
            </w:pPr>
            <w:r>
              <w:rPr>
                <w:sz w:val="14"/>
              </w:rPr>
              <w:t>Curated travel ranking</w:t>
            </w:r>
          </w:p>
        </w:tc>
        <w:tc>
          <w:tcPr>
            <w:tcW w:type="dxa" w:w="1080"/>
            <w:tcMar>
              <w:top w:w="58" w:type="dxa"/>
              <w:start w:w="65" w:type="dxa"/>
              <w:bottom w:w="58" w:type="dxa"/>
              <w:end w:w="65" w:type="dxa"/>
            </w:tcMar>
            <w:vAlign w:val="center"/>
          </w:tcPr>
          <w:p>
            <w:pPr>
              <w:pStyle w:val="MMTableText"/>
              <w:spacing w:after="0"/>
            </w:pPr>
            <w:r>
              <w:rPr>
                <w:sz w:val="14"/>
              </w:rPr>
              <w:t>V1</w:t>
            </w:r>
          </w:p>
        </w:tc>
        <w:tc>
          <w:tcPr>
            <w:tcW w:type="dxa" w:w="1800"/>
            <w:tcMar>
              <w:top w:w="58" w:type="dxa"/>
              <w:start w:w="65" w:type="dxa"/>
              <w:bottom w:w="58" w:type="dxa"/>
              <w:end w:w="65" w:type="dxa"/>
            </w:tcMar>
            <w:vAlign w:val="center"/>
          </w:tcPr>
          <w:p>
            <w:pPr>
              <w:pStyle w:val="MMTableText"/>
              <w:spacing w:after="0"/>
            </w:pPr>
            <w:r>
              <w:rPr>
                <w:sz w:val="14"/>
              </w:rPr>
              <w:t>Implemented</w:t>
            </w:r>
          </w:p>
        </w:tc>
        <w:tc>
          <w:tcPr>
            <w:tcW w:type="dxa" w:w="4320"/>
            <w:tcMar>
              <w:top w:w="58" w:type="dxa"/>
              <w:start w:w="65" w:type="dxa"/>
              <w:bottom w:w="58" w:type="dxa"/>
              <w:end w:w="65" w:type="dxa"/>
            </w:tcMar>
            <w:vAlign w:val="center"/>
          </w:tcPr>
          <w:p>
            <w:pPr>
              <w:pStyle w:val="MMTableText"/>
              <w:spacing w:after="0"/>
            </w:pPr>
            <w:r>
              <w:rPr>
                <w:sz w:val="14"/>
              </w:rPr>
              <w:t>Migrate and integrate travel-fund readiness.</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Visited city/state history</w:t>
            </w:r>
          </w:p>
        </w:tc>
        <w:tc>
          <w:tcPr>
            <w:tcW w:type="dxa" w:w="1080"/>
            <w:tcMar>
              <w:top w:w="58" w:type="dxa"/>
              <w:start w:w="65" w:type="dxa"/>
              <w:bottom w:w="58" w:type="dxa"/>
              <w:end w:w="65" w:type="dxa"/>
            </w:tcMar>
            <w:shd w:fill="F8FAF9"/>
            <w:vAlign w:val="center"/>
          </w:tcPr>
          <w:p>
            <w:pPr>
              <w:pStyle w:val="MMTableText"/>
              <w:spacing w:after="0"/>
            </w:pPr>
            <w:r>
              <w:rPr>
                <w:sz w:val="14"/>
              </w:rPr>
              <w:t>V1</w:t>
            </w:r>
          </w:p>
        </w:tc>
        <w:tc>
          <w:tcPr>
            <w:tcW w:type="dxa" w:w="1800"/>
            <w:tcMar>
              <w:top w:w="58" w:type="dxa"/>
              <w:start w:w="65" w:type="dxa"/>
              <w:bottom w:w="58" w:type="dxa"/>
              <w:end w:w="65" w:type="dxa"/>
            </w:tcMar>
            <w:shd w:fill="F8FAF9"/>
            <w:vAlign w:val="center"/>
          </w:tcPr>
          <w:p>
            <w:pPr>
              <w:pStyle w:val="MMTableText"/>
              <w:spacing w:after="0"/>
            </w:pPr>
            <w:r>
              <w:rPr>
                <w:sz w:val="14"/>
              </w:rPr>
              <w:t>Implemented</w:t>
            </w:r>
          </w:p>
        </w:tc>
        <w:tc>
          <w:tcPr>
            <w:tcW w:type="dxa" w:w="4320"/>
            <w:tcMar>
              <w:top w:w="58" w:type="dxa"/>
              <w:start w:w="65" w:type="dxa"/>
              <w:bottom w:w="58" w:type="dxa"/>
              <w:end w:w="65" w:type="dxa"/>
            </w:tcMar>
            <w:shd w:fill="F8FAF9"/>
            <w:vAlign w:val="center"/>
          </w:tcPr>
          <w:p>
            <w:pPr>
              <w:pStyle w:val="MMTableText"/>
              <w:spacing w:after="0"/>
            </w:pPr>
            <w:r>
              <w:rPr>
                <w:sz w:val="14"/>
              </w:rPr>
              <w:t>Migrate.</w:t>
            </w:r>
          </w:p>
        </w:tc>
      </w:tr>
      <w:tr>
        <w:trPr>
          <w:cantSplit/>
        </w:trPr>
        <w:tc>
          <w:tcPr>
            <w:tcW w:type="dxa" w:w="2880"/>
            <w:tcMar>
              <w:top w:w="58" w:type="dxa"/>
              <w:start w:w="65" w:type="dxa"/>
              <w:bottom w:w="58" w:type="dxa"/>
              <w:end w:w="65" w:type="dxa"/>
            </w:tcMar>
            <w:vAlign w:val="center"/>
          </w:tcPr>
          <w:p>
            <w:pPr>
              <w:pStyle w:val="MMTableText"/>
              <w:spacing w:after="0"/>
            </w:pPr>
            <w:r>
              <w:rPr>
                <w:sz w:val="14"/>
              </w:rPr>
              <w:t>Canonical accounts</w:t>
            </w:r>
          </w:p>
        </w:tc>
        <w:tc>
          <w:tcPr>
            <w:tcW w:type="dxa" w:w="1080"/>
            <w:tcMar>
              <w:top w:w="58" w:type="dxa"/>
              <w:start w:w="65" w:type="dxa"/>
              <w:bottom w:w="58" w:type="dxa"/>
              <w:end w:w="65" w:type="dxa"/>
            </w:tcMar>
            <w:vAlign w:val="center"/>
          </w:tcPr>
          <w:p>
            <w:pPr>
              <w:pStyle w:val="MMTableText"/>
              <w:spacing w:after="0"/>
            </w:pPr>
            <w:r>
              <w:rPr>
                <w:sz w:val="14"/>
              </w:rPr>
              <w:t>V2</w:t>
            </w:r>
          </w:p>
        </w:tc>
        <w:tc>
          <w:tcPr>
            <w:tcW w:type="dxa" w:w="1800"/>
            <w:tcMar>
              <w:top w:w="58" w:type="dxa"/>
              <w:start w:w="65" w:type="dxa"/>
              <w:bottom w:w="58" w:type="dxa"/>
              <w:end w:w="65" w:type="dxa"/>
            </w:tcMar>
            <w:vAlign w:val="center"/>
          </w:tcPr>
          <w:p>
            <w:pPr>
              <w:pStyle w:val="MMTableText"/>
              <w:spacing w:after="0"/>
            </w:pPr>
            <w:r>
              <w:rPr>
                <w:sz w:val="14"/>
              </w:rPr>
              <w:t>Needs implementation</w:t>
            </w:r>
          </w:p>
        </w:tc>
        <w:tc>
          <w:tcPr>
            <w:tcW w:type="dxa" w:w="4320"/>
            <w:tcMar>
              <w:top w:w="58" w:type="dxa"/>
              <w:start w:w="65" w:type="dxa"/>
              <w:bottom w:w="58" w:type="dxa"/>
              <w:end w:w="65" w:type="dxa"/>
            </w:tcMar>
            <w:vAlign w:val="center"/>
          </w:tcPr>
          <w:p>
            <w:pPr>
              <w:pStyle w:val="MMTableText"/>
              <w:spacing w:after="0"/>
            </w:pPr>
            <w:r>
              <w:rPr>
                <w:sz w:val="14"/>
              </w:rPr>
              <w:t>Friendly names and masks.</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Canonical transactions</w:t>
            </w:r>
          </w:p>
        </w:tc>
        <w:tc>
          <w:tcPr>
            <w:tcW w:type="dxa" w:w="1080"/>
            <w:tcMar>
              <w:top w:w="58" w:type="dxa"/>
              <w:start w:w="65" w:type="dxa"/>
              <w:bottom w:w="58" w:type="dxa"/>
              <w:end w:w="65" w:type="dxa"/>
            </w:tcMar>
            <w:shd w:fill="F8FAF9"/>
            <w:vAlign w:val="center"/>
          </w:tcPr>
          <w:p>
            <w:pPr>
              <w:pStyle w:val="MMTableText"/>
              <w:spacing w:after="0"/>
            </w:pPr>
            <w:r>
              <w:rPr>
                <w:sz w:val="14"/>
              </w:rPr>
              <w:t>V2</w:t>
            </w:r>
          </w:p>
        </w:tc>
        <w:tc>
          <w:tcPr>
            <w:tcW w:type="dxa" w:w="1800"/>
            <w:tcMar>
              <w:top w:w="58" w:type="dxa"/>
              <w:start w:w="65" w:type="dxa"/>
              <w:bottom w:w="58" w:type="dxa"/>
              <w:end w:w="65" w:type="dxa"/>
            </w:tcMar>
            <w:shd w:fill="F8FAF9"/>
            <w:vAlign w:val="center"/>
          </w:tcPr>
          <w:p>
            <w:pPr>
              <w:pStyle w:val="MMTableText"/>
              <w:spacing w:after="0"/>
            </w:pPr>
            <w:r>
              <w:rPr>
                <w:sz w:val="14"/>
              </w:rPr>
              <w:t>Needs implementation</w:t>
            </w:r>
          </w:p>
        </w:tc>
        <w:tc>
          <w:tcPr>
            <w:tcW w:type="dxa" w:w="4320"/>
            <w:tcMar>
              <w:top w:w="58" w:type="dxa"/>
              <w:start w:w="65" w:type="dxa"/>
              <w:bottom w:w="58" w:type="dxa"/>
              <w:end w:w="65" w:type="dxa"/>
            </w:tcMar>
            <w:shd w:fill="F8FAF9"/>
            <w:vAlign w:val="center"/>
          </w:tcPr>
          <w:p>
            <w:pPr>
              <w:pStyle w:val="MMTableText"/>
              <w:spacing w:after="0"/>
            </w:pPr>
            <w:r>
              <w:rPr>
                <w:sz w:val="14"/>
              </w:rPr>
              <w:t>Source facts + user meaning.</w:t>
            </w:r>
          </w:p>
        </w:tc>
      </w:tr>
      <w:tr>
        <w:trPr>
          <w:cantSplit/>
        </w:trPr>
        <w:tc>
          <w:tcPr>
            <w:tcW w:type="dxa" w:w="2880"/>
            <w:tcMar>
              <w:top w:w="58" w:type="dxa"/>
              <w:start w:w="65" w:type="dxa"/>
              <w:bottom w:w="58" w:type="dxa"/>
              <w:end w:w="65" w:type="dxa"/>
            </w:tcMar>
            <w:vAlign w:val="center"/>
          </w:tcPr>
          <w:p>
            <w:pPr>
              <w:pStyle w:val="MMTableText"/>
              <w:spacing w:after="0"/>
            </w:pPr>
            <w:r>
              <w:rPr>
                <w:sz w:val="14"/>
              </w:rPr>
              <w:t>CSV import</w:t>
            </w:r>
          </w:p>
        </w:tc>
        <w:tc>
          <w:tcPr>
            <w:tcW w:type="dxa" w:w="1080"/>
            <w:tcMar>
              <w:top w:w="58" w:type="dxa"/>
              <w:start w:w="65" w:type="dxa"/>
              <w:bottom w:w="58" w:type="dxa"/>
              <w:end w:w="65" w:type="dxa"/>
            </w:tcMar>
            <w:vAlign w:val="center"/>
          </w:tcPr>
          <w:p>
            <w:pPr>
              <w:pStyle w:val="MMTableText"/>
              <w:spacing w:after="0"/>
            </w:pPr>
            <w:r>
              <w:rPr>
                <w:sz w:val="14"/>
              </w:rPr>
              <w:t>V2</w:t>
            </w:r>
          </w:p>
        </w:tc>
        <w:tc>
          <w:tcPr>
            <w:tcW w:type="dxa" w:w="1800"/>
            <w:tcMar>
              <w:top w:w="58" w:type="dxa"/>
              <w:start w:w="65" w:type="dxa"/>
              <w:bottom w:w="58" w:type="dxa"/>
              <w:end w:w="65" w:type="dxa"/>
            </w:tcMar>
            <w:vAlign w:val="center"/>
          </w:tcPr>
          <w:p>
            <w:pPr>
              <w:pStyle w:val="MMTableText"/>
              <w:spacing w:after="0"/>
            </w:pPr>
            <w:r>
              <w:rPr>
                <w:sz w:val="14"/>
              </w:rPr>
              <w:t>Needs implementation</w:t>
            </w:r>
          </w:p>
        </w:tc>
        <w:tc>
          <w:tcPr>
            <w:tcW w:type="dxa" w:w="4320"/>
            <w:tcMar>
              <w:top w:w="58" w:type="dxa"/>
              <w:start w:w="65" w:type="dxa"/>
              <w:bottom w:w="58" w:type="dxa"/>
              <w:end w:w="65" w:type="dxa"/>
            </w:tcMar>
            <w:vAlign w:val="center"/>
          </w:tcPr>
          <w:p>
            <w:pPr>
              <w:pStyle w:val="MMTableText"/>
              <w:spacing w:after="0"/>
            </w:pPr>
            <w:r>
              <w:rPr>
                <w:sz w:val="14"/>
              </w:rPr>
              <w:t>Preview, mapping, validation, batch audit.</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Weekly Review</w:t>
            </w:r>
          </w:p>
        </w:tc>
        <w:tc>
          <w:tcPr>
            <w:tcW w:type="dxa" w:w="1080"/>
            <w:tcMar>
              <w:top w:w="58" w:type="dxa"/>
              <w:start w:w="65" w:type="dxa"/>
              <w:bottom w:w="58" w:type="dxa"/>
              <w:end w:w="65" w:type="dxa"/>
            </w:tcMar>
            <w:shd w:fill="F8FAF9"/>
            <w:vAlign w:val="center"/>
          </w:tcPr>
          <w:p>
            <w:pPr>
              <w:pStyle w:val="MMTableText"/>
              <w:spacing w:after="0"/>
            </w:pPr>
            <w:r>
              <w:rPr>
                <w:sz w:val="14"/>
              </w:rPr>
              <w:t>V2</w:t>
            </w:r>
          </w:p>
        </w:tc>
        <w:tc>
          <w:tcPr>
            <w:tcW w:type="dxa" w:w="1800"/>
            <w:tcMar>
              <w:top w:w="58" w:type="dxa"/>
              <w:start w:w="65" w:type="dxa"/>
              <w:bottom w:w="58" w:type="dxa"/>
              <w:end w:w="65" w:type="dxa"/>
            </w:tcMar>
            <w:shd w:fill="F8FAF9"/>
            <w:vAlign w:val="center"/>
          </w:tcPr>
          <w:p>
            <w:pPr>
              <w:pStyle w:val="MMTableText"/>
              <w:spacing w:after="0"/>
            </w:pPr>
            <w:r>
              <w:rPr>
                <w:sz w:val="14"/>
              </w:rPr>
              <w:t>Needs implementation</w:t>
            </w:r>
          </w:p>
        </w:tc>
        <w:tc>
          <w:tcPr>
            <w:tcW w:type="dxa" w:w="4320"/>
            <w:tcMar>
              <w:top w:w="58" w:type="dxa"/>
              <w:start w:w="65" w:type="dxa"/>
              <w:bottom w:w="58" w:type="dxa"/>
              <w:end w:w="65" w:type="dxa"/>
            </w:tcMar>
            <w:shd w:fill="F8FAF9"/>
            <w:vAlign w:val="center"/>
          </w:tcPr>
          <w:p>
            <w:pPr>
              <w:pStyle w:val="MMTableText"/>
              <w:spacing w:after="0"/>
            </w:pPr>
            <w:r>
              <w:rPr>
                <w:sz w:val="14"/>
              </w:rPr>
              <w:t>Supervised queue and confirmation.</w:t>
            </w:r>
          </w:p>
        </w:tc>
      </w:tr>
      <w:tr>
        <w:trPr>
          <w:cantSplit/>
        </w:trPr>
        <w:tc>
          <w:tcPr>
            <w:tcW w:type="dxa" w:w="2880"/>
            <w:tcMar>
              <w:top w:w="58" w:type="dxa"/>
              <w:start w:w="65" w:type="dxa"/>
              <w:bottom w:w="58" w:type="dxa"/>
              <w:end w:w="65" w:type="dxa"/>
            </w:tcMar>
            <w:vAlign w:val="center"/>
          </w:tcPr>
          <w:p>
            <w:pPr>
              <w:pStyle w:val="MMTableText"/>
              <w:spacing w:after="0"/>
            </w:pPr>
            <w:r>
              <w:rPr>
                <w:sz w:val="14"/>
              </w:rPr>
              <w:t>Buckets</w:t>
            </w:r>
          </w:p>
        </w:tc>
        <w:tc>
          <w:tcPr>
            <w:tcW w:type="dxa" w:w="1080"/>
            <w:tcMar>
              <w:top w:w="58" w:type="dxa"/>
              <w:start w:w="65" w:type="dxa"/>
              <w:bottom w:w="58" w:type="dxa"/>
              <w:end w:w="65" w:type="dxa"/>
            </w:tcMar>
            <w:vAlign w:val="center"/>
          </w:tcPr>
          <w:p>
            <w:pPr>
              <w:pStyle w:val="MMTableText"/>
              <w:spacing w:after="0"/>
            </w:pPr>
            <w:r>
              <w:rPr>
                <w:sz w:val="14"/>
              </w:rPr>
              <w:t>V2</w:t>
            </w:r>
          </w:p>
        </w:tc>
        <w:tc>
          <w:tcPr>
            <w:tcW w:type="dxa" w:w="1800"/>
            <w:tcMar>
              <w:top w:w="58" w:type="dxa"/>
              <w:start w:w="65" w:type="dxa"/>
              <w:bottom w:w="58" w:type="dxa"/>
              <w:end w:w="65" w:type="dxa"/>
            </w:tcMar>
            <w:vAlign w:val="center"/>
          </w:tcPr>
          <w:p>
            <w:pPr>
              <w:pStyle w:val="MMTableText"/>
              <w:spacing w:after="0"/>
            </w:pPr>
            <w:r>
              <w:rPr>
                <w:sz w:val="14"/>
              </w:rPr>
              <w:t>Needs implementation</w:t>
            </w:r>
          </w:p>
        </w:tc>
        <w:tc>
          <w:tcPr>
            <w:tcW w:type="dxa" w:w="4320"/>
            <w:tcMar>
              <w:top w:w="58" w:type="dxa"/>
              <w:start w:w="65" w:type="dxa"/>
              <w:bottom w:w="58" w:type="dxa"/>
              <w:end w:w="65" w:type="dxa"/>
            </w:tcMar>
            <w:vAlign w:val="center"/>
          </w:tcPr>
          <w:p>
            <w:pPr>
              <w:pStyle w:val="MMTableText"/>
              <w:spacing w:after="0"/>
            </w:pPr>
            <w:r>
              <w:rPr>
                <w:sz w:val="14"/>
              </w:rPr>
              <w:t>User-owned records, target, order, archive/merge.</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Sub-buckets</w:t>
            </w:r>
          </w:p>
        </w:tc>
        <w:tc>
          <w:tcPr>
            <w:tcW w:type="dxa" w:w="1080"/>
            <w:tcMar>
              <w:top w:w="58" w:type="dxa"/>
              <w:start w:w="65" w:type="dxa"/>
              <w:bottom w:w="58" w:type="dxa"/>
              <w:end w:w="65" w:type="dxa"/>
            </w:tcMar>
            <w:shd w:fill="F8FAF9"/>
            <w:vAlign w:val="center"/>
          </w:tcPr>
          <w:p>
            <w:pPr>
              <w:pStyle w:val="MMTableText"/>
              <w:spacing w:after="0"/>
            </w:pPr>
            <w:r>
              <w:rPr>
                <w:sz w:val="14"/>
              </w:rPr>
              <w:t>V2</w:t>
            </w:r>
          </w:p>
        </w:tc>
        <w:tc>
          <w:tcPr>
            <w:tcW w:type="dxa" w:w="1800"/>
            <w:tcMar>
              <w:top w:w="58" w:type="dxa"/>
              <w:start w:w="65" w:type="dxa"/>
              <w:bottom w:w="58" w:type="dxa"/>
              <w:end w:w="65" w:type="dxa"/>
            </w:tcMar>
            <w:shd w:fill="F8FAF9"/>
            <w:vAlign w:val="center"/>
          </w:tcPr>
          <w:p>
            <w:pPr>
              <w:pStyle w:val="MMTableText"/>
              <w:spacing w:after="0"/>
            </w:pPr>
            <w:r>
              <w:rPr>
                <w:sz w:val="14"/>
              </w:rPr>
              <w:t>Needs implementation</w:t>
            </w:r>
          </w:p>
        </w:tc>
        <w:tc>
          <w:tcPr>
            <w:tcW w:type="dxa" w:w="4320"/>
            <w:tcMar>
              <w:top w:w="58" w:type="dxa"/>
              <w:start w:w="65" w:type="dxa"/>
              <w:bottom w:w="58" w:type="dxa"/>
              <w:end w:w="65" w:type="dxa"/>
            </w:tcMar>
            <w:shd w:fill="F8FAF9"/>
            <w:vAlign w:val="center"/>
          </w:tcPr>
          <w:p>
            <w:pPr>
              <w:pStyle w:val="MMTableText"/>
              <w:spacing w:after="0"/>
            </w:pPr>
            <w:r>
              <w:rPr>
                <w:sz w:val="14"/>
              </w:rPr>
              <w:t>Two-level maximum.</w:t>
            </w:r>
          </w:p>
        </w:tc>
      </w:tr>
      <w:tr>
        <w:trPr>
          <w:cantSplit/>
        </w:trPr>
        <w:tc>
          <w:tcPr>
            <w:tcW w:type="dxa" w:w="2880"/>
            <w:tcMar>
              <w:top w:w="58" w:type="dxa"/>
              <w:start w:w="65" w:type="dxa"/>
              <w:bottom w:w="58" w:type="dxa"/>
              <w:end w:w="65" w:type="dxa"/>
            </w:tcMar>
            <w:vAlign w:val="center"/>
          </w:tcPr>
          <w:p>
            <w:pPr>
              <w:pStyle w:val="MMTableText"/>
              <w:spacing w:after="0"/>
            </w:pPr>
            <w:r>
              <w:rPr>
                <w:sz w:val="14"/>
              </w:rPr>
              <w:t>Bucket drill-down</w:t>
            </w:r>
          </w:p>
        </w:tc>
        <w:tc>
          <w:tcPr>
            <w:tcW w:type="dxa" w:w="1080"/>
            <w:tcMar>
              <w:top w:w="58" w:type="dxa"/>
              <w:start w:w="65" w:type="dxa"/>
              <w:bottom w:w="58" w:type="dxa"/>
              <w:end w:w="65" w:type="dxa"/>
            </w:tcMar>
            <w:vAlign w:val="center"/>
          </w:tcPr>
          <w:p>
            <w:pPr>
              <w:pStyle w:val="MMTableText"/>
              <w:spacing w:after="0"/>
            </w:pPr>
            <w:r>
              <w:rPr>
                <w:sz w:val="14"/>
              </w:rPr>
              <w:t>V2</w:t>
            </w:r>
          </w:p>
        </w:tc>
        <w:tc>
          <w:tcPr>
            <w:tcW w:type="dxa" w:w="1800"/>
            <w:tcMar>
              <w:top w:w="58" w:type="dxa"/>
              <w:start w:w="65" w:type="dxa"/>
              <w:bottom w:w="58" w:type="dxa"/>
              <w:end w:w="65" w:type="dxa"/>
            </w:tcMar>
            <w:vAlign w:val="center"/>
          </w:tcPr>
          <w:p>
            <w:pPr>
              <w:pStyle w:val="MMTableText"/>
              <w:spacing w:after="0"/>
            </w:pPr>
            <w:r>
              <w:rPr>
                <w:sz w:val="14"/>
              </w:rPr>
              <w:t>Needs implementation</w:t>
            </w:r>
          </w:p>
        </w:tc>
        <w:tc>
          <w:tcPr>
            <w:tcW w:type="dxa" w:w="4320"/>
            <w:tcMar>
              <w:top w:w="58" w:type="dxa"/>
              <w:start w:w="65" w:type="dxa"/>
              <w:bottom w:w="58" w:type="dxa"/>
              <w:end w:w="65" w:type="dxa"/>
            </w:tcMar>
            <w:vAlign w:val="center"/>
          </w:tcPr>
          <w:p>
            <w:pPr>
              <w:pStyle w:val="MMTableText"/>
              <w:spacing w:after="0"/>
            </w:pPr>
            <w:r>
              <w:rPr>
                <w:sz w:val="14"/>
              </w:rPr>
              <w:t>Allocation-level transaction list.</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Merchant rules</w:t>
            </w:r>
          </w:p>
        </w:tc>
        <w:tc>
          <w:tcPr>
            <w:tcW w:type="dxa" w:w="1080"/>
            <w:tcMar>
              <w:top w:w="58" w:type="dxa"/>
              <w:start w:w="65" w:type="dxa"/>
              <w:bottom w:w="58" w:type="dxa"/>
              <w:end w:w="65" w:type="dxa"/>
            </w:tcMar>
            <w:shd w:fill="F8FAF9"/>
            <w:vAlign w:val="center"/>
          </w:tcPr>
          <w:p>
            <w:pPr>
              <w:pStyle w:val="MMTableText"/>
              <w:spacing w:after="0"/>
            </w:pPr>
            <w:r>
              <w:rPr>
                <w:sz w:val="14"/>
              </w:rPr>
              <w:t>V2</w:t>
            </w:r>
          </w:p>
        </w:tc>
        <w:tc>
          <w:tcPr>
            <w:tcW w:type="dxa" w:w="1800"/>
            <w:tcMar>
              <w:top w:w="58" w:type="dxa"/>
              <w:start w:w="65" w:type="dxa"/>
              <w:bottom w:w="58" w:type="dxa"/>
              <w:end w:w="65" w:type="dxa"/>
            </w:tcMar>
            <w:shd w:fill="F8FAF9"/>
            <w:vAlign w:val="center"/>
          </w:tcPr>
          <w:p>
            <w:pPr>
              <w:pStyle w:val="MMTableText"/>
              <w:spacing w:after="0"/>
            </w:pPr>
            <w:r>
              <w:rPr>
                <w:sz w:val="14"/>
              </w:rPr>
              <w:t>Needs implementation</w:t>
            </w:r>
          </w:p>
        </w:tc>
        <w:tc>
          <w:tcPr>
            <w:tcW w:type="dxa" w:w="4320"/>
            <w:tcMar>
              <w:top w:w="58" w:type="dxa"/>
              <w:start w:w="65" w:type="dxa"/>
              <w:bottom w:w="58" w:type="dxa"/>
              <w:end w:w="65" w:type="dxa"/>
            </w:tcMar>
            <w:shd w:fill="F8FAF9"/>
            <w:vAlign w:val="center"/>
          </w:tcPr>
          <w:p>
            <w:pPr>
              <w:pStyle w:val="MMTableText"/>
              <w:spacing w:after="0"/>
            </w:pPr>
            <w:r>
              <w:rPr>
                <w:sz w:val="14"/>
              </w:rPr>
              <w:t>Suggestion-only.</w:t>
            </w:r>
          </w:p>
        </w:tc>
      </w:tr>
      <w:tr>
        <w:trPr>
          <w:cantSplit/>
        </w:trPr>
        <w:tc>
          <w:tcPr>
            <w:tcW w:type="dxa" w:w="2880"/>
            <w:tcMar>
              <w:top w:w="58" w:type="dxa"/>
              <w:start w:w="65" w:type="dxa"/>
              <w:bottom w:w="58" w:type="dxa"/>
              <w:end w:w="65" w:type="dxa"/>
            </w:tcMar>
            <w:vAlign w:val="center"/>
          </w:tcPr>
          <w:p>
            <w:pPr>
              <w:pStyle w:val="MMTableText"/>
              <w:spacing w:after="0"/>
            </w:pPr>
            <w:r>
              <w:rPr>
                <w:sz w:val="14"/>
              </w:rPr>
              <w:t>Split allocations</w:t>
            </w:r>
          </w:p>
        </w:tc>
        <w:tc>
          <w:tcPr>
            <w:tcW w:type="dxa" w:w="1080"/>
            <w:tcMar>
              <w:top w:w="58" w:type="dxa"/>
              <w:start w:w="65" w:type="dxa"/>
              <w:bottom w:w="58" w:type="dxa"/>
              <w:end w:w="65" w:type="dxa"/>
            </w:tcMar>
            <w:vAlign w:val="center"/>
          </w:tcPr>
          <w:p>
            <w:pPr>
              <w:pStyle w:val="MMTableText"/>
              <w:spacing w:after="0"/>
            </w:pPr>
            <w:r>
              <w:rPr>
                <w:sz w:val="14"/>
              </w:rPr>
              <w:t>V2</w:t>
            </w:r>
          </w:p>
        </w:tc>
        <w:tc>
          <w:tcPr>
            <w:tcW w:type="dxa" w:w="1800"/>
            <w:tcMar>
              <w:top w:w="58" w:type="dxa"/>
              <w:start w:w="65" w:type="dxa"/>
              <w:bottom w:w="58" w:type="dxa"/>
              <w:end w:w="65" w:type="dxa"/>
            </w:tcMar>
            <w:vAlign w:val="center"/>
          </w:tcPr>
          <w:p>
            <w:pPr>
              <w:pStyle w:val="MMTableText"/>
              <w:spacing w:after="0"/>
            </w:pPr>
            <w:r>
              <w:rPr>
                <w:sz w:val="14"/>
              </w:rPr>
              <w:t>Needs implementation</w:t>
            </w:r>
          </w:p>
        </w:tc>
        <w:tc>
          <w:tcPr>
            <w:tcW w:type="dxa" w:w="4320"/>
            <w:tcMar>
              <w:top w:w="58" w:type="dxa"/>
              <w:start w:w="65" w:type="dxa"/>
              <w:bottom w:w="58" w:type="dxa"/>
              <w:end w:w="65" w:type="dxa"/>
            </w:tcMar>
            <w:vAlign w:val="center"/>
          </w:tcPr>
          <w:p>
            <w:pPr>
              <w:pStyle w:val="MMTableText"/>
              <w:spacing w:after="0"/>
            </w:pPr>
            <w:r>
              <w:rPr>
                <w:sz w:val="14"/>
              </w:rPr>
              <w:t>Exact-cent integrity.</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Account chip per transaction</w:t>
            </w:r>
          </w:p>
        </w:tc>
        <w:tc>
          <w:tcPr>
            <w:tcW w:type="dxa" w:w="1080"/>
            <w:tcMar>
              <w:top w:w="58" w:type="dxa"/>
              <w:start w:w="65" w:type="dxa"/>
              <w:bottom w:w="58" w:type="dxa"/>
              <w:end w:w="65" w:type="dxa"/>
            </w:tcMar>
            <w:shd w:fill="F8FAF9"/>
            <w:vAlign w:val="center"/>
          </w:tcPr>
          <w:p>
            <w:pPr>
              <w:pStyle w:val="MMTableText"/>
              <w:spacing w:after="0"/>
            </w:pPr>
            <w:r>
              <w:rPr>
                <w:sz w:val="14"/>
              </w:rPr>
              <w:t>V2</w:t>
            </w:r>
          </w:p>
        </w:tc>
        <w:tc>
          <w:tcPr>
            <w:tcW w:type="dxa" w:w="1800"/>
            <w:tcMar>
              <w:top w:w="58" w:type="dxa"/>
              <w:start w:w="65" w:type="dxa"/>
              <w:bottom w:w="58" w:type="dxa"/>
              <w:end w:w="65" w:type="dxa"/>
            </w:tcMar>
            <w:shd w:fill="F8FAF9"/>
            <w:vAlign w:val="center"/>
          </w:tcPr>
          <w:p>
            <w:pPr>
              <w:pStyle w:val="MMTableText"/>
              <w:spacing w:after="0"/>
            </w:pPr>
            <w:r>
              <w:rPr>
                <w:sz w:val="14"/>
              </w:rPr>
              <w:t>Needs implementation</w:t>
            </w:r>
          </w:p>
        </w:tc>
        <w:tc>
          <w:tcPr>
            <w:tcW w:type="dxa" w:w="4320"/>
            <w:tcMar>
              <w:top w:w="58" w:type="dxa"/>
              <w:start w:w="65" w:type="dxa"/>
              <w:bottom w:w="58" w:type="dxa"/>
              <w:end w:w="65" w:type="dxa"/>
            </w:tcMar>
            <w:shd w:fill="F8FAF9"/>
            <w:vAlign w:val="center"/>
          </w:tcPr>
          <w:p>
            <w:pPr>
              <w:pStyle w:val="MMTableText"/>
              <w:spacing w:after="0"/>
            </w:pPr>
            <w:r>
              <w:rPr>
                <w:sz w:val="14"/>
              </w:rPr>
              <w:t>Institution, friendly name, mask.</w:t>
            </w:r>
          </w:p>
        </w:tc>
      </w:tr>
      <w:tr>
        <w:trPr>
          <w:cantSplit/>
        </w:trPr>
        <w:tc>
          <w:tcPr>
            <w:tcW w:type="dxa" w:w="2880"/>
            <w:tcMar>
              <w:top w:w="58" w:type="dxa"/>
              <w:start w:w="65" w:type="dxa"/>
              <w:bottom w:w="58" w:type="dxa"/>
              <w:end w:w="65" w:type="dxa"/>
            </w:tcMar>
            <w:vAlign w:val="center"/>
          </w:tcPr>
          <w:p>
            <w:pPr>
              <w:pStyle w:val="MMTableText"/>
              <w:spacing w:after="0"/>
            </w:pPr>
            <w:r>
              <w:rPr>
                <w:sz w:val="14"/>
              </w:rPr>
              <w:t>State/country location</w:t>
            </w:r>
          </w:p>
        </w:tc>
        <w:tc>
          <w:tcPr>
            <w:tcW w:type="dxa" w:w="1080"/>
            <w:tcMar>
              <w:top w:w="58" w:type="dxa"/>
              <w:start w:w="65" w:type="dxa"/>
              <w:bottom w:w="58" w:type="dxa"/>
              <w:end w:w="65" w:type="dxa"/>
            </w:tcMar>
            <w:vAlign w:val="center"/>
          </w:tcPr>
          <w:p>
            <w:pPr>
              <w:pStyle w:val="MMTableText"/>
              <w:spacing w:after="0"/>
            </w:pPr>
            <w:r>
              <w:rPr>
                <w:sz w:val="14"/>
              </w:rPr>
              <w:t>V2</w:t>
            </w:r>
          </w:p>
        </w:tc>
        <w:tc>
          <w:tcPr>
            <w:tcW w:type="dxa" w:w="1800"/>
            <w:tcMar>
              <w:top w:w="58" w:type="dxa"/>
              <w:start w:w="65" w:type="dxa"/>
              <w:bottom w:w="58" w:type="dxa"/>
              <w:end w:w="65" w:type="dxa"/>
            </w:tcMar>
            <w:vAlign w:val="center"/>
          </w:tcPr>
          <w:p>
            <w:pPr>
              <w:pStyle w:val="MMTableText"/>
              <w:spacing w:after="0"/>
            </w:pPr>
            <w:r>
              <w:rPr>
                <w:sz w:val="14"/>
              </w:rPr>
              <w:t>Needs implementation</w:t>
            </w:r>
          </w:p>
        </w:tc>
        <w:tc>
          <w:tcPr>
            <w:tcW w:type="dxa" w:w="4320"/>
            <w:tcMar>
              <w:top w:w="58" w:type="dxa"/>
              <w:start w:w="65" w:type="dxa"/>
              <w:bottom w:w="58" w:type="dxa"/>
              <w:end w:w="65" w:type="dxa"/>
            </w:tcMar>
            <w:vAlign w:val="center"/>
          </w:tcPr>
          <w:p>
            <w:pPr>
              <w:pStyle w:val="MMTableText"/>
              <w:spacing w:after="0"/>
            </w:pPr>
            <w:r>
              <w:rPr>
                <w:sz w:val="14"/>
              </w:rPr>
              <w:t>Provenance and user correction.</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Inflow classification</w:t>
            </w:r>
          </w:p>
        </w:tc>
        <w:tc>
          <w:tcPr>
            <w:tcW w:type="dxa" w:w="1080"/>
            <w:tcMar>
              <w:top w:w="58" w:type="dxa"/>
              <w:start w:w="65" w:type="dxa"/>
              <w:bottom w:w="58" w:type="dxa"/>
              <w:end w:w="65" w:type="dxa"/>
            </w:tcMar>
            <w:shd w:fill="F8FAF9"/>
            <w:vAlign w:val="center"/>
          </w:tcPr>
          <w:p>
            <w:pPr>
              <w:pStyle w:val="MMTableText"/>
              <w:spacing w:after="0"/>
            </w:pPr>
            <w:r>
              <w:rPr>
                <w:sz w:val="14"/>
              </w:rPr>
              <w:t>V2</w:t>
            </w:r>
          </w:p>
        </w:tc>
        <w:tc>
          <w:tcPr>
            <w:tcW w:type="dxa" w:w="1800"/>
            <w:tcMar>
              <w:top w:w="58" w:type="dxa"/>
              <w:start w:w="65" w:type="dxa"/>
              <w:bottom w:w="58" w:type="dxa"/>
              <w:end w:w="65" w:type="dxa"/>
            </w:tcMar>
            <w:shd w:fill="F8FAF9"/>
            <w:vAlign w:val="center"/>
          </w:tcPr>
          <w:p>
            <w:pPr>
              <w:pStyle w:val="MMTableText"/>
              <w:spacing w:after="0"/>
            </w:pPr>
            <w:r>
              <w:rPr>
                <w:sz w:val="14"/>
              </w:rPr>
              <w:t>Needs implementation</w:t>
            </w:r>
          </w:p>
        </w:tc>
        <w:tc>
          <w:tcPr>
            <w:tcW w:type="dxa" w:w="4320"/>
            <w:tcMar>
              <w:top w:w="58" w:type="dxa"/>
              <w:start w:w="65" w:type="dxa"/>
              <w:bottom w:w="58" w:type="dxa"/>
              <w:end w:w="65" w:type="dxa"/>
            </w:tcMar>
            <w:shd w:fill="F8FAF9"/>
            <w:vAlign w:val="center"/>
          </w:tcPr>
          <w:p>
            <w:pPr>
              <w:pStyle w:val="MMTableText"/>
              <w:spacing w:after="0"/>
            </w:pPr>
            <w:r>
              <w:rPr>
                <w:sz w:val="14"/>
              </w:rPr>
              <w:t>Income, reimbursement, refund, transfer, gift, other.</w:t>
            </w:r>
          </w:p>
        </w:tc>
      </w:tr>
      <w:tr>
        <w:trPr>
          <w:cantSplit/>
        </w:trPr>
        <w:tc>
          <w:tcPr>
            <w:tcW w:type="dxa" w:w="2880"/>
            <w:tcMar>
              <w:top w:w="58" w:type="dxa"/>
              <w:start w:w="65" w:type="dxa"/>
              <w:bottom w:w="58" w:type="dxa"/>
              <w:end w:w="65" w:type="dxa"/>
            </w:tcMar>
            <w:vAlign w:val="center"/>
          </w:tcPr>
          <w:p>
            <w:pPr>
              <w:pStyle w:val="MMTableText"/>
              <w:spacing w:after="0"/>
            </w:pPr>
            <w:r>
              <w:rPr>
                <w:sz w:val="14"/>
              </w:rPr>
              <w:t>Reimbursement claims</w:t>
            </w:r>
          </w:p>
        </w:tc>
        <w:tc>
          <w:tcPr>
            <w:tcW w:type="dxa" w:w="1080"/>
            <w:tcMar>
              <w:top w:w="58" w:type="dxa"/>
              <w:start w:w="65" w:type="dxa"/>
              <w:bottom w:w="58" w:type="dxa"/>
              <w:end w:w="65" w:type="dxa"/>
            </w:tcMar>
            <w:vAlign w:val="center"/>
          </w:tcPr>
          <w:p>
            <w:pPr>
              <w:pStyle w:val="MMTableText"/>
              <w:spacing w:after="0"/>
            </w:pPr>
            <w:r>
              <w:rPr>
                <w:sz w:val="14"/>
              </w:rPr>
              <w:t>V2</w:t>
            </w:r>
          </w:p>
        </w:tc>
        <w:tc>
          <w:tcPr>
            <w:tcW w:type="dxa" w:w="1800"/>
            <w:tcMar>
              <w:top w:w="58" w:type="dxa"/>
              <w:start w:w="65" w:type="dxa"/>
              <w:bottom w:w="58" w:type="dxa"/>
              <w:end w:w="65" w:type="dxa"/>
            </w:tcMar>
            <w:vAlign w:val="center"/>
          </w:tcPr>
          <w:p>
            <w:pPr>
              <w:pStyle w:val="MMTableText"/>
              <w:spacing w:after="0"/>
            </w:pPr>
            <w:r>
              <w:rPr>
                <w:sz w:val="14"/>
              </w:rPr>
              <w:t>Needs implementation</w:t>
            </w:r>
          </w:p>
        </w:tc>
        <w:tc>
          <w:tcPr>
            <w:tcW w:type="dxa" w:w="4320"/>
            <w:tcMar>
              <w:top w:w="58" w:type="dxa"/>
              <w:start w:w="65" w:type="dxa"/>
              <w:bottom w:w="58" w:type="dxa"/>
              <w:end w:w="65" w:type="dxa"/>
            </w:tcMar>
            <w:vAlign w:val="center"/>
          </w:tcPr>
          <w:p>
            <w:pPr>
              <w:pStyle w:val="MMTableText"/>
              <w:spacing w:after="0"/>
            </w:pPr>
            <w:r>
              <w:rPr>
                <w:sz w:val="14"/>
              </w:rPr>
              <w:t>Expected, partial, settled, written off.</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Shared Expenses screen</w:t>
            </w:r>
          </w:p>
        </w:tc>
        <w:tc>
          <w:tcPr>
            <w:tcW w:type="dxa" w:w="1080"/>
            <w:tcMar>
              <w:top w:w="58" w:type="dxa"/>
              <w:start w:w="65" w:type="dxa"/>
              <w:bottom w:w="58" w:type="dxa"/>
              <w:end w:w="65" w:type="dxa"/>
            </w:tcMar>
            <w:shd w:fill="F8FAF9"/>
            <w:vAlign w:val="center"/>
          </w:tcPr>
          <w:p>
            <w:pPr>
              <w:pStyle w:val="MMTableText"/>
              <w:spacing w:after="0"/>
            </w:pPr>
            <w:r>
              <w:rPr>
                <w:sz w:val="14"/>
              </w:rPr>
              <w:t>V2</w:t>
            </w:r>
          </w:p>
        </w:tc>
        <w:tc>
          <w:tcPr>
            <w:tcW w:type="dxa" w:w="1800"/>
            <w:tcMar>
              <w:top w:w="58" w:type="dxa"/>
              <w:start w:w="65" w:type="dxa"/>
              <w:bottom w:w="58" w:type="dxa"/>
              <w:end w:w="65" w:type="dxa"/>
            </w:tcMar>
            <w:shd w:fill="F8FAF9"/>
            <w:vAlign w:val="center"/>
          </w:tcPr>
          <w:p>
            <w:pPr>
              <w:pStyle w:val="MMTableText"/>
              <w:spacing w:after="0"/>
            </w:pPr>
            <w:r>
              <w:rPr>
                <w:sz w:val="14"/>
              </w:rPr>
              <w:t>Needs implementation</w:t>
            </w:r>
          </w:p>
        </w:tc>
        <w:tc>
          <w:tcPr>
            <w:tcW w:type="dxa" w:w="4320"/>
            <w:tcMar>
              <w:top w:w="58" w:type="dxa"/>
              <w:start w:w="65" w:type="dxa"/>
              <w:bottom w:w="58" w:type="dxa"/>
              <w:end w:w="65" w:type="dxa"/>
            </w:tcMar>
            <w:shd w:fill="F8FAF9"/>
            <w:vAlign w:val="center"/>
          </w:tcPr>
          <w:p>
            <w:pPr>
              <w:pStyle w:val="MMTableText"/>
              <w:spacing w:after="0"/>
            </w:pPr>
            <w:r>
              <w:rPr>
                <w:sz w:val="14"/>
              </w:rPr>
              <w:t>Open/partial/settled/unmatched.</w:t>
            </w:r>
          </w:p>
        </w:tc>
      </w:tr>
      <w:tr>
        <w:trPr>
          <w:cantSplit/>
        </w:trPr>
        <w:tc>
          <w:tcPr>
            <w:tcW w:type="dxa" w:w="2880"/>
            <w:tcMar>
              <w:top w:w="58" w:type="dxa"/>
              <w:start w:w="65" w:type="dxa"/>
              <w:bottom w:w="58" w:type="dxa"/>
              <w:end w:w="65" w:type="dxa"/>
            </w:tcMar>
            <w:vAlign w:val="center"/>
          </w:tcPr>
          <w:p>
            <w:pPr>
              <w:pStyle w:val="MMTableText"/>
              <w:spacing w:after="0"/>
            </w:pPr>
            <w:r>
              <w:rPr>
                <w:sz w:val="14"/>
              </w:rPr>
              <w:t>Refund linking</w:t>
            </w:r>
          </w:p>
        </w:tc>
        <w:tc>
          <w:tcPr>
            <w:tcW w:type="dxa" w:w="1080"/>
            <w:tcMar>
              <w:top w:w="58" w:type="dxa"/>
              <w:start w:w="65" w:type="dxa"/>
              <w:bottom w:w="58" w:type="dxa"/>
              <w:end w:w="65" w:type="dxa"/>
            </w:tcMar>
            <w:vAlign w:val="center"/>
          </w:tcPr>
          <w:p>
            <w:pPr>
              <w:pStyle w:val="MMTableText"/>
              <w:spacing w:after="0"/>
            </w:pPr>
            <w:r>
              <w:rPr>
                <w:sz w:val="14"/>
              </w:rPr>
              <w:t>V2</w:t>
            </w:r>
          </w:p>
        </w:tc>
        <w:tc>
          <w:tcPr>
            <w:tcW w:type="dxa" w:w="1800"/>
            <w:tcMar>
              <w:top w:w="58" w:type="dxa"/>
              <w:start w:w="65" w:type="dxa"/>
              <w:bottom w:w="58" w:type="dxa"/>
              <w:end w:w="65" w:type="dxa"/>
            </w:tcMar>
            <w:vAlign w:val="center"/>
          </w:tcPr>
          <w:p>
            <w:pPr>
              <w:pStyle w:val="MMTableText"/>
              <w:spacing w:after="0"/>
            </w:pPr>
            <w:r>
              <w:rPr>
                <w:sz w:val="14"/>
              </w:rPr>
              <w:t>Needs implementation</w:t>
            </w:r>
          </w:p>
        </w:tc>
        <w:tc>
          <w:tcPr>
            <w:tcW w:type="dxa" w:w="4320"/>
            <w:tcMar>
              <w:top w:w="58" w:type="dxa"/>
              <w:start w:w="65" w:type="dxa"/>
              <w:bottom w:w="58" w:type="dxa"/>
              <w:end w:w="65" w:type="dxa"/>
            </w:tcMar>
            <w:vAlign w:val="center"/>
          </w:tcPr>
          <w:p>
            <w:pPr>
              <w:pStyle w:val="MMTableText"/>
              <w:spacing w:after="0"/>
            </w:pPr>
            <w:r>
              <w:rPr>
                <w:sz w:val="14"/>
              </w:rPr>
              <w:t>Partial/full original expense reversal.</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Internal transfer matching</w:t>
            </w:r>
          </w:p>
        </w:tc>
        <w:tc>
          <w:tcPr>
            <w:tcW w:type="dxa" w:w="1080"/>
            <w:tcMar>
              <w:top w:w="58" w:type="dxa"/>
              <w:start w:w="65" w:type="dxa"/>
              <w:bottom w:w="58" w:type="dxa"/>
              <w:end w:w="65" w:type="dxa"/>
            </w:tcMar>
            <w:shd w:fill="F8FAF9"/>
            <w:vAlign w:val="center"/>
          </w:tcPr>
          <w:p>
            <w:pPr>
              <w:pStyle w:val="MMTableText"/>
              <w:spacing w:after="0"/>
            </w:pPr>
            <w:r>
              <w:rPr>
                <w:sz w:val="14"/>
              </w:rPr>
              <w:t>V2</w:t>
            </w:r>
          </w:p>
        </w:tc>
        <w:tc>
          <w:tcPr>
            <w:tcW w:type="dxa" w:w="1800"/>
            <w:tcMar>
              <w:top w:w="58" w:type="dxa"/>
              <w:start w:w="65" w:type="dxa"/>
              <w:bottom w:w="58" w:type="dxa"/>
              <w:end w:w="65" w:type="dxa"/>
            </w:tcMar>
            <w:shd w:fill="F8FAF9"/>
            <w:vAlign w:val="center"/>
          </w:tcPr>
          <w:p>
            <w:pPr>
              <w:pStyle w:val="MMTableText"/>
              <w:spacing w:after="0"/>
            </w:pPr>
            <w:r>
              <w:rPr>
                <w:sz w:val="14"/>
              </w:rPr>
              <w:t>Needs implementation</w:t>
            </w:r>
          </w:p>
        </w:tc>
        <w:tc>
          <w:tcPr>
            <w:tcW w:type="dxa" w:w="4320"/>
            <w:tcMar>
              <w:top w:w="58" w:type="dxa"/>
              <w:start w:w="65" w:type="dxa"/>
              <w:bottom w:w="58" w:type="dxa"/>
              <w:end w:w="65" w:type="dxa"/>
            </w:tcMar>
            <w:shd w:fill="F8FAF9"/>
            <w:vAlign w:val="center"/>
          </w:tcPr>
          <w:p>
            <w:pPr>
              <w:pStyle w:val="MMTableText"/>
              <w:spacing w:after="0"/>
            </w:pPr>
            <w:r>
              <w:rPr>
                <w:sz w:val="14"/>
              </w:rPr>
              <w:t>Exclude from spend/income.</w:t>
            </w:r>
          </w:p>
        </w:tc>
      </w:tr>
      <w:tr>
        <w:trPr>
          <w:cantSplit/>
        </w:trPr>
        <w:tc>
          <w:tcPr>
            <w:tcW w:type="dxa" w:w="2880"/>
            <w:tcMar>
              <w:top w:w="58" w:type="dxa"/>
              <w:start w:w="65" w:type="dxa"/>
              <w:bottom w:w="58" w:type="dxa"/>
              <w:end w:w="65" w:type="dxa"/>
            </w:tcMar>
            <w:vAlign w:val="center"/>
          </w:tcPr>
          <w:p>
            <w:pPr>
              <w:pStyle w:val="MMTableText"/>
              <w:spacing w:after="0"/>
            </w:pPr>
            <w:r>
              <w:rPr>
                <w:sz w:val="14"/>
              </w:rPr>
              <w:t>Gross vs net reporting</w:t>
            </w:r>
          </w:p>
        </w:tc>
        <w:tc>
          <w:tcPr>
            <w:tcW w:type="dxa" w:w="1080"/>
            <w:tcMar>
              <w:top w:w="58" w:type="dxa"/>
              <w:start w:w="65" w:type="dxa"/>
              <w:bottom w:w="58" w:type="dxa"/>
              <w:end w:w="65" w:type="dxa"/>
            </w:tcMar>
            <w:vAlign w:val="center"/>
          </w:tcPr>
          <w:p>
            <w:pPr>
              <w:pStyle w:val="MMTableText"/>
              <w:spacing w:after="0"/>
            </w:pPr>
            <w:r>
              <w:rPr>
                <w:sz w:val="14"/>
              </w:rPr>
              <w:t>V2</w:t>
            </w:r>
          </w:p>
        </w:tc>
        <w:tc>
          <w:tcPr>
            <w:tcW w:type="dxa" w:w="1800"/>
            <w:tcMar>
              <w:top w:w="58" w:type="dxa"/>
              <w:start w:w="65" w:type="dxa"/>
              <w:bottom w:w="58" w:type="dxa"/>
              <w:end w:w="65" w:type="dxa"/>
            </w:tcMar>
            <w:vAlign w:val="center"/>
          </w:tcPr>
          <w:p>
            <w:pPr>
              <w:pStyle w:val="MMTableText"/>
              <w:spacing w:after="0"/>
            </w:pPr>
            <w:r>
              <w:rPr>
                <w:sz w:val="14"/>
              </w:rPr>
              <w:t>Needs implementation</w:t>
            </w:r>
          </w:p>
        </w:tc>
        <w:tc>
          <w:tcPr>
            <w:tcW w:type="dxa" w:w="4320"/>
            <w:tcMar>
              <w:top w:w="58" w:type="dxa"/>
              <w:start w:w="65" w:type="dxa"/>
              <w:bottom w:w="58" w:type="dxa"/>
              <w:end w:w="65" w:type="dxa"/>
            </w:tcMar>
            <w:vAlign w:val="center"/>
          </w:tcPr>
          <w:p>
            <w:pPr>
              <w:pStyle w:val="MMTableText"/>
              <w:spacing w:after="0"/>
            </w:pPr>
            <w:r>
              <w:rPr>
                <w:sz w:val="14"/>
              </w:rPr>
              <w:t>Expected and cash-realized measures.</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Debt account detail and strategy</w:t>
            </w:r>
          </w:p>
        </w:tc>
        <w:tc>
          <w:tcPr>
            <w:tcW w:type="dxa" w:w="1080"/>
            <w:tcMar>
              <w:top w:w="58" w:type="dxa"/>
              <w:start w:w="65" w:type="dxa"/>
              <w:bottom w:w="58" w:type="dxa"/>
              <w:end w:w="65" w:type="dxa"/>
            </w:tcMar>
            <w:shd w:fill="F8FAF9"/>
            <w:vAlign w:val="center"/>
          </w:tcPr>
          <w:p>
            <w:pPr>
              <w:pStyle w:val="MMTableText"/>
              <w:spacing w:after="0"/>
            </w:pPr>
            <w:r>
              <w:rPr>
                <w:sz w:val="14"/>
              </w:rPr>
              <w:t>V2</w:t>
            </w:r>
          </w:p>
        </w:tc>
        <w:tc>
          <w:tcPr>
            <w:tcW w:type="dxa" w:w="1800"/>
            <w:tcMar>
              <w:top w:w="58" w:type="dxa"/>
              <w:start w:w="65" w:type="dxa"/>
              <w:bottom w:w="58" w:type="dxa"/>
              <w:end w:w="65" w:type="dxa"/>
            </w:tcMar>
            <w:shd w:fill="F8FAF9"/>
            <w:vAlign w:val="center"/>
          </w:tcPr>
          <w:p>
            <w:pPr>
              <w:pStyle w:val="MMTableText"/>
              <w:spacing w:after="0"/>
            </w:pPr>
            <w:r>
              <w:rPr>
                <w:sz w:val="14"/>
              </w:rPr>
              <w:t>Needs implementation</w:t>
            </w:r>
          </w:p>
        </w:tc>
        <w:tc>
          <w:tcPr>
            <w:tcW w:type="dxa" w:w="4320"/>
            <w:tcMar>
              <w:top w:w="58" w:type="dxa"/>
              <w:start w:w="65" w:type="dxa"/>
              <w:bottom w:w="58" w:type="dxa"/>
              <w:end w:w="65" w:type="dxa"/>
            </w:tcMar>
            <w:shd w:fill="F8FAF9"/>
            <w:vAlign w:val="center"/>
          </w:tcPr>
          <w:p>
            <w:pPr>
              <w:pStyle w:val="MMTableText"/>
              <w:spacing w:after="0"/>
            </w:pPr>
            <w:r>
              <w:rPr>
                <w:sz w:val="14"/>
              </w:rPr>
              <w:t>No payment initiation.</w:t>
            </w:r>
          </w:p>
        </w:tc>
      </w:tr>
      <w:tr>
        <w:trPr>
          <w:cantSplit/>
        </w:trPr>
        <w:tc>
          <w:tcPr>
            <w:tcW w:type="dxa" w:w="2880"/>
            <w:tcMar>
              <w:top w:w="58" w:type="dxa"/>
              <w:start w:w="65" w:type="dxa"/>
              <w:bottom w:w="58" w:type="dxa"/>
              <w:end w:w="65" w:type="dxa"/>
            </w:tcMar>
            <w:vAlign w:val="center"/>
          </w:tcPr>
          <w:p>
            <w:pPr>
              <w:pStyle w:val="MMTableText"/>
              <w:spacing w:after="0"/>
            </w:pPr>
            <w:r>
              <w:rPr>
                <w:sz w:val="14"/>
              </w:rPr>
              <w:t>Emergency savings goal</w:t>
            </w:r>
          </w:p>
        </w:tc>
        <w:tc>
          <w:tcPr>
            <w:tcW w:type="dxa" w:w="1080"/>
            <w:tcMar>
              <w:top w:w="58" w:type="dxa"/>
              <w:start w:w="65" w:type="dxa"/>
              <w:bottom w:w="58" w:type="dxa"/>
              <w:end w:w="65" w:type="dxa"/>
            </w:tcMar>
            <w:vAlign w:val="center"/>
          </w:tcPr>
          <w:p>
            <w:pPr>
              <w:pStyle w:val="MMTableText"/>
              <w:spacing w:after="0"/>
            </w:pPr>
            <w:r>
              <w:rPr>
                <w:sz w:val="14"/>
              </w:rPr>
              <w:t>V2</w:t>
            </w:r>
          </w:p>
        </w:tc>
        <w:tc>
          <w:tcPr>
            <w:tcW w:type="dxa" w:w="1800"/>
            <w:tcMar>
              <w:top w:w="58" w:type="dxa"/>
              <w:start w:w="65" w:type="dxa"/>
              <w:bottom w:w="58" w:type="dxa"/>
              <w:end w:w="65" w:type="dxa"/>
            </w:tcMar>
            <w:vAlign w:val="center"/>
          </w:tcPr>
          <w:p>
            <w:pPr>
              <w:pStyle w:val="MMTableText"/>
              <w:spacing w:after="0"/>
            </w:pPr>
            <w:r>
              <w:rPr>
                <w:sz w:val="14"/>
              </w:rPr>
              <w:t>Needs implementation</w:t>
            </w:r>
          </w:p>
        </w:tc>
        <w:tc>
          <w:tcPr>
            <w:tcW w:type="dxa" w:w="4320"/>
            <w:tcMar>
              <w:top w:w="58" w:type="dxa"/>
              <w:start w:w="65" w:type="dxa"/>
              <w:bottom w:w="58" w:type="dxa"/>
              <w:end w:w="65" w:type="dxa"/>
            </w:tcMar>
            <w:vAlign w:val="center"/>
          </w:tcPr>
          <w:p>
            <w:pPr>
              <w:pStyle w:val="MMTableText"/>
              <w:spacing w:after="0"/>
            </w:pPr>
            <w:r>
              <w:rPr>
                <w:sz w:val="14"/>
              </w:rPr>
              <w:t>Protected goal option.</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Travel fund and trip budget</w:t>
            </w:r>
          </w:p>
        </w:tc>
        <w:tc>
          <w:tcPr>
            <w:tcW w:type="dxa" w:w="1080"/>
            <w:tcMar>
              <w:top w:w="58" w:type="dxa"/>
              <w:start w:w="65" w:type="dxa"/>
              <w:bottom w:w="58" w:type="dxa"/>
              <w:end w:w="65" w:type="dxa"/>
            </w:tcMar>
            <w:shd w:fill="F8FAF9"/>
            <w:vAlign w:val="center"/>
          </w:tcPr>
          <w:p>
            <w:pPr>
              <w:pStyle w:val="MMTableText"/>
              <w:spacing w:after="0"/>
            </w:pPr>
            <w:r>
              <w:rPr>
                <w:sz w:val="14"/>
              </w:rPr>
              <w:t>V2</w:t>
            </w:r>
          </w:p>
        </w:tc>
        <w:tc>
          <w:tcPr>
            <w:tcW w:type="dxa" w:w="1800"/>
            <w:tcMar>
              <w:top w:w="58" w:type="dxa"/>
              <w:start w:w="65" w:type="dxa"/>
              <w:bottom w:w="58" w:type="dxa"/>
              <w:end w:w="65" w:type="dxa"/>
            </w:tcMar>
            <w:shd w:fill="F8FAF9"/>
            <w:vAlign w:val="center"/>
          </w:tcPr>
          <w:p>
            <w:pPr>
              <w:pStyle w:val="MMTableText"/>
              <w:spacing w:after="0"/>
            </w:pPr>
            <w:r>
              <w:rPr>
                <w:sz w:val="14"/>
              </w:rPr>
              <w:t>Needs implementation</w:t>
            </w:r>
          </w:p>
        </w:tc>
        <w:tc>
          <w:tcPr>
            <w:tcW w:type="dxa" w:w="4320"/>
            <w:tcMar>
              <w:top w:w="58" w:type="dxa"/>
              <w:start w:w="65" w:type="dxa"/>
              <w:bottom w:w="58" w:type="dxa"/>
              <w:end w:w="65" w:type="dxa"/>
            </w:tcMar>
            <w:shd w:fill="F8FAF9"/>
            <w:vAlign w:val="center"/>
          </w:tcPr>
          <w:p>
            <w:pPr>
              <w:pStyle w:val="MMTableText"/>
              <w:spacing w:after="0"/>
            </w:pPr>
            <w:r>
              <w:rPr>
                <w:sz w:val="14"/>
              </w:rPr>
              <w:t>Separate from destination research.</w:t>
            </w:r>
          </w:p>
        </w:tc>
      </w:tr>
      <w:tr>
        <w:trPr>
          <w:cantSplit/>
        </w:trPr>
        <w:tc>
          <w:tcPr>
            <w:tcW w:type="dxa" w:w="2880"/>
            <w:tcMar>
              <w:top w:w="58" w:type="dxa"/>
              <w:start w:w="65" w:type="dxa"/>
              <w:bottom w:w="58" w:type="dxa"/>
              <w:end w:w="65" w:type="dxa"/>
            </w:tcMar>
            <w:vAlign w:val="center"/>
          </w:tcPr>
          <w:p>
            <w:pPr>
              <w:pStyle w:val="MMTableText"/>
              <w:spacing w:after="0"/>
            </w:pPr>
            <w:r>
              <w:rPr>
                <w:sz w:val="14"/>
              </w:rPr>
              <w:t>Monthly rollover/history</w:t>
            </w:r>
          </w:p>
        </w:tc>
        <w:tc>
          <w:tcPr>
            <w:tcW w:type="dxa" w:w="1080"/>
            <w:tcMar>
              <w:top w:w="58" w:type="dxa"/>
              <w:start w:w="65" w:type="dxa"/>
              <w:bottom w:w="58" w:type="dxa"/>
              <w:end w:w="65" w:type="dxa"/>
            </w:tcMar>
            <w:vAlign w:val="center"/>
          </w:tcPr>
          <w:p>
            <w:pPr>
              <w:pStyle w:val="MMTableText"/>
              <w:spacing w:after="0"/>
            </w:pPr>
            <w:r>
              <w:rPr>
                <w:sz w:val="14"/>
              </w:rPr>
              <w:t>V2</w:t>
            </w:r>
          </w:p>
        </w:tc>
        <w:tc>
          <w:tcPr>
            <w:tcW w:type="dxa" w:w="1800"/>
            <w:tcMar>
              <w:top w:w="58" w:type="dxa"/>
              <w:start w:w="65" w:type="dxa"/>
              <w:bottom w:w="58" w:type="dxa"/>
              <w:end w:w="65" w:type="dxa"/>
            </w:tcMar>
            <w:vAlign w:val="center"/>
          </w:tcPr>
          <w:p>
            <w:pPr>
              <w:pStyle w:val="MMTableText"/>
              <w:spacing w:after="0"/>
            </w:pPr>
            <w:r>
              <w:rPr>
                <w:sz w:val="14"/>
              </w:rPr>
              <w:t>Needs implementation</w:t>
            </w:r>
          </w:p>
        </w:tc>
        <w:tc>
          <w:tcPr>
            <w:tcW w:type="dxa" w:w="4320"/>
            <w:tcMar>
              <w:top w:w="58" w:type="dxa"/>
              <w:start w:w="65" w:type="dxa"/>
              <w:bottom w:w="58" w:type="dxa"/>
              <w:end w:w="65" w:type="dxa"/>
            </w:tcMar>
            <w:vAlign w:val="center"/>
          </w:tcPr>
          <w:p>
            <w:pPr>
              <w:pStyle w:val="MMTableText"/>
              <w:spacing w:after="0"/>
            </w:pPr>
            <w:r>
              <w:rPr>
                <w:sz w:val="14"/>
              </w:rPr>
              <w:t>Versioned periods and legacy snapshots.</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Audit history and undo</w:t>
            </w:r>
          </w:p>
        </w:tc>
        <w:tc>
          <w:tcPr>
            <w:tcW w:type="dxa" w:w="1080"/>
            <w:tcMar>
              <w:top w:w="58" w:type="dxa"/>
              <w:start w:w="65" w:type="dxa"/>
              <w:bottom w:w="58" w:type="dxa"/>
              <w:end w:w="65" w:type="dxa"/>
            </w:tcMar>
            <w:shd w:fill="F8FAF9"/>
            <w:vAlign w:val="center"/>
          </w:tcPr>
          <w:p>
            <w:pPr>
              <w:pStyle w:val="MMTableText"/>
              <w:spacing w:after="0"/>
            </w:pPr>
            <w:r>
              <w:rPr>
                <w:sz w:val="14"/>
              </w:rPr>
              <w:t>V2</w:t>
            </w:r>
          </w:p>
        </w:tc>
        <w:tc>
          <w:tcPr>
            <w:tcW w:type="dxa" w:w="1800"/>
            <w:tcMar>
              <w:top w:w="58" w:type="dxa"/>
              <w:start w:w="65" w:type="dxa"/>
              <w:bottom w:w="58" w:type="dxa"/>
              <w:end w:w="65" w:type="dxa"/>
            </w:tcMar>
            <w:shd w:fill="F8FAF9"/>
            <w:vAlign w:val="center"/>
          </w:tcPr>
          <w:p>
            <w:pPr>
              <w:pStyle w:val="MMTableText"/>
              <w:spacing w:after="0"/>
            </w:pPr>
            <w:r>
              <w:rPr>
                <w:sz w:val="14"/>
              </w:rPr>
              <w:t>Needs implementation</w:t>
            </w:r>
          </w:p>
        </w:tc>
        <w:tc>
          <w:tcPr>
            <w:tcW w:type="dxa" w:w="4320"/>
            <w:tcMar>
              <w:top w:w="58" w:type="dxa"/>
              <w:start w:w="65" w:type="dxa"/>
              <w:bottom w:w="58" w:type="dxa"/>
              <w:end w:w="65" w:type="dxa"/>
            </w:tcMar>
            <w:shd w:fill="F8FAF9"/>
            <w:vAlign w:val="center"/>
          </w:tcPr>
          <w:p>
            <w:pPr>
              <w:pStyle w:val="MMTableText"/>
              <w:spacing w:after="0"/>
            </w:pPr>
            <w:r>
              <w:rPr>
                <w:sz w:val="14"/>
              </w:rPr>
              <w:t>All meaning-changing writes.</w:t>
            </w:r>
          </w:p>
        </w:tc>
      </w:tr>
      <w:tr>
        <w:trPr>
          <w:cantSplit/>
        </w:trPr>
        <w:tc>
          <w:tcPr>
            <w:tcW w:type="dxa" w:w="2880"/>
            <w:tcMar>
              <w:top w:w="58" w:type="dxa"/>
              <w:start w:w="65" w:type="dxa"/>
              <w:bottom w:w="58" w:type="dxa"/>
              <w:end w:w="65" w:type="dxa"/>
            </w:tcMar>
            <w:vAlign w:val="center"/>
          </w:tcPr>
          <w:p>
            <w:pPr>
              <w:pStyle w:val="MMTableText"/>
              <w:spacing w:after="0"/>
            </w:pPr>
            <w:r>
              <w:rPr>
                <w:sz w:val="14"/>
              </w:rPr>
              <w:t>Plaid Sandbox</w:t>
            </w:r>
          </w:p>
        </w:tc>
        <w:tc>
          <w:tcPr>
            <w:tcW w:type="dxa" w:w="1080"/>
            <w:tcMar>
              <w:top w:w="58" w:type="dxa"/>
              <w:start w:w="65" w:type="dxa"/>
              <w:bottom w:w="58" w:type="dxa"/>
              <w:end w:w="65" w:type="dxa"/>
            </w:tcMar>
            <w:vAlign w:val="center"/>
          </w:tcPr>
          <w:p>
            <w:pPr>
              <w:pStyle w:val="MMTableText"/>
              <w:spacing w:after="0"/>
            </w:pPr>
            <w:r>
              <w:rPr>
                <w:sz w:val="14"/>
              </w:rPr>
              <w:t>V2B</w:t>
            </w:r>
          </w:p>
        </w:tc>
        <w:tc>
          <w:tcPr>
            <w:tcW w:type="dxa" w:w="1800"/>
            <w:tcMar>
              <w:top w:w="58" w:type="dxa"/>
              <w:start w:w="65" w:type="dxa"/>
              <w:bottom w:w="58" w:type="dxa"/>
              <w:end w:w="65" w:type="dxa"/>
            </w:tcMar>
            <w:vAlign w:val="center"/>
          </w:tcPr>
          <w:p>
            <w:pPr>
              <w:pStyle w:val="MMTableText"/>
              <w:spacing w:after="0"/>
            </w:pPr>
            <w:r>
              <w:rPr>
                <w:sz w:val="14"/>
              </w:rPr>
              <w:t>Future</w:t>
            </w:r>
          </w:p>
        </w:tc>
        <w:tc>
          <w:tcPr>
            <w:tcW w:type="dxa" w:w="4320"/>
            <w:tcMar>
              <w:top w:w="58" w:type="dxa"/>
              <w:start w:w="65" w:type="dxa"/>
              <w:bottom w:w="58" w:type="dxa"/>
              <w:end w:w="65" w:type="dxa"/>
            </w:tcMar>
            <w:vAlign w:val="center"/>
          </w:tcPr>
          <w:p>
            <w:pPr>
              <w:pStyle w:val="MMTableText"/>
              <w:spacing w:after="0"/>
            </w:pPr>
            <w:r>
              <w:rPr>
                <w:sz w:val="14"/>
              </w:rPr>
              <w:t>After V2A model acceptance.</w:t>
            </w:r>
          </w:p>
        </w:tc>
      </w:tr>
      <w:tr>
        <w:trPr>
          <w:cantSplit/>
        </w:trPr>
        <w:tc>
          <w:tcPr>
            <w:tcW w:type="dxa" w:w="2880"/>
            <w:tcMar>
              <w:top w:w="58" w:type="dxa"/>
              <w:start w:w="65" w:type="dxa"/>
              <w:bottom w:w="58" w:type="dxa"/>
              <w:end w:w="65" w:type="dxa"/>
            </w:tcMar>
            <w:shd w:fill="F8FAF9"/>
            <w:vAlign w:val="center"/>
          </w:tcPr>
          <w:p>
            <w:pPr>
              <w:pStyle w:val="MMTableText"/>
              <w:spacing w:after="0"/>
            </w:pPr>
            <w:r>
              <w:rPr>
                <w:sz w:val="14"/>
              </w:rPr>
              <w:t>Plaid live sync</w:t>
            </w:r>
          </w:p>
        </w:tc>
        <w:tc>
          <w:tcPr>
            <w:tcW w:type="dxa" w:w="1080"/>
            <w:tcMar>
              <w:top w:w="58" w:type="dxa"/>
              <w:start w:w="65" w:type="dxa"/>
              <w:bottom w:w="58" w:type="dxa"/>
              <w:end w:w="65" w:type="dxa"/>
            </w:tcMar>
            <w:shd w:fill="F8FAF9"/>
            <w:vAlign w:val="center"/>
          </w:tcPr>
          <w:p>
            <w:pPr>
              <w:pStyle w:val="MMTableText"/>
              <w:spacing w:after="0"/>
            </w:pPr>
            <w:r>
              <w:rPr>
                <w:sz w:val="14"/>
              </w:rPr>
              <w:t>Later</w:t>
            </w:r>
          </w:p>
        </w:tc>
        <w:tc>
          <w:tcPr>
            <w:tcW w:type="dxa" w:w="1800"/>
            <w:tcMar>
              <w:top w:w="58" w:type="dxa"/>
              <w:start w:w="65" w:type="dxa"/>
              <w:bottom w:w="58" w:type="dxa"/>
              <w:end w:w="65" w:type="dxa"/>
            </w:tcMar>
            <w:shd w:fill="F8FAF9"/>
            <w:vAlign w:val="center"/>
          </w:tcPr>
          <w:p>
            <w:pPr>
              <w:pStyle w:val="MMTableText"/>
              <w:spacing w:after="0"/>
            </w:pPr>
            <w:r>
              <w:rPr>
                <w:sz w:val="14"/>
              </w:rPr>
              <w:t>Future</w:t>
            </w:r>
          </w:p>
        </w:tc>
        <w:tc>
          <w:tcPr>
            <w:tcW w:type="dxa" w:w="4320"/>
            <w:tcMar>
              <w:top w:w="58" w:type="dxa"/>
              <w:start w:w="65" w:type="dxa"/>
              <w:bottom w:w="58" w:type="dxa"/>
              <w:end w:w="65" w:type="dxa"/>
            </w:tcMar>
            <w:shd w:fill="F8FAF9"/>
            <w:vAlign w:val="center"/>
          </w:tcPr>
          <w:p>
            <w:pPr>
              <w:pStyle w:val="MMTableText"/>
              <w:spacing w:after="0"/>
            </w:pPr>
            <w:r>
              <w:rPr>
                <w:sz w:val="14"/>
              </w:rPr>
              <w:t>Production credentials and repair flows.</w:t>
            </w:r>
          </w:p>
        </w:tc>
      </w:tr>
      <w:tr>
        <w:trPr>
          <w:cantSplit/>
        </w:trPr>
        <w:tc>
          <w:tcPr>
            <w:tcW w:type="dxa" w:w="2880"/>
            <w:tcMar>
              <w:top w:w="58" w:type="dxa"/>
              <w:start w:w="65" w:type="dxa"/>
              <w:bottom w:w="58" w:type="dxa"/>
              <w:end w:w="65" w:type="dxa"/>
            </w:tcMar>
            <w:vAlign w:val="center"/>
          </w:tcPr>
          <w:p>
            <w:pPr>
              <w:pStyle w:val="MMTableText"/>
              <w:spacing w:after="0"/>
            </w:pPr>
            <w:r>
              <w:rPr>
                <w:sz w:val="14"/>
              </w:rPr>
              <w:t>Autonomous money movement</w:t>
            </w:r>
          </w:p>
        </w:tc>
        <w:tc>
          <w:tcPr>
            <w:tcW w:type="dxa" w:w="1080"/>
            <w:tcMar>
              <w:top w:w="58" w:type="dxa"/>
              <w:start w:w="65" w:type="dxa"/>
              <w:bottom w:w="58" w:type="dxa"/>
              <w:end w:w="65" w:type="dxa"/>
            </w:tcMar>
            <w:vAlign w:val="center"/>
          </w:tcPr>
          <w:p>
            <w:pPr>
              <w:pStyle w:val="MMTableText"/>
              <w:spacing w:after="0"/>
            </w:pPr>
            <w:r>
              <w:rPr>
                <w:sz w:val="14"/>
              </w:rPr>
              <w:t>None</w:t>
            </w:r>
          </w:p>
        </w:tc>
        <w:tc>
          <w:tcPr>
            <w:tcW w:type="dxa" w:w="1800"/>
            <w:tcMar>
              <w:top w:w="58" w:type="dxa"/>
              <w:start w:w="65" w:type="dxa"/>
              <w:bottom w:w="58" w:type="dxa"/>
              <w:end w:w="65" w:type="dxa"/>
            </w:tcMar>
            <w:vAlign w:val="center"/>
          </w:tcPr>
          <w:p>
            <w:pPr>
              <w:pStyle w:val="MMTableText"/>
              <w:spacing w:after="0"/>
            </w:pPr>
            <w:r>
              <w:rPr>
                <w:sz w:val="14"/>
              </w:rPr>
              <w:t>Out of scope</w:t>
            </w:r>
          </w:p>
        </w:tc>
        <w:tc>
          <w:tcPr>
            <w:tcW w:type="dxa" w:w="4320"/>
            <w:tcMar>
              <w:top w:w="58" w:type="dxa"/>
              <w:start w:w="65" w:type="dxa"/>
              <w:bottom w:w="58" w:type="dxa"/>
              <w:end w:w="65" w:type="dxa"/>
            </w:tcMar>
            <w:vAlign w:val="center"/>
          </w:tcPr>
          <w:p>
            <w:pPr>
              <w:pStyle w:val="MMTableText"/>
              <w:spacing w:after="0"/>
            </w:pPr>
            <w:r>
              <w:rPr>
                <w:sz w:val="14"/>
              </w:rPr>
              <w:t>Never part of supervised V2 design.</w:t>
            </w:r>
          </w:p>
        </w:tc>
      </w:tr>
    </w:tbl>
    <w:p>
      <w:pPr>
        <w:spacing w:after="0"/>
      </w:pPr>
    </w:p>
    <w:p>
      <w:pPr>
        <w:pStyle w:val="Heading1"/>
      </w:pPr>
      <w:r>
        <w:t>20. Open Decisions and Risks</w:t>
      </w:r>
    </w:p>
    <w:p>
      <w:pPr>
        <w:pStyle w:val="Heading2"/>
      </w:pPr>
      <w:r>
        <w:t>20.1 Decisions required before implementation</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3389"/>
        <w:gridCol w:w="3389"/>
        <w:gridCol w:w="3389"/>
      </w:tblGrid>
      <w:tr>
        <w:trPr>
          <w:tblHeader w:val="true"/>
          <w:cantSplit/>
        </w:trPr>
        <w:tc>
          <w:tcPr>
            <w:tcW w:type="dxa" w:w="1152"/>
            <w:shd w:fill="10261C"/>
            <w:tcMar>
              <w:top w:w="70" w:type="dxa"/>
              <w:start w:w="70" w:type="dxa"/>
              <w:bottom w:w="70" w:type="dxa"/>
              <w:end w:w="70" w:type="dxa"/>
            </w:tcMar>
            <w:vAlign w:val="center"/>
          </w:tcPr>
          <w:p>
            <w:pPr>
              <w:spacing w:after="0"/>
            </w:pPr>
            <w:r>
              <w:rPr>
                <w:b/>
                <w:color w:val="FFFFFF"/>
                <w:sz w:val="16"/>
              </w:rPr>
              <w:t>ID</w:t>
            </w:r>
          </w:p>
        </w:tc>
        <w:tc>
          <w:tcPr>
            <w:tcW w:type="dxa" w:w="2448"/>
            <w:shd w:fill="10261C"/>
            <w:tcMar>
              <w:top w:w="70" w:type="dxa"/>
              <w:start w:w="70" w:type="dxa"/>
              <w:bottom w:w="70" w:type="dxa"/>
              <w:end w:w="70" w:type="dxa"/>
            </w:tcMar>
            <w:vAlign w:val="center"/>
          </w:tcPr>
          <w:p>
            <w:pPr>
              <w:spacing w:after="0"/>
            </w:pPr>
            <w:r>
              <w:rPr>
                <w:b/>
                <w:color w:val="FFFFFF"/>
                <w:sz w:val="16"/>
              </w:rPr>
              <w:t>Decision</w:t>
            </w:r>
          </w:p>
        </w:tc>
        <w:tc>
          <w:tcPr>
            <w:tcW w:type="dxa" w:w="6480"/>
            <w:shd w:fill="10261C"/>
            <w:tcMar>
              <w:top w:w="70" w:type="dxa"/>
              <w:start w:w="70" w:type="dxa"/>
              <w:bottom w:w="70" w:type="dxa"/>
              <w:end w:w="70" w:type="dxa"/>
            </w:tcMar>
            <w:vAlign w:val="center"/>
          </w:tcPr>
          <w:p>
            <w:pPr>
              <w:spacing w:after="0"/>
            </w:pPr>
            <w:r>
              <w:rPr>
                <w:b/>
                <w:color w:val="FFFFFF"/>
                <w:sz w:val="16"/>
              </w:rPr>
              <w:t>Question</w:t>
            </w:r>
          </w:p>
        </w:tc>
      </w:tr>
      <w:tr>
        <w:trPr>
          <w:cantSplit/>
        </w:trPr>
        <w:tc>
          <w:tcPr>
            <w:tcW w:type="dxa" w:w="1152"/>
            <w:tcMar>
              <w:top w:w="58" w:type="dxa"/>
              <w:start w:w="65" w:type="dxa"/>
              <w:bottom w:w="58" w:type="dxa"/>
              <w:end w:w="65" w:type="dxa"/>
            </w:tcMar>
            <w:shd w:fill="F8FAF9"/>
            <w:vAlign w:val="center"/>
          </w:tcPr>
          <w:p>
            <w:pPr>
              <w:pStyle w:val="MMTableText"/>
              <w:spacing w:after="0"/>
            </w:pPr>
            <w:r>
              <w:rPr>
                <w:sz w:val="16"/>
              </w:rPr>
              <w:t>ADR-001</w:t>
            </w:r>
          </w:p>
        </w:tc>
        <w:tc>
          <w:tcPr>
            <w:tcW w:type="dxa" w:w="2448"/>
            <w:tcMar>
              <w:top w:w="58" w:type="dxa"/>
              <w:start w:w="65" w:type="dxa"/>
              <w:bottom w:w="58" w:type="dxa"/>
              <w:end w:w="65" w:type="dxa"/>
            </w:tcMar>
            <w:shd w:fill="F8FAF9"/>
            <w:vAlign w:val="center"/>
          </w:tcPr>
          <w:p>
            <w:pPr>
              <w:pStyle w:val="MMTableText"/>
              <w:spacing w:after="0"/>
            </w:pPr>
            <w:r>
              <w:rPr>
                <w:sz w:val="16"/>
              </w:rPr>
              <w:t>Frontend stack</w:t>
            </w:r>
          </w:p>
        </w:tc>
        <w:tc>
          <w:tcPr>
            <w:tcW w:type="dxa" w:w="6480"/>
            <w:tcMar>
              <w:top w:w="58" w:type="dxa"/>
              <w:start w:w="65" w:type="dxa"/>
              <w:bottom w:w="58" w:type="dxa"/>
              <w:end w:w="65" w:type="dxa"/>
            </w:tcMar>
            <w:shd w:fill="F8FAF9"/>
            <w:vAlign w:val="center"/>
          </w:tcPr>
          <w:p>
            <w:pPr>
              <w:pStyle w:val="MMTableText"/>
              <w:spacing w:after="0"/>
            </w:pPr>
            <w:r>
              <w:rPr>
                <w:sz w:val="16"/>
              </w:rPr>
              <w:t>React + TypeScript recommendation versus incremental vanilla-JS rewrite.</w:t>
            </w:r>
          </w:p>
        </w:tc>
      </w:tr>
      <w:tr>
        <w:trPr>
          <w:cantSplit/>
        </w:trPr>
        <w:tc>
          <w:tcPr>
            <w:tcW w:type="dxa" w:w="1152"/>
            <w:tcMar>
              <w:top w:w="58" w:type="dxa"/>
              <w:start w:w="65" w:type="dxa"/>
              <w:bottom w:w="58" w:type="dxa"/>
              <w:end w:w="65" w:type="dxa"/>
            </w:tcMar>
            <w:vAlign w:val="center"/>
          </w:tcPr>
          <w:p>
            <w:pPr>
              <w:pStyle w:val="MMTableText"/>
              <w:spacing w:after="0"/>
            </w:pPr>
            <w:r>
              <w:rPr>
                <w:sz w:val="16"/>
              </w:rPr>
              <w:t>ADR-002</w:t>
            </w:r>
          </w:p>
        </w:tc>
        <w:tc>
          <w:tcPr>
            <w:tcW w:type="dxa" w:w="2448"/>
            <w:tcMar>
              <w:top w:w="58" w:type="dxa"/>
              <w:start w:w="65" w:type="dxa"/>
              <w:bottom w:w="58" w:type="dxa"/>
              <w:end w:w="65" w:type="dxa"/>
            </w:tcMar>
            <w:vAlign w:val="center"/>
          </w:tcPr>
          <w:p>
            <w:pPr>
              <w:pStyle w:val="MMTableText"/>
              <w:spacing w:after="0"/>
            </w:pPr>
            <w:r>
              <w:rPr>
                <w:sz w:val="16"/>
              </w:rPr>
              <w:t>Local backend packaging</w:t>
            </w:r>
          </w:p>
        </w:tc>
        <w:tc>
          <w:tcPr>
            <w:tcW w:type="dxa" w:w="6480"/>
            <w:tcMar>
              <w:top w:w="58" w:type="dxa"/>
              <w:start w:w="65" w:type="dxa"/>
              <w:bottom w:w="58" w:type="dxa"/>
              <w:end w:w="65" w:type="dxa"/>
            </w:tcMar>
            <w:vAlign w:val="center"/>
          </w:tcPr>
          <w:p>
            <w:pPr>
              <w:pStyle w:val="MMTableText"/>
              <w:spacing w:after="0"/>
            </w:pPr>
            <w:r>
              <w:rPr>
                <w:sz w:val="16"/>
              </w:rPr>
              <w:t>FastAPI local service, desktop wrapper, launcher, supported operating systems.</w:t>
            </w:r>
          </w:p>
        </w:tc>
      </w:tr>
      <w:tr>
        <w:trPr>
          <w:cantSplit/>
        </w:trPr>
        <w:tc>
          <w:tcPr>
            <w:tcW w:type="dxa" w:w="1152"/>
            <w:tcMar>
              <w:top w:w="58" w:type="dxa"/>
              <w:start w:w="65" w:type="dxa"/>
              <w:bottom w:w="58" w:type="dxa"/>
              <w:end w:w="65" w:type="dxa"/>
            </w:tcMar>
            <w:shd w:fill="F8FAF9"/>
            <w:vAlign w:val="center"/>
          </w:tcPr>
          <w:p>
            <w:pPr>
              <w:pStyle w:val="MMTableText"/>
              <w:spacing w:after="0"/>
            </w:pPr>
            <w:r>
              <w:rPr>
                <w:sz w:val="16"/>
              </w:rPr>
              <w:t>ADR-003</w:t>
            </w:r>
          </w:p>
        </w:tc>
        <w:tc>
          <w:tcPr>
            <w:tcW w:type="dxa" w:w="2448"/>
            <w:tcMar>
              <w:top w:w="58" w:type="dxa"/>
              <w:start w:w="65" w:type="dxa"/>
              <w:bottom w:w="58" w:type="dxa"/>
              <w:end w:w="65" w:type="dxa"/>
            </w:tcMar>
            <w:shd w:fill="F8FAF9"/>
            <w:vAlign w:val="center"/>
          </w:tcPr>
          <w:p>
            <w:pPr>
              <w:pStyle w:val="MMTableText"/>
              <w:spacing w:after="0"/>
            </w:pPr>
            <w:r>
              <w:rPr>
                <w:sz w:val="16"/>
              </w:rPr>
              <w:t>Encrypted database</w:t>
            </w:r>
          </w:p>
        </w:tc>
        <w:tc>
          <w:tcPr>
            <w:tcW w:type="dxa" w:w="6480"/>
            <w:tcMar>
              <w:top w:w="58" w:type="dxa"/>
              <w:start w:w="65" w:type="dxa"/>
              <w:bottom w:w="58" w:type="dxa"/>
              <w:end w:w="65" w:type="dxa"/>
            </w:tcMar>
            <w:shd w:fill="F8FAF9"/>
            <w:vAlign w:val="center"/>
          </w:tcPr>
          <w:p>
            <w:pPr>
              <w:pStyle w:val="MMTableText"/>
              <w:spacing w:after="0"/>
            </w:pPr>
            <w:r>
              <w:rPr>
                <w:sz w:val="16"/>
              </w:rPr>
              <w:t>SQLCipher versus application-level encryption and data-key wrapping.</w:t>
            </w:r>
          </w:p>
        </w:tc>
      </w:tr>
      <w:tr>
        <w:trPr>
          <w:cantSplit/>
        </w:trPr>
        <w:tc>
          <w:tcPr>
            <w:tcW w:type="dxa" w:w="1152"/>
            <w:tcMar>
              <w:top w:w="58" w:type="dxa"/>
              <w:start w:w="65" w:type="dxa"/>
              <w:bottom w:w="58" w:type="dxa"/>
              <w:end w:w="65" w:type="dxa"/>
            </w:tcMar>
            <w:vAlign w:val="center"/>
          </w:tcPr>
          <w:p>
            <w:pPr>
              <w:pStyle w:val="MMTableText"/>
              <w:spacing w:after="0"/>
            </w:pPr>
            <w:r>
              <w:rPr>
                <w:sz w:val="16"/>
              </w:rPr>
              <w:t>ADR-004</w:t>
            </w:r>
          </w:p>
        </w:tc>
        <w:tc>
          <w:tcPr>
            <w:tcW w:type="dxa" w:w="2448"/>
            <w:tcMar>
              <w:top w:w="58" w:type="dxa"/>
              <w:start w:w="65" w:type="dxa"/>
              <w:bottom w:w="58" w:type="dxa"/>
              <w:end w:w="65" w:type="dxa"/>
            </w:tcMar>
            <w:vAlign w:val="center"/>
          </w:tcPr>
          <w:p>
            <w:pPr>
              <w:pStyle w:val="MMTableText"/>
              <w:spacing w:after="0"/>
            </w:pPr>
            <w:r>
              <w:rPr>
                <w:sz w:val="16"/>
              </w:rPr>
              <w:t>Signed amount convention</w:t>
            </w:r>
          </w:p>
        </w:tc>
        <w:tc>
          <w:tcPr>
            <w:tcW w:type="dxa" w:w="6480"/>
            <w:tcMar>
              <w:top w:w="58" w:type="dxa"/>
              <w:start w:w="65" w:type="dxa"/>
              <w:bottom w:w="58" w:type="dxa"/>
              <w:end w:w="65" w:type="dxa"/>
            </w:tcMar>
            <w:vAlign w:val="center"/>
          </w:tcPr>
          <w:p>
            <w:pPr>
              <w:pStyle w:val="MMTableText"/>
              <w:spacing w:after="0"/>
            </w:pPr>
            <w:r>
              <w:rPr>
                <w:sz w:val="16"/>
              </w:rPr>
              <w:t>Approve positive-inflow/negative-outflow canonical convention.</w:t>
            </w:r>
          </w:p>
        </w:tc>
      </w:tr>
      <w:tr>
        <w:trPr>
          <w:cantSplit/>
        </w:trPr>
        <w:tc>
          <w:tcPr>
            <w:tcW w:type="dxa" w:w="1152"/>
            <w:tcMar>
              <w:top w:w="58" w:type="dxa"/>
              <w:start w:w="65" w:type="dxa"/>
              <w:bottom w:w="58" w:type="dxa"/>
              <w:end w:w="65" w:type="dxa"/>
            </w:tcMar>
            <w:shd w:fill="F8FAF9"/>
            <w:vAlign w:val="center"/>
          </w:tcPr>
          <w:p>
            <w:pPr>
              <w:pStyle w:val="MMTableText"/>
              <w:spacing w:after="0"/>
            </w:pPr>
            <w:r>
              <w:rPr>
                <w:sz w:val="16"/>
              </w:rPr>
              <w:t>ADR-005</w:t>
            </w:r>
          </w:p>
        </w:tc>
        <w:tc>
          <w:tcPr>
            <w:tcW w:type="dxa" w:w="2448"/>
            <w:tcMar>
              <w:top w:w="58" w:type="dxa"/>
              <w:start w:w="65" w:type="dxa"/>
              <w:bottom w:w="58" w:type="dxa"/>
              <w:end w:w="65" w:type="dxa"/>
            </w:tcMar>
            <w:shd w:fill="F8FAF9"/>
            <w:vAlign w:val="center"/>
          </w:tcPr>
          <w:p>
            <w:pPr>
              <w:pStyle w:val="MMTableText"/>
              <w:spacing w:after="0"/>
            </w:pPr>
            <w:r>
              <w:rPr>
                <w:sz w:val="16"/>
              </w:rPr>
              <w:t>Safe-to-spend formula</w:t>
            </w:r>
          </w:p>
        </w:tc>
        <w:tc>
          <w:tcPr>
            <w:tcW w:type="dxa" w:w="6480"/>
            <w:tcMar>
              <w:top w:w="58" w:type="dxa"/>
              <w:start w:w="65" w:type="dxa"/>
              <w:bottom w:w="58" w:type="dxa"/>
              <w:end w:w="65" w:type="dxa"/>
            </w:tcMar>
            <w:shd w:fill="F8FAF9"/>
            <w:vAlign w:val="center"/>
          </w:tcPr>
          <w:p>
            <w:pPr>
              <w:pStyle w:val="MMTableText"/>
              <w:spacing w:after="0"/>
            </w:pPr>
            <w:r>
              <w:rPr>
                <w:sz w:val="16"/>
              </w:rPr>
              <w:t>Planning baseline, available cash, outstanding reimbursements, protected goals, and buffer policy.</w:t>
            </w:r>
          </w:p>
        </w:tc>
      </w:tr>
      <w:tr>
        <w:trPr>
          <w:cantSplit/>
        </w:trPr>
        <w:tc>
          <w:tcPr>
            <w:tcW w:type="dxa" w:w="1152"/>
            <w:tcMar>
              <w:top w:w="58" w:type="dxa"/>
              <w:start w:w="65" w:type="dxa"/>
              <w:bottom w:w="58" w:type="dxa"/>
              <w:end w:w="65" w:type="dxa"/>
            </w:tcMar>
            <w:vAlign w:val="center"/>
          </w:tcPr>
          <w:p>
            <w:pPr>
              <w:pStyle w:val="MMTableText"/>
              <w:spacing w:after="0"/>
            </w:pPr>
            <w:r>
              <w:rPr>
                <w:sz w:val="16"/>
              </w:rPr>
              <w:t>ADR-006</w:t>
            </w:r>
          </w:p>
        </w:tc>
        <w:tc>
          <w:tcPr>
            <w:tcW w:type="dxa" w:w="2448"/>
            <w:tcMar>
              <w:top w:w="58" w:type="dxa"/>
              <w:start w:w="65" w:type="dxa"/>
              <w:bottom w:w="58" w:type="dxa"/>
              <w:end w:w="65" w:type="dxa"/>
            </w:tcMar>
            <w:vAlign w:val="center"/>
          </w:tcPr>
          <w:p>
            <w:pPr>
              <w:pStyle w:val="MMTableText"/>
              <w:spacing w:after="0"/>
            </w:pPr>
            <w:r>
              <w:rPr>
                <w:sz w:val="16"/>
              </w:rPr>
              <w:t>Expected versus realized default</w:t>
            </w:r>
          </w:p>
        </w:tc>
        <w:tc>
          <w:tcPr>
            <w:tcW w:type="dxa" w:w="6480"/>
            <w:tcMar>
              <w:top w:w="58" w:type="dxa"/>
              <w:start w:w="65" w:type="dxa"/>
              <w:bottom w:w="58" w:type="dxa"/>
              <w:end w:w="65" w:type="dxa"/>
            </w:tcMar>
            <w:vAlign w:val="center"/>
          </w:tcPr>
          <w:p>
            <w:pPr>
              <w:pStyle w:val="MMTableText"/>
              <w:spacing w:after="0"/>
            </w:pPr>
            <w:r>
              <w:rPr>
                <w:sz w:val="16"/>
              </w:rPr>
              <w:t>Which personal-spend measure appears first on Overview.</w:t>
            </w:r>
          </w:p>
        </w:tc>
      </w:tr>
      <w:tr>
        <w:trPr>
          <w:cantSplit/>
        </w:trPr>
        <w:tc>
          <w:tcPr>
            <w:tcW w:type="dxa" w:w="1152"/>
            <w:tcMar>
              <w:top w:w="58" w:type="dxa"/>
              <w:start w:w="65" w:type="dxa"/>
              <w:bottom w:w="58" w:type="dxa"/>
              <w:end w:w="65" w:type="dxa"/>
            </w:tcMar>
            <w:shd w:fill="F8FAF9"/>
            <w:vAlign w:val="center"/>
          </w:tcPr>
          <w:p>
            <w:pPr>
              <w:pStyle w:val="MMTableText"/>
              <w:spacing w:after="0"/>
            </w:pPr>
            <w:r>
              <w:rPr>
                <w:sz w:val="16"/>
              </w:rPr>
              <w:t>ADR-007</w:t>
            </w:r>
          </w:p>
        </w:tc>
        <w:tc>
          <w:tcPr>
            <w:tcW w:type="dxa" w:w="2448"/>
            <w:tcMar>
              <w:top w:w="58" w:type="dxa"/>
              <w:start w:w="65" w:type="dxa"/>
              <w:bottom w:w="58" w:type="dxa"/>
              <w:end w:w="65" w:type="dxa"/>
            </w:tcMar>
            <w:shd w:fill="F8FAF9"/>
            <w:vAlign w:val="center"/>
          </w:tcPr>
          <w:p>
            <w:pPr>
              <w:pStyle w:val="MMTableText"/>
              <w:spacing w:after="0"/>
            </w:pPr>
            <w:r>
              <w:rPr>
                <w:sz w:val="16"/>
              </w:rPr>
              <w:t>Split templates</w:t>
            </w:r>
          </w:p>
        </w:tc>
        <w:tc>
          <w:tcPr>
            <w:tcW w:type="dxa" w:w="6480"/>
            <w:tcMar>
              <w:top w:w="58" w:type="dxa"/>
              <w:start w:w="65" w:type="dxa"/>
              <w:bottom w:w="58" w:type="dxa"/>
              <w:end w:w="65" w:type="dxa"/>
            </w:tcMar>
            <w:shd w:fill="F8FAF9"/>
            <w:vAlign w:val="center"/>
          </w:tcPr>
          <w:p>
            <w:pPr>
              <w:pStyle w:val="MMTableText"/>
              <w:spacing w:after="0"/>
            </w:pPr>
            <w:r>
              <w:rPr>
                <w:sz w:val="16"/>
              </w:rPr>
              <w:t>Allow fixed-dollar templates, percentage templates, or both.</w:t>
            </w:r>
          </w:p>
        </w:tc>
      </w:tr>
      <w:tr>
        <w:trPr>
          <w:cantSplit/>
        </w:trPr>
        <w:tc>
          <w:tcPr>
            <w:tcW w:type="dxa" w:w="1152"/>
            <w:tcMar>
              <w:top w:w="58" w:type="dxa"/>
              <w:start w:w="65" w:type="dxa"/>
              <w:bottom w:w="58" w:type="dxa"/>
              <w:end w:w="65" w:type="dxa"/>
            </w:tcMar>
            <w:vAlign w:val="center"/>
          </w:tcPr>
          <w:p>
            <w:pPr>
              <w:pStyle w:val="MMTableText"/>
              <w:spacing w:after="0"/>
            </w:pPr>
            <w:r>
              <w:rPr>
                <w:sz w:val="16"/>
              </w:rPr>
              <w:t>ADR-008</w:t>
            </w:r>
          </w:p>
        </w:tc>
        <w:tc>
          <w:tcPr>
            <w:tcW w:type="dxa" w:w="2448"/>
            <w:tcMar>
              <w:top w:w="58" w:type="dxa"/>
              <w:start w:w="65" w:type="dxa"/>
              <w:bottom w:w="58" w:type="dxa"/>
              <w:end w:w="65" w:type="dxa"/>
            </w:tcMar>
            <w:vAlign w:val="center"/>
          </w:tcPr>
          <w:p>
            <w:pPr>
              <w:pStyle w:val="MMTableText"/>
              <w:spacing w:after="0"/>
            </w:pPr>
            <w:r>
              <w:rPr>
                <w:sz w:val="16"/>
              </w:rPr>
              <w:t>Location source retention</w:t>
            </w:r>
          </w:p>
        </w:tc>
        <w:tc>
          <w:tcPr>
            <w:tcW w:type="dxa" w:w="6480"/>
            <w:tcMar>
              <w:top w:w="58" w:type="dxa"/>
              <w:start w:w="65" w:type="dxa"/>
              <w:bottom w:w="58" w:type="dxa"/>
              <w:end w:w="65" w:type="dxa"/>
            </w:tcMar>
            <w:vAlign w:val="center"/>
          </w:tcPr>
          <w:p>
            <w:pPr>
              <w:pStyle w:val="MMTableText"/>
              <w:spacing w:after="0"/>
            </w:pPr>
            <w:r>
              <w:rPr>
                <w:sz w:val="16"/>
              </w:rPr>
              <w:t>Whether richer raw provider location remains encrypted for audit while UI stores state/country only.</w:t>
            </w:r>
          </w:p>
        </w:tc>
      </w:tr>
      <w:tr>
        <w:trPr>
          <w:cantSplit/>
        </w:trPr>
        <w:tc>
          <w:tcPr>
            <w:tcW w:type="dxa" w:w="1152"/>
            <w:tcMar>
              <w:top w:w="58" w:type="dxa"/>
              <w:start w:w="65" w:type="dxa"/>
              <w:bottom w:w="58" w:type="dxa"/>
              <w:end w:w="65" w:type="dxa"/>
            </w:tcMar>
            <w:shd w:fill="F8FAF9"/>
            <w:vAlign w:val="center"/>
          </w:tcPr>
          <w:p>
            <w:pPr>
              <w:pStyle w:val="MMTableText"/>
              <w:spacing w:after="0"/>
            </w:pPr>
            <w:r>
              <w:rPr>
                <w:sz w:val="16"/>
              </w:rPr>
              <w:t>ADR-009</w:t>
            </w:r>
          </w:p>
        </w:tc>
        <w:tc>
          <w:tcPr>
            <w:tcW w:type="dxa" w:w="2448"/>
            <w:tcMar>
              <w:top w:w="58" w:type="dxa"/>
              <w:start w:w="65" w:type="dxa"/>
              <w:bottom w:w="58" w:type="dxa"/>
              <w:end w:w="65" w:type="dxa"/>
            </w:tcMar>
            <w:shd w:fill="F8FAF9"/>
            <w:vAlign w:val="center"/>
          </w:tcPr>
          <w:p>
            <w:pPr>
              <w:pStyle w:val="MMTableText"/>
              <w:spacing w:after="0"/>
            </w:pPr>
            <w:r>
              <w:rPr>
                <w:sz w:val="16"/>
              </w:rPr>
              <w:t>Historical rebucketing</w:t>
            </w:r>
          </w:p>
        </w:tc>
        <w:tc>
          <w:tcPr>
            <w:tcW w:type="dxa" w:w="6480"/>
            <w:tcMar>
              <w:top w:w="58" w:type="dxa"/>
              <w:start w:w="65" w:type="dxa"/>
              <w:bottom w:w="58" w:type="dxa"/>
              <w:end w:w="65" w:type="dxa"/>
            </w:tcMar>
            <w:shd w:fill="F8FAF9"/>
            <w:vAlign w:val="center"/>
          </w:tcPr>
          <w:p>
            <w:pPr>
              <w:pStyle w:val="MMTableText"/>
              <w:spacing w:after="0"/>
            </w:pPr>
            <w:r>
              <w:rPr>
                <w:sz w:val="16"/>
              </w:rPr>
              <w:t>Whether rule application can create a previewed bulk update after V2 launch.</w:t>
            </w:r>
          </w:p>
        </w:tc>
      </w:tr>
      <w:tr>
        <w:trPr>
          <w:cantSplit/>
        </w:trPr>
        <w:tc>
          <w:tcPr>
            <w:tcW w:type="dxa" w:w="1152"/>
            <w:tcMar>
              <w:top w:w="58" w:type="dxa"/>
              <w:start w:w="65" w:type="dxa"/>
              <w:bottom w:w="58" w:type="dxa"/>
              <w:end w:w="65" w:type="dxa"/>
            </w:tcMar>
            <w:vAlign w:val="center"/>
          </w:tcPr>
          <w:p>
            <w:pPr>
              <w:pStyle w:val="MMTableText"/>
              <w:spacing w:after="0"/>
            </w:pPr>
            <w:r>
              <w:rPr>
                <w:sz w:val="16"/>
              </w:rPr>
              <w:t>ADR-010</w:t>
            </w:r>
          </w:p>
        </w:tc>
        <w:tc>
          <w:tcPr>
            <w:tcW w:type="dxa" w:w="2448"/>
            <w:tcMar>
              <w:top w:w="58" w:type="dxa"/>
              <w:start w:w="65" w:type="dxa"/>
              <w:bottom w:w="58" w:type="dxa"/>
              <w:end w:w="65" w:type="dxa"/>
            </w:tcMar>
            <w:vAlign w:val="center"/>
          </w:tcPr>
          <w:p>
            <w:pPr>
              <w:pStyle w:val="MMTableText"/>
              <w:spacing w:after="0"/>
            </w:pPr>
            <w:r>
              <w:rPr>
                <w:sz w:val="16"/>
              </w:rPr>
              <w:t>Goal progress method</w:t>
            </w:r>
          </w:p>
        </w:tc>
        <w:tc>
          <w:tcPr>
            <w:tcW w:type="dxa" w:w="6480"/>
            <w:tcMar>
              <w:top w:w="58" w:type="dxa"/>
              <w:start w:w="65" w:type="dxa"/>
              <w:bottom w:w="58" w:type="dxa"/>
              <w:end w:w="65" w:type="dxa"/>
            </w:tcMar>
            <w:vAlign w:val="center"/>
          </w:tcPr>
          <w:p>
            <w:pPr>
              <w:pStyle w:val="MMTableText"/>
              <w:spacing w:after="0"/>
            </w:pPr>
            <w:r>
              <w:rPr>
                <w:sz w:val="16"/>
              </w:rPr>
              <w:t>Balance-based versus contribution-based tracking for designated savings accounts.</w:t>
            </w:r>
          </w:p>
        </w:tc>
      </w:tr>
    </w:tbl>
    <w:p>
      <w:pPr>
        <w:spacing w:after="0"/>
      </w:pPr>
    </w:p>
    <w:p>
      <w:pPr>
        <w:pStyle w:val="Heading2"/>
      </w:pPr>
      <w:r>
        <w:t>20.2 Major risks</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3389"/>
        <w:gridCol w:w="3389"/>
        <w:gridCol w:w="3389"/>
      </w:tblGrid>
      <w:tr>
        <w:trPr>
          <w:tblHeader w:val="true"/>
          <w:cantSplit/>
        </w:trPr>
        <w:tc>
          <w:tcPr>
            <w:tcW w:type="dxa" w:w="1800"/>
            <w:shd w:fill="10261C"/>
            <w:tcMar>
              <w:top w:w="70" w:type="dxa"/>
              <w:start w:w="70" w:type="dxa"/>
              <w:bottom w:w="70" w:type="dxa"/>
              <w:end w:w="70" w:type="dxa"/>
            </w:tcMar>
            <w:vAlign w:val="center"/>
          </w:tcPr>
          <w:p>
            <w:pPr>
              <w:spacing w:after="0"/>
            </w:pPr>
            <w:r>
              <w:rPr>
                <w:b/>
                <w:color w:val="FFFFFF"/>
                <w:sz w:val="15"/>
              </w:rPr>
              <w:t>Risk</w:t>
            </w:r>
          </w:p>
        </w:tc>
        <w:tc>
          <w:tcPr>
            <w:tcW w:type="dxa" w:w="3672"/>
            <w:shd w:fill="10261C"/>
            <w:tcMar>
              <w:top w:w="70" w:type="dxa"/>
              <w:start w:w="70" w:type="dxa"/>
              <w:bottom w:w="70" w:type="dxa"/>
              <w:end w:w="70" w:type="dxa"/>
            </w:tcMar>
            <w:vAlign w:val="center"/>
          </w:tcPr>
          <w:p>
            <w:pPr>
              <w:spacing w:after="0"/>
            </w:pPr>
            <w:r>
              <w:rPr>
                <w:b/>
                <w:color w:val="FFFFFF"/>
                <w:sz w:val="15"/>
              </w:rPr>
              <w:t>Failure mode</w:t>
            </w:r>
          </w:p>
        </w:tc>
        <w:tc>
          <w:tcPr>
            <w:tcW w:type="dxa" w:w="4608"/>
            <w:shd w:fill="10261C"/>
            <w:tcMar>
              <w:top w:w="70" w:type="dxa"/>
              <w:start w:w="70" w:type="dxa"/>
              <w:bottom w:w="70" w:type="dxa"/>
              <w:end w:w="70" w:type="dxa"/>
            </w:tcMar>
            <w:vAlign w:val="center"/>
          </w:tcPr>
          <w:p>
            <w:pPr>
              <w:spacing w:after="0"/>
            </w:pPr>
            <w:r>
              <w:rPr>
                <w:b/>
                <w:color w:val="FFFFFF"/>
                <w:sz w:val="15"/>
              </w:rPr>
              <w:t>Mitigation</w:t>
            </w:r>
          </w:p>
        </w:tc>
      </w:tr>
      <w:tr>
        <w:trPr>
          <w:cantSplit/>
        </w:trPr>
        <w:tc>
          <w:tcPr>
            <w:tcW w:type="dxa" w:w="1800"/>
            <w:tcMar>
              <w:top w:w="58" w:type="dxa"/>
              <w:start w:w="65" w:type="dxa"/>
              <w:bottom w:w="58" w:type="dxa"/>
              <w:end w:w="65" w:type="dxa"/>
            </w:tcMar>
            <w:shd w:fill="F8FAF9"/>
            <w:vAlign w:val="center"/>
          </w:tcPr>
          <w:p>
            <w:pPr>
              <w:pStyle w:val="MMTableText"/>
              <w:spacing w:after="0"/>
            </w:pPr>
            <w:r>
              <w:rPr>
                <w:sz w:val="15"/>
              </w:rPr>
              <w:t>Double counting</w:t>
            </w:r>
          </w:p>
        </w:tc>
        <w:tc>
          <w:tcPr>
            <w:tcW w:type="dxa" w:w="3672"/>
            <w:tcMar>
              <w:top w:w="58" w:type="dxa"/>
              <w:start w:w="65" w:type="dxa"/>
              <w:bottom w:w="58" w:type="dxa"/>
              <w:end w:w="65" w:type="dxa"/>
            </w:tcMar>
            <w:shd w:fill="F8FAF9"/>
            <w:vAlign w:val="center"/>
          </w:tcPr>
          <w:p>
            <w:pPr>
              <w:pStyle w:val="MMTableText"/>
              <w:spacing w:after="0"/>
            </w:pPr>
            <w:r>
              <w:rPr>
                <w:sz w:val="15"/>
              </w:rPr>
              <w:t>Transfers, card payments, reimbursements, and refunds may be counted as spending/income.</w:t>
            </w:r>
          </w:p>
        </w:tc>
        <w:tc>
          <w:tcPr>
            <w:tcW w:type="dxa" w:w="4608"/>
            <w:tcMar>
              <w:top w:w="58" w:type="dxa"/>
              <w:start w:w="65" w:type="dxa"/>
              <w:bottom w:w="58" w:type="dxa"/>
              <w:end w:w="65" w:type="dxa"/>
            </w:tcMar>
            <w:shd w:fill="F8FAF9"/>
            <w:vAlign w:val="center"/>
          </w:tcPr>
          <w:p>
            <w:pPr>
              <w:pStyle w:val="MMTableText"/>
              <w:spacing w:after="0"/>
            </w:pPr>
            <w:r>
              <w:rPr>
                <w:sz w:val="15"/>
              </w:rPr>
              <w:t>Canonical movement types, links, invariants, test vectors.</w:t>
            </w:r>
          </w:p>
        </w:tc>
      </w:tr>
      <w:tr>
        <w:trPr>
          <w:cantSplit/>
        </w:trPr>
        <w:tc>
          <w:tcPr>
            <w:tcW w:type="dxa" w:w="1800"/>
            <w:tcMar>
              <w:top w:w="58" w:type="dxa"/>
              <w:start w:w="65" w:type="dxa"/>
              <w:bottom w:w="58" w:type="dxa"/>
              <w:end w:w="65" w:type="dxa"/>
            </w:tcMar>
            <w:vAlign w:val="center"/>
          </w:tcPr>
          <w:p>
            <w:pPr>
              <w:pStyle w:val="MMTableText"/>
              <w:spacing w:after="0"/>
            </w:pPr>
            <w:r>
              <w:rPr>
                <w:sz w:val="15"/>
              </w:rPr>
              <w:t>Migration overclaim</w:t>
            </w:r>
          </w:p>
        </w:tc>
        <w:tc>
          <w:tcPr>
            <w:tcW w:type="dxa" w:w="3672"/>
            <w:tcMar>
              <w:top w:w="58" w:type="dxa"/>
              <w:start w:w="65" w:type="dxa"/>
              <w:bottom w:w="58" w:type="dxa"/>
              <w:end w:w="65" w:type="dxa"/>
            </w:tcMar>
            <w:vAlign w:val="center"/>
          </w:tcPr>
          <w:p>
            <w:pPr>
              <w:pStyle w:val="MMTableText"/>
              <w:spacing w:after="0"/>
            </w:pPr>
            <w:r>
              <w:rPr>
                <w:sz w:val="15"/>
              </w:rPr>
              <w:t>V1 aggregate actuals could be mistaken for transaction history.</w:t>
            </w:r>
          </w:p>
        </w:tc>
        <w:tc>
          <w:tcPr>
            <w:tcW w:type="dxa" w:w="4608"/>
            <w:tcMar>
              <w:top w:w="58" w:type="dxa"/>
              <w:start w:w="65" w:type="dxa"/>
              <w:bottom w:w="58" w:type="dxa"/>
              <w:end w:w="65" w:type="dxa"/>
            </w:tcMar>
            <w:vAlign w:val="center"/>
          </w:tcPr>
          <w:p>
            <w:pPr>
              <w:pStyle w:val="MMTableText"/>
              <w:spacing w:after="0"/>
            </w:pPr>
            <w:r>
              <w:rPr>
                <w:sz w:val="15"/>
              </w:rPr>
              <w:t>Dedicated legacy snapshot entity and clear labels.</w:t>
            </w:r>
          </w:p>
        </w:tc>
      </w:tr>
      <w:tr>
        <w:trPr>
          <w:cantSplit/>
        </w:trPr>
        <w:tc>
          <w:tcPr>
            <w:tcW w:type="dxa" w:w="1800"/>
            <w:tcMar>
              <w:top w:w="58" w:type="dxa"/>
              <w:start w:w="65" w:type="dxa"/>
              <w:bottom w:w="58" w:type="dxa"/>
              <w:end w:w="65" w:type="dxa"/>
            </w:tcMar>
            <w:shd w:fill="F8FAF9"/>
            <w:vAlign w:val="center"/>
          </w:tcPr>
          <w:p>
            <w:pPr>
              <w:pStyle w:val="MMTableText"/>
              <w:spacing w:after="0"/>
            </w:pPr>
            <w:r>
              <w:rPr>
                <w:sz w:val="15"/>
              </w:rPr>
              <w:t>User confusion</w:t>
            </w:r>
          </w:p>
        </w:tc>
        <w:tc>
          <w:tcPr>
            <w:tcW w:type="dxa" w:w="3672"/>
            <w:tcMar>
              <w:top w:w="58" w:type="dxa"/>
              <w:start w:w="65" w:type="dxa"/>
              <w:bottom w:w="58" w:type="dxa"/>
              <w:end w:w="65" w:type="dxa"/>
            </w:tcMar>
            <w:shd w:fill="F8FAF9"/>
            <w:vAlign w:val="center"/>
          </w:tcPr>
          <w:p>
            <w:pPr>
              <w:pStyle w:val="MMTableText"/>
              <w:spacing w:after="0"/>
            </w:pPr>
            <w:r>
              <w:rPr>
                <w:sz w:val="15"/>
              </w:rPr>
              <w:t>Expected personal spend and realized cash cost can differ.</w:t>
            </w:r>
          </w:p>
        </w:tc>
        <w:tc>
          <w:tcPr>
            <w:tcW w:type="dxa" w:w="4608"/>
            <w:tcMar>
              <w:top w:w="58" w:type="dxa"/>
              <w:start w:w="65" w:type="dxa"/>
              <w:bottom w:w="58" w:type="dxa"/>
              <w:end w:w="65" w:type="dxa"/>
            </w:tcMar>
            <w:shd w:fill="F8FAF9"/>
            <w:vAlign w:val="center"/>
          </w:tcPr>
          <w:p>
            <w:pPr>
              <w:pStyle w:val="MMTableText"/>
              <w:spacing w:after="0"/>
            </w:pPr>
            <w:r>
              <w:rPr>
                <w:sz w:val="15"/>
              </w:rPr>
              <w:t>Side-by-side labels, explanations, and claim status.</w:t>
            </w:r>
          </w:p>
        </w:tc>
      </w:tr>
      <w:tr>
        <w:trPr>
          <w:cantSplit/>
        </w:trPr>
        <w:tc>
          <w:tcPr>
            <w:tcW w:type="dxa" w:w="1800"/>
            <w:tcMar>
              <w:top w:w="58" w:type="dxa"/>
              <w:start w:w="65" w:type="dxa"/>
              <w:bottom w:w="58" w:type="dxa"/>
              <w:end w:w="65" w:type="dxa"/>
            </w:tcMar>
            <w:vAlign w:val="center"/>
          </w:tcPr>
          <w:p>
            <w:pPr>
              <w:pStyle w:val="MMTableText"/>
              <w:spacing w:after="0"/>
            </w:pPr>
            <w:r>
              <w:rPr>
                <w:sz w:val="15"/>
              </w:rPr>
              <w:t>Data loss</w:t>
            </w:r>
          </w:p>
        </w:tc>
        <w:tc>
          <w:tcPr>
            <w:tcW w:type="dxa" w:w="3672"/>
            <w:tcMar>
              <w:top w:w="58" w:type="dxa"/>
              <w:start w:w="65" w:type="dxa"/>
              <w:bottom w:w="58" w:type="dxa"/>
              <w:end w:w="65" w:type="dxa"/>
            </w:tcMar>
            <w:vAlign w:val="center"/>
          </w:tcPr>
          <w:p>
            <w:pPr>
              <w:pStyle w:val="MMTableText"/>
              <w:spacing w:after="0"/>
            </w:pPr>
            <w:r>
              <w:rPr>
                <w:sz w:val="15"/>
              </w:rPr>
              <w:t>Schema migration or restore replaces valid data.</w:t>
            </w:r>
          </w:p>
        </w:tc>
        <w:tc>
          <w:tcPr>
            <w:tcW w:type="dxa" w:w="4608"/>
            <w:tcMar>
              <w:top w:w="58" w:type="dxa"/>
              <w:start w:w="65" w:type="dxa"/>
              <w:bottom w:w="58" w:type="dxa"/>
              <w:end w:w="65" w:type="dxa"/>
            </w:tcMar>
            <w:vAlign w:val="center"/>
          </w:tcPr>
          <w:p>
            <w:pPr>
              <w:pStyle w:val="MMTableText"/>
              <w:spacing w:after="0"/>
            </w:pPr>
            <w:r>
              <w:rPr>
                <w:sz w:val="15"/>
              </w:rPr>
              <w:t>Atomic writes, temporary store, rollback, verification.</w:t>
            </w:r>
          </w:p>
        </w:tc>
      </w:tr>
      <w:tr>
        <w:trPr>
          <w:cantSplit/>
        </w:trPr>
        <w:tc>
          <w:tcPr>
            <w:tcW w:type="dxa" w:w="1800"/>
            <w:tcMar>
              <w:top w:w="58" w:type="dxa"/>
              <w:start w:w="65" w:type="dxa"/>
              <w:bottom w:w="58" w:type="dxa"/>
              <w:end w:w="65" w:type="dxa"/>
            </w:tcMar>
            <w:shd w:fill="F8FAF9"/>
            <w:vAlign w:val="center"/>
          </w:tcPr>
          <w:p>
            <w:pPr>
              <w:pStyle w:val="MMTableText"/>
              <w:spacing w:after="0"/>
            </w:pPr>
            <w:r>
              <w:rPr>
                <w:sz w:val="15"/>
              </w:rPr>
              <w:t>Security regression</w:t>
            </w:r>
          </w:p>
        </w:tc>
        <w:tc>
          <w:tcPr>
            <w:tcW w:type="dxa" w:w="3672"/>
            <w:tcMar>
              <w:top w:w="58" w:type="dxa"/>
              <w:start w:w="65" w:type="dxa"/>
              <w:bottom w:w="58" w:type="dxa"/>
              <w:end w:w="65" w:type="dxa"/>
            </w:tcMar>
            <w:shd w:fill="F8FAF9"/>
            <w:vAlign w:val="center"/>
          </w:tcPr>
          <w:p>
            <w:pPr>
              <w:pStyle w:val="MMTableText"/>
              <w:spacing w:after="0"/>
            </w:pPr>
            <w:r>
              <w:rPr>
                <w:sz w:val="15"/>
              </w:rPr>
              <w:t>Local backend or provider tokens broaden attack surface.</w:t>
            </w:r>
          </w:p>
        </w:tc>
        <w:tc>
          <w:tcPr>
            <w:tcW w:type="dxa" w:w="4608"/>
            <w:tcMar>
              <w:top w:w="58" w:type="dxa"/>
              <w:start w:w="65" w:type="dxa"/>
              <w:bottom w:w="58" w:type="dxa"/>
              <w:end w:w="65" w:type="dxa"/>
            </w:tcMar>
            <w:shd w:fill="F8FAF9"/>
            <w:vAlign w:val="center"/>
          </w:tcPr>
          <w:p>
            <w:pPr>
              <w:pStyle w:val="MMTableText"/>
              <w:spacing w:after="0"/>
            </w:pPr>
            <w:r>
              <w:rPr>
                <w:sz w:val="15"/>
              </w:rPr>
              <w:t>Loopback binding, OS keychain, origin controls, threat review.</w:t>
            </w:r>
          </w:p>
        </w:tc>
      </w:tr>
      <w:tr>
        <w:trPr>
          <w:cantSplit/>
        </w:trPr>
        <w:tc>
          <w:tcPr>
            <w:tcW w:type="dxa" w:w="1800"/>
            <w:tcMar>
              <w:top w:w="58" w:type="dxa"/>
              <w:start w:w="65" w:type="dxa"/>
              <w:bottom w:w="58" w:type="dxa"/>
              <w:end w:w="65" w:type="dxa"/>
            </w:tcMar>
            <w:vAlign w:val="center"/>
          </w:tcPr>
          <w:p>
            <w:pPr>
              <w:pStyle w:val="MMTableText"/>
              <w:spacing w:after="0"/>
            </w:pPr>
            <w:r>
              <w:rPr>
                <w:sz w:val="15"/>
              </w:rPr>
              <w:t>Feature creep</w:t>
            </w:r>
          </w:p>
        </w:tc>
        <w:tc>
          <w:tcPr>
            <w:tcW w:type="dxa" w:w="3672"/>
            <w:tcMar>
              <w:top w:w="58" w:type="dxa"/>
              <w:start w:w="65" w:type="dxa"/>
              <w:bottom w:w="58" w:type="dxa"/>
              <w:end w:w="65" w:type="dxa"/>
            </w:tcMar>
            <w:vAlign w:val="center"/>
          </w:tcPr>
          <w:p>
            <w:pPr>
              <w:pStyle w:val="MMTableText"/>
              <w:spacing w:after="0"/>
            </w:pPr>
            <w:r>
              <w:rPr>
                <w:sz w:val="15"/>
              </w:rPr>
              <w:t>Unlimited hierarchy, automation, and bookkeeping complexity delay core value.</w:t>
            </w:r>
          </w:p>
        </w:tc>
        <w:tc>
          <w:tcPr>
            <w:tcW w:type="dxa" w:w="4608"/>
            <w:tcMar>
              <w:top w:w="58" w:type="dxa"/>
              <w:start w:w="65" w:type="dxa"/>
              <w:bottom w:w="58" w:type="dxa"/>
              <w:end w:w="65" w:type="dxa"/>
            </w:tcMar>
            <w:vAlign w:val="center"/>
          </w:tcPr>
          <w:p>
            <w:pPr>
              <w:pStyle w:val="MMTableText"/>
              <w:spacing w:after="0"/>
            </w:pPr>
            <w:r>
              <w:rPr>
                <w:sz w:val="15"/>
              </w:rPr>
              <w:t>Two-level buckets, supervised behavior, explicit non-goals.</w:t>
            </w:r>
          </w:p>
        </w:tc>
      </w:tr>
      <w:tr>
        <w:trPr>
          <w:cantSplit/>
        </w:trPr>
        <w:tc>
          <w:tcPr>
            <w:tcW w:type="dxa" w:w="1800"/>
            <w:tcMar>
              <w:top w:w="58" w:type="dxa"/>
              <w:start w:w="65" w:type="dxa"/>
              <w:bottom w:w="58" w:type="dxa"/>
              <w:end w:w="65" w:type="dxa"/>
            </w:tcMar>
            <w:shd w:fill="F8FAF9"/>
            <w:vAlign w:val="center"/>
          </w:tcPr>
          <w:p>
            <w:pPr>
              <w:pStyle w:val="MMTableText"/>
              <w:spacing w:after="0"/>
            </w:pPr>
            <w:r>
              <w:rPr>
                <w:sz w:val="15"/>
              </w:rPr>
              <w:t>Provider inconsistency</w:t>
            </w:r>
          </w:p>
        </w:tc>
        <w:tc>
          <w:tcPr>
            <w:tcW w:type="dxa" w:w="3672"/>
            <w:tcMar>
              <w:top w:w="58" w:type="dxa"/>
              <w:start w:w="65" w:type="dxa"/>
              <w:bottom w:w="58" w:type="dxa"/>
              <w:end w:w="65" w:type="dxa"/>
            </w:tcMar>
            <w:shd w:fill="F8FAF9"/>
            <w:vAlign w:val="center"/>
          </w:tcPr>
          <w:p>
            <w:pPr>
              <w:pStyle w:val="MMTableText"/>
              <w:spacing w:after="0"/>
            </w:pPr>
            <w:r>
              <w:rPr>
                <w:sz w:val="15"/>
              </w:rPr>
              <w:t>Account labels and location fields may be missing.</w:t>
            </w:r>
          </w:p>
        </w:tc>
        <w:tc>
          <w:tcPr>
            <w:tcW w:type="dxa" w:w="4608"/>
            <w:tcMar>
              <w:top w:w="58" w:type="dxa"/>
              <w:start w:w="65" w:type="dxa"/>
              <w:bottom w:w="58" w:type="dxa"/>
              <w:end w:w="65" w:type="dxa"/>
            </w:tcMar>
            <w:shd w:fill="F8FAF9"/>
            <w:vAlign w:val="center"/>
          </w:tcPr>
          <w:p>
            <w:pPr>
              <w:pStyle w:val="MMTableText"/>
              <w:spacing w:after="0"/>
            </w:pPr>
            <w:r>
              <w:rPr>
                <w:sz w:val="15"/>
              </w:rPr>
              <w:t>Friendly-name mapping and explicit unknown states.</w:t>
            </w:r>
          </w:p>
        </w:tc>
      </w:tr>
    </w:tbl>
    <w:p>
      <w:pPr>
        <w:spacing w:after="0"/>
      </w:pPr>
    </w:p>
    <w:p>
      <w:pPr>
        <w:pStyle w:val="Heading1"/>
      </w:pPr>
      <w:r>
        <w:t>21. Glossary</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2592"/>
            <w:shd w:fill="10261C"/>
            <w:tcMar>
              <w:top w:w="70" w:type="dxa"/>
              <w:start w:w="70" w:type="dxa"/>
              <w:bottom w:w="70" w:type="dxa"/>
              <w:end w:w="70" w:type="dxa"/>
            </w:tcMar>
            <w:vAlign w:val="center"/>
          </w:tcPr>
          <w:p>
            <w:pPr>
              <w:spacing w:after="0"/>
            </w:pPr>
            <w:r>
              <w:rPr>
                <w:b/>
                <w:color w:val="FFFFFF"/>
                <w:sz w:val="17"/>
              </w:rPr>
              <w:t>Term</w:t>
            </w:r>
          </w:p>
        </w:tc>
        <w:tc>
          <w:tcPr>
            <w:tcW w:type="dxa" w:w="7488"/>
            <w:shd w:fill="10261C"/>
            <w:tcMar>
              <w:top w:w="70" w:type="dxa"/>
              <w:start w:w="70" w:type="dxa"/>
              <w:bottom w:w="70" w:type="dxa"/>
              <w:end w:w="70" w:type="dxa"/>
            </w:tcMar>
            <w:vAlign w:val="center"/>
          </w:tcPr>
          <w:p>
            <w:pPr>
              <w:spacing w:after="0"/>
            </w:pPr>
            <w:r>
              <w:rPr>
                <w:b/>
                <w:color w:val="FFFFFF"/>
                <w:sz w:val="17"/>
              </w:rPr>
              <w:t>Definition</w:t>
            </w:r>
          </w:p>
        </w:tc>
      </w:tr>
      <w:tr>
        <w:trPr>
          <w:cantSplit/>
        </w:trPr>
        <w:tc>
          <w:tcPr>
            <w:tcW w:type="dxa" w:w="2592"/>
            <w:tcMar>
              <w:top w:w="58" w:type="dxa"/>
              <w:start w:w="65" w:type="dxa"/>
              <w:bottom w:w="58" w:type="dxa"/>
              <w:end w:w="65" w:type="dxa"/>
            </w:tcMar>
            <w:shd w:fill="F8FAF9"/>
            <w:vAlign w:val="center"/>
          </w:tcPr>
          <w:p>
            <w:pPr>
              <w:pStyle w:val="MMTableText"/>
              <w:spacing w:after="0"/>
            </w:pPr>
            <w:r>
              <w:rPr>
                <w:sz w:val="17"/>
              </w:rPr>
              <w:t>Account movement</w:t>
            </w:r>
          </w:p>
        </w:tc>
        <w:tc>
          <w:tcPr>
            <w:tcW w:type="dxa" w:w="7488"/>
            <w:tcMar>
              <w:top w:w="58" w:type="dxa"/>
              <w:start w:w="65" w:type="dxa"/>
              <w:bottom w:w="58" w:type="dxa"/>
              <w:end w:w="65" w:type="dxa"/>
            </w:tcMar>
            <w:shd w:fill="F8FAF9"/>
            <w:vAlign w:val="center"/>
          </w:tcPr>
          <w:p>
            <w:pPr>
              <w:pStyle w:val="MMTableText"/>
              <w:spacing w:after="0"/>
            </w:pPr>
            <w:r>
              <w:rPr>
                <w:sz w:val="17"/>
              </w:rPr>
              <w:t>Money entering or leaving an owned financial account.</w:t>
            </w:r>
          </w:p>
        </w:tc>
      </w:tr>
      <w:tr>
        <w:trPr>
          <w:cantSplit/>
        </w:trPr>
        <w:tc>
          <w:tcPr>
            <w:tcW w:type="dxa" w:w="2592"/>
            <w:tcMar>
              <w:top w:w="58" w:type="dxa"/>
              <w:start w:w="65" w:type="dxa"/>
              <w:bottom w:w="58" w:type="dxa"/>
              <w:end w:w="65" w:type="dxa"/>
            </w:tcMar>
            <w:vAlign w:val="center"/>
          </w:tcPr>
          <w:p>
            <w:pPr>
              <w:pStyle w:val="MMTableText"/>
              <w:spacing w:after="0"/>
            </w:pPr>
            <w:r>
              <w:rPr>
                <w:sz w:val="17"/>
              </w:rPr>
              <w:t>Allocation</w:t>
            </w:r>
          </w:p>
        </w:tc>
        <w:tc>
          <w:tcPr>
            <w:tcW w:type="dxa" w:w="7488"/>
            <w:tcMar>
              <w:top w:w="58" w:type="dxa"/>
              <w:start w:w="65" w:type="dxa"/>
              <w:bottom w:w="58" w:type="dxa"/>
              <w:end w:w="65" w:type="dxa"/>
            </w:tcMar>
            <w:vAlign w:val="center"/>
          </w:tcPr>
          <w:p>
            <w:pPr>
              <w:pStyle w:val="MMTableText"/>
              <w:spacing w:after="0"/>
            </w:pPr>
            <w:r>
              <w:rPr>
                <w:sz w:val="17"/>
              </w:rPr>
              <w:t>A portion of an expense assigned to a bucket and ownership type.</w:t>
            </w:r>
          </w:p>
        </w:tc>
      </w:tr>
      <w:tr>
        <w:trPr>
          <w:cantSplit/>
        </w:trPr>
        <w:tc>
          <w:tcPr>
            <w:tcW w:type="dxa" w:w="2592"/>
            <w:tcMar>
              <w:top w:w="58" w:type="dxa"/>
              <w:start w:w="65" w:type="dxa"/>
              <w:bottom w:w="58" w:type="dxa"/>
              <w:end w:w="65" w:type="dxa"/>
            </w:tcMar>
            <w:shd w:fill="F8FAF9"/>
            <w:vAlign w:val="center"/>
          </w:tcPr>
          <w:p>
            <w:pPr>
              <w:pStyle w:val="MMTableText"/>
              <w:spacing w:after="0"/>
            </w:pPr>
            <w:r>
              <w:rPr>
                <w:sz w:val="17"/>
              </w:rPr>
              <w:t>Bucket</w:t>
            </w:r>
          </w:p>
        </w:tc>
        <w:tc>
          <w:tcPr>
            <w:tcW w:type="dxa" w:w="7488"/>
            <w:tcMar>
              <w:top w:w="58" w:type="dxa"/>
              <w:start w:w="65" w:type="dxa"/>
              <w:bottom w:w="58" w:type="dxa"/>
              <w:end w:w="65" w:type="dxa"/>
            </w:tcMar>
            <w:shd w:fill="F8FAF9"/>
            <w:vAlign w:val="center"/>
          </w:tcPr>
          <w:p>
            <w:pPr>
              <w:pStyle w:val="MMTableText"/>
              <w:spacing w:after="0"/>
            </w:pPr>
            <w:r>
              <w:rPr>
                <w:sz w:val="17"/>
              </w:rPr>
              <w:t>A user-owned spending or planning category.</w:t>
            </w:r>
          </w:p>
        </w:tc>
      </w:tr>
      <w:tr>
        <w:trPr>
          <w:cantSplit/>
        </w:trPr>
        <w:tc>
          <w:tcPr>
            <w:tcW w:type="dxa" w:w="2592"/>
            <w:tcMar>
              <w:top w:w="58" w:type="dxa"/>
              <w:start w:w="65" w:type="dxa"/>
              <w:bottom w:w="58" w:type="dxa"/>
              <w:end w:w="65" w:type="dxa"/>
            </w:tcMar>
            <w:vAlign w:val="center"/>
          </w:tcPr>
          <w:p>
            <w:pPr>
              <w:pStyle w:val="MMTableText"/>
              <w:spacing w:after="0"/>
            </w:pPr>
            <w:r>
              <w:rPr>
                <w:sz w:val="17"/>
              </w:rPr>
              <w:t>Canonical transaction</w:t>
            </w:r>
          </w:p>
        </w:tc>
        <w:tc>
          <w:tcPr>
            <w:tcW w:type="dxa" w:w="7488"/>
            <w:tcMar>
              <w:top w:w="58" w:type="dxa"/>
              <w:start w:w="65" w:type="dxa"/>
              <w:bottom w:w="58" w:type="dxa"/>
              <w:end w:w="65" w:type="dxa"/>
            </w:tcMar>
            <w:vAlign w:val="center"/>
          </w:tcPr>
          <w:p>
            <w:pPr>
              <w:pStyle w:val="MMTableText"/>
              <w:spacing w:after="0"/>
            </w:pPr>
            <w:r>
              <w:rPr>
                <w:sz w:val="17"/>
              </w:rPr>
              <w:t>Money Moves record that normalizes source facts while preserving user interpretation.</w:t>
            </w:r>
          </w:p>
        </w:tc>
      </w:tr>
      <w:tr>
        <w:trPr>
          <w:cantSplit/>
        </w:trPr>
        <w:tc>
          <w:tcPr>
            <w:tcW w:type="dxa" w:w="2592"/>
            <w:tcMar>
              <w:top w:w="58" w:type="dxa"/>
              <w:start w:w="65" w:type="dxa"/>
              <w:bottom w:w="58" w:type="dxa"/>
              <w:end w:w="65" w:type="dxa"/>
            </w:tcMar>
            <w:shd w:fill="F8FAF9"/>
            <w:vAlign w:val="center"/>
          </w:tcPr>
          <w:p>
            <w:pPr>
              <w:pStyle w:val="MMTableText"/>
              <w:spacing w:after="0"/>
            </w:pPr>
            <w:r>
              <w:rPr>
                <w:sz w:val="17"/>
              </w:rPr>
              <w:t>Expected personal spend</w:t>
            </w:r>
          </w:p>
        </w:tc>
        <w:tc>
          <w:tcPr>
            <w:tcW w:type="dxa" w:w="7488"/>
            <w:tcMar>
              <w:top w:w="58" w:type="dxa"/>
              <w:start w:w="65" w:type="dxa"/>
              <w:bottom w:w="58" w:type="dxa"/>
              <w:end w:w="65" w:type="dxa"/>
            </w:tcMar>
            <w:shd w:fill="F8FAF9"/>
            <w:vAlign w:val="center"/>
          </w:tcPr>
          <w:p>
            <w:pPr>
              <w:pStyle w:val="MMTableText"/>
              <w:spacing w:after="0"/>
            </w:pPr>
            <w:r>
              <w:rPr>
                <w:sz w:val="17"/>
              </w:rPr>
              <w:t>The amount the user expects to be personally responsible for after expected reimbursements.</w:t>
            </w:r>
          </w:p>
        </w:tc>
      </w:tr>
      <w:tr>
        <w:trPr>
          <w:cantSplit/>
        </w:trPr>
        <w:tc>
          <w:tcPr>
            <w:tcW w:type="dxa" w:w="2592"/>
            <w:tcMar>
              <w:top w:w="58" w:type="dxa"/>
              <w:start w:w="65" w:type="dxa"/>
              <w:bottom w:w="58" w:type="dxa"/>
              <w:end w:w="65" w:type="dxa"/>
            </w:tcMar>
            <w:vAlign w:val="center"/>
          </w:tcPr>
          <w:p>
            <w:pPr>
              <w:pStyle w:val="MMTableText"/>
              <w:spacing w:after="0"/>
            </w:pPr>
            <w:r>
              <w:rPr>
                <w:sz w:val="17"/>
              </w:rPr>
              <w:t>Gross purchase</w:t>
            </w:r>
          </w:p>
        </w:tc>
        <w:tc>
          <w:tcPr>
            <w:tcW w:type="dxa" w:w="7488"/>
            <w:tcMar>
              <w:top w:w="58" w:type="dxa"/>
              <w:start w:w="65" w:type="dxa"/>
              <w:bottom w:w="58" w:type="dxa"/>
              <w:end w:w="65" w:type="dxa"/>
            </w:tcMar>
            <w:vAlign w:val="center"/>
          </w:tcPr>
          <w:p>
            <w:pPr>
              <w:pStyle w:val="MMTableText"/>
              <w:spacing w:after="0"/>
            </w:pPr>
            <w:r>
              <w:rPr>
                <w:sz w:val="17"/>
              </w:rPr>
              <w:t>Expense amount before reimbursements and refunds.</w:t>
            </w:r>
          </w:p>
        </w:tc>
      </w:tr>
      <w:tr>
        <w:trPr>
          <w:cantSplit/>
        </w:trPr>
        <w:tc>
          <w:tcPr>
            <w:tcW w:type="dxa" w:w="2592"/>
            <w:tcMar>
              <w:top w:w="58" w:type="dxa"/>
              <w:start w:w="65" w:type="dxa"/>
              <w:bottom w:w="58" w:type="dxa"/>
              <w:end w:w="65" w:type="dxa"/>
            </w:tcMar>
            <w:shd w:fill="F8FAF9"/>
            <w:vAlign w:val="center"/>
          </w:tcPr>
          <w:p>
            <w:pPr>
              <w:pStyle w:val="MMTableText"/>
              <w:spacing w:after="0"/>
            </w:pPr>
            <w:r>
              <w:rPr>
                <w:sz w:val="17"/>
              </w:rPr>
              <w:t>Internal transfer</w:t>
            </w:r>
          </w:p>
        </w:tc>
        <w:tc>
          <w:tcPr>
            <w:tcW w:type="dxa" w:w="7488"/>
            <w:tcMar>
              <w:top w:w="58" w:type="dxa"/>
              <w:start w:w="65" w:type="dxa"/>
              <w:bottom w:w="58" w:type="dxa"/>
              <w:end w:w="65" w:type="dxa"/>
            </w:tcMar>
            <w:shd w:fill="F8FAF9"/>
            <w:vAlign w:val="center"/>
          </w:tcPr>
          <w:p>
            <w:pPr>
              <w:pStyle w:val="MMTableText"/>
              <w:spacing w:after="0"/>
            </w:pPr>
            <w:r>
              <w:rPr>
                <w:sz w:val="17"/>
              </w:rPr>
              <w:t>Movement between accounts owned by the user; not income or spending.</w:t>
            </w:r>
          </w:p>
        </w:tc>
      </w:tr>
      <w:tr>
        <w:trPr>
          <w:cantSplit/>
        </w:trPr>
        <w:tc>
          <w:tcPr>
            <w:tcW w:type="dxa" w:w="2592"/>
            <w:tcMar>
              <w:top w:w="58" w:type="dxa"/>
              <w:start w:w="65" w:type="dxa"/>
              <w:bottom w:w="58" w:type="dxa"/>
              <w:end w:w="65" w:type="dxa"/>
            </w:tcMar>
            <w:vAlign w:val="center"/>
          </w:tcPr>
          <w:p>
            <w:pPr>
              <w:pStyle w:val="MMTableText"/>
              <w:spacing w:after="0"/>
            </w:pPr>
            <w:r>
              <w:rPr>
                <w:sz w:val="17"/>
              </w:rPr>
              <w:t>Legacy snapshot</w:t>
            </w:r>
          </w:p>
        </w:tc>
        <w:tc>
          <w:tcPr>
            <w:tcW w:type="dxa" w:w="7488"/>
            <w:tcMar>
              <w:top w:w="58" w:type="dxa"/>
              <w:start w:w="65" w:type="dxa"/>
              <w:bottom w:w="58" w:type="dxa"/>
              <w:end w:w="65" w:type="dxa"/>
            </w:tcMar>
            <w:vAlign w:val="center"/>
          </w:tcPr>
          <w:p>
            <w:pPr>
              <w:pStyle w:val="MMTableText"/>
              <w:spacing w:after="0"/>
            </w:pPr>
            <w:r>
              <w:rPr>
                <w:sz w:val="17"/>
              </w:rPr>
              <w:t>Aggregate V1 value with no underlying transaction detail.</w:t>
            </w:r>
          </w:p>
        </w:tc>
      </w:tr>
      <w:tr>
        <w:trPr>
          <w:cantSplit/>
        </w:trPr>
        <w:tc>
          <w:tcPr>
            <w:tcW w:type="dxa" w:w="2592"/>
            <w:tcMar>
              <w:top w:w="58" w:type="dxa"/>
              <w:start w:w="65" w:type="dxa"/>
              <w:bottom w:w="58" w:type="dxa"/>
              <w:end w:w="65" w:type="dxa"/>
            </w:tcMar>
            <w:shd w:fill="F8FAF9"/>
            <w:vAlign w:val="center"/>
          </w:tcPr>
          <w:p>
            <w:pPr>
              <w:pStyle w:val="MMTableText"/>
              <w:spacing w:after="0"/>
            </w:pPr>
            <w:r>
              <w:rPr>
                <w:sz w:val="17"/>
              </w:rPr>
              <w:t>Movement type</w:t>
            </w:r>
          </w:p>
        </w:tc>
        <w:tc>
          <w:tcPr>
            <w:tcW w:type="dxa" w:w="7488"/>
            <w:tcMar>
              <w:top w:w="58" w:type="dxa"/>
              <w:start w:w="65" w:type="dxa"/>
              <w:bottom w:w="58" w:type="dxa"/>
              <w:end w:w="65" w:type="dxa"/>
            </w:tcMar>
            <w:shd w:fill="F8FAF9"/>
            <w:vAlign w:val="center"/>
          </w:tcPr>
          <w:p>
            <w:pPr>
              <w:pStyle w:val="MMTableText"/>
              <w:spacing w:after="0"/>
            </w:pPr>
            <w:r>
              <w:rPr>
                <w:sz w:val="17"/>
              </w:rPr>
              <w:t>The financial meaning of a transaction: expense, income, reimbursement, refund, transfer, and so on.</w:t>
            </w:r>
          </w:p>
        </w:tc>
      </w:tr>
      <w:tr>
        <w:trPr>
          <w:cantSplit/>
        </w:trPr>
        <w:tc>
          <w:tcPr>
            <w:tcW w:type="dxa" w:w="2592"/>
            <w:tcMar>
              <w:top w:w="58" w:type="dxa"/>
              <w:start w:w="65" w:type="dxa"/>
              <w:bottom w:w="58" w:type="dxa"/>
              <w:end w:w="65" w:type="dxa"/>
            </w:tcMar>
            <w:vAlign w:val="center"/>
          </w:tcPr>
          <w:p>
            <w:pPr>
              <w:pStyle w:val="MMTableText"/>
              <w:spacing w:after="0"/>
            </w:pPr>
            <w:r>
              <w:rPr>
                <w:sz w:val="17"/>
              </w:rPr>
              <w:t>Provider metadata</w:t>
            </w:r>
          </w:p>
        </w:tc>
        <w:tc>
          <w:tcPr>
            <w:tcW w:type="dxa" w:w="7488"/>
            <w:tcMar>
              <w:top w:w="58" w:type="dxa"/>
              <w:start w:w="65" w:type="dxa"/>
              <w:bottom w:w="58" w:type="dxa"/>
              <w:end w:w="65" w:type="dxa"/>
            </w:tcMar>
            <w:vAlign w:val="center"/>
          </w:tcPr>
          <w:p>
            <w:pPr>
              <w:pStyle w:val="MMTableText"/>
              <w:spacing w:after="0"/>
            </w:pPr>
            <w:r>
              <w:rPr>
                <w:sz w:val="17"/>
              </w:rPr>
              <w:t>Category, merchant, account, and location data supplied by an institution or aggregator.</w:t>
            </w:r>
          </w:p>
        </w:tc>
      </w:tr>
      <w:tr>
        <w:trPr>
          <w:cantSplit/>
        </w:trPr>
        <w:tc>
          <w:tcPr>
            <w:tcW w:type="dxa" w:w="2592"/>
            <w:tcMar>
              <w:top w:w="58" w:type="dxa"/>
              <w:start w:w="65" w:type="dxa"/>
              <w:bottom w:w="58" w:type="dxa"/>
              <w:end w:w="65" w:type="dxa"/>
            </w:tcMar>
            <w:shd w:fill="F8FAF9"/>
            <w:vAlign w:val="center"/>
          </w:tcPr>
          <w:p>
            <w:pPr>
              <w:pStyle w:val="MMTableText"/>
              <w:spacing w:after="0"/>
            </w:pPr>
            <w:r>
              <w:rPr>
                <w:sz w:val="17"/>
              </w:rPr>
              <w:t>Realized net personal spend</w:t>
            </w:r>
          </w:p>
        </w:tc>
        <w:tc>
          <w:tcPr>
            <w:tcW w:type="dxa" w:w="7488"/>
            <w:tcMar>
              <w:top w:w="58" w:type="dxa"/>
              <w:start w:w="65" w:type="dxa"/>
              <w:bottom w:w="58" w:type="dxa"/>
              <w:end w:w="65" w:type="dxa"/>
            </w:tcMar>
            <w:shd w:fill="F8FAF9"/>
            <w:vAlign w:val="center"/>
          </w:tcPr>
          <w:p>
            <w:pPr>
              <w:pStyle w:val="MMTableText"/>
              <w:spacing w:after="0"/>
            </w:pPr>
            <w:r>
              <w:rPr>
                <w:sz w:val="17"/>
              </w:rPr>
              <w:t>Expense amount after repayments and refunds actually received.</w:t>
            </w:r>
          </w:p>
        </w:tc>
      </w:tr>
      <w:tr>
        <w:trPr>
          <w:cantSplit/>
        </w:trPr>
        <w:tc>
          <w:tcPr>
            <w:tcW w:type="dxa" w:w="2592"/>
            <w:tcMar>
              <w:top w:w="58" w:type="dxa"/>
              <w:start w:w="65" w:type="dxa"/>
              <w:bottom w:w="58" w:type="dxa"/>
              <w:end w:w="65" w:type="dxa"/>
            </w:tcMar>
            <w:vAlign w:val="center"/>
          </w:tcPr>
          <w:p>
            <w:pPr>
              <w:pStyle w:val="MMTableText"/>
              <w:spacing w:after="0"/>
            </w:pPr>
            <w:r>
              <w:rPr>
                <w:sz w:val="17"/>
              </w:rPr>
              <w:t>Reimbursement claim</w:t>
            </w:r>
          </w:p>
        </w:tc>
        <w:tc>
          <w:tcPr>
            <w:tcW w:type="dxa" w:w="7488"/>
            <w:tcMar>
              <w:top w:w="58" w:type="dxa"/>
              <w:start w:w="65" w:type="dxa"/>
              <w:bottom w:w="58" w:type="dxa"/>
              <w:end w:w="65" w:type="dxa"/>
            </w:tcMar>
            <w:vAlign w:val="center"/>
          </w:tcPr>
          <w:p>
            <w:pPr>
              <w:pStyle w:val="MMTableText"/>
              <w:spacing w:after="0"/>
            </w:pPr>
            <w:r>
              <w:rPr>
                <w:sz w:val="17"/>
              </w:rPr>
              <w:t>Record of money expected back for a reimbursable portion of an expense.</w:t>
            </w:r>
          </w:p>
        </w:tc>
      </w:tr>
      <w:tr>
        <w:trPr>
          <w:cantSplit/>
        </w:trPr>
        <w:tc>
          <w:tcPr>
            <w:tcW w:type="dxa" w:w="2592"/>
            <w:tcMar>
              <w:top w:w="58" w:type="dxa"/>
              <w:start w:w="65" w:type="dxa"/>
              <w:bottom w:w="58" w:type="dxa"/>
              <w:end w:w="65" w:type="dxa"/>
            </w:tcMar>
            <w:shd w:fill="F8FAF9"/>
            <w:vAlign w:val="center"/>
          </w:tcPr>
          <w:p>
            <w:pPr>
              <w:pStyle w:val="MMTableText"/>
              <w:spacing w:after="0"/>
            </w:pPr>
            <w:r>
              <w:rPr>
                <w:sz w:val="17"/>
              </w:rPr>
              <w:t>Review status</w:t>
            </w:r>
          </w:p>
        </w:tc>
        <w:tc>
          <w:tcPr>
            <w:tcW w:type="dxa" w:w="7488"/>
            <w:tcMar>
              <w:top w:w="58" w:type="dxa"/>
              <w:start w:w="65" w:type="dxa"/>
              <w:bottom w:w="58" w:type="dxa"/>
              <w:end w:w="65" w:type="dxa"/>
            </w:tcMar>
            <w:shd w:fill="F8FAF9"/>
            <w:vAlign w:val="center"/>
          </w:tcPr>
          <w:p>
            <w:pPr>
              <w:pStyle w:val="MMTableText"/>
              <w:spacing w:after="0"/>
            </w:pPr>
            <w:r>
              <w:rPr>
                <w:sz w:val="17"/>
              </w:rPr>
              <w:t>Whether a transaction is pending, suggested, deferred, reviewed, or needs resolution.</w:t>
            </w:r>
          </w:p>
        </w:tc>
      </w:tr>
      <w:tr>
        <w:trPr>
          <w:cantSplit/>
        </w:trPr>
        <w:tc>
          <w:tcPr>
            <w:tcW w:type="dxa" w:w="2592"/>
            <w:tcMar>
              <w:top w:w="58" w:type="dxa"/>
              <w:start w:w="65" w:type="dxa"/>
              <w:bottom w:w="58" w:type="dxa"/>
              <w:end w:w="65" w:type="dxa"/>
            </w:tcMar>
            <w:vAlign w:val="center"/>
          </w:tcPr>
          <w:p>
            <w:pPr>
              <w:pStyle w:val="MMTableText"/>
              <w:spacing w:after="0"/>
            </w:pPr>
            <w:r>
              <w:rPr>
                <w:sz w:val="17"/>
              </w:rPr>
              <w:t>Supervised automation</w:t>
            </w:r>
          </w:p>
        </w:tc>
        <w:tc>
          <w:tcPr>
            <w:tcW w:type="dxa" w:w="7488"/>
            <w:tcMar>
              <w:top w:w="58" w:type="dxa"/>
              <w:start w:w="65" w:type="dxa"/>
              <w:bottom w:w="58" w:type="dxa"/>
              <w:end w:w="65" w:type="dxa"/>
            </w:tcMar>
            <w:vAlign w:val="center"/>
          </w:tcPr>
          <w:p>
            <w:pPr>
              <w:pStyle w:val="MMTableText"/>
              <w:spacing w:after="0"/>
            </w:pPr>
            <w:r>
              <w:rPr>
                <w:sz w:val="17"/>
              </w:rPr>
              <w:t>A suggestion that requires user approval before affecting financial meaning.</w:t>
            </w:r>
          </w:p>
        </w:tc>
      </w:tr>
    </w:tbl>
    <w:p>
      <w:pPr>
        <w:spacing w:after="0"/>
      </w:pPr>
    </w:p>
    <w:p>
      <w:r>
        <w:br w:type="page"/>
      </w:r>
    </w:p>
    <w:p>
      <w:pPr>
        <w:pStyle w:val="Heading1"/>
      </w:pPr>
      <w:r>
        <w:t>Appendix A. Detailed User Journeys</w:t>
      </w:r>
    </w:p>
    <w:p>
      <w:pPr>
        <w:pStyle w:val="Heading4"/>
      </w:pPr>
      <w:r>
        <w:t>A1. Review a normal purchase</w:t>
      </w:r>
    </w:p>
    <w:p>
      <w:pPr>
        <w:ind w:left="216"/>
      </w:pPr>
      <w:r>
        <w:rPr>
          <w:b/>
          <w:color w:val="287A4D"/>
        </w:rPr>
        <w:t xml:space="preserve">1. </w:t>
      </w:r>
      <w:r>
        <w:t>The user opens Weekly Review for the current week.</w:t>
      </w:r>
    </w:p>
    <w:p>
      <w:pPr>
        <w:ind w:left="216"/>
      </w:pPr>
      <w:r>
        <w:rPr>
          <w:b/>
          <w:color w:val="287A4D"/>
        </w:rPr>
        <w:t xml:space="preserve">2. </w:t>
      </w:r>
      <w:r>
        <w:t>Money Moves shows merchant, amount, account, state/country, pending/posted state, and provider category as reference.</w:t>
      </w:r>
    </w:p>
    <w:p>
      <w:pPr>
        <w:ind w:left="216"/>
      </w:pPr>
      <w:r>
        <w:rPr>
          <w:b/>
          <w:color w:val="287A4D"/>
        </w:rPr>
        <w:t xml:space="preserve">3. </w:t>
      </w:r>
      <w:r>
        <w:t>A merchant rule suggests Dining &gt; Restaurants.</w:t>
      </w:r>
    </w:p>
    <w:p>
      <w:pPr>
        <w:ind w:left="216"/>
      </w:pPr>
      <w:r>
        <w:rPr>
          <w:b/>
          <w:color w:val="287A4D"/>
        </w:rPr>
        <w:t xml:space="preserve">4. </w:t>
      </w:r>
      <w:r>
        <w:t>The user confirms the bucket and optionally saves or updates the rule.</w:t>
      </w:r>
    </w:p>
    <w:p>
      <w:pPr>
        <w:ind w:left="216"/>
      </w:pPr>
      <w:r>
        <w:rPr>
          <w:b/>
          <w:color w:val="287A4D"/>
        </w:rPr>
        <w:t xml:space="preserve">5. </w:t>
      </w:r>
      <w:r>
        <w:t>The transaction leaves the queue, and the bucket and Overview totals update.</w:t>
      </w:r>
    </w:p>
    <w:p>
      <w:pPr>
        <w:ind w:left="216"/>
      </w:pPr>
      <w:r>
        <w:rPr>
          <w:b/>
          <w:color w:val="287A4D"/>
        </w:rPr>
        <w:t xml:space="preserve">6. </w:t>
      </w:r>
      <w:r>
        <w:t>The user can undo immediately or edit later from transaction detail.</w:t>
      </w:r>
    </w:p>
    <w:p>
      <w:pPr>
        <w:pStyle w:val="Heading4"/>
      </w:pPr>
      <w:r>
        <w:t>A2. Review a shared dinner</w:t>
      </w:r>
    </w:p>
    <w:p>
      <w:pPr>
        <w:ind w:left="216"/>
      </w:pPr>
      <w:r>
        <w:rPr>
          <w:b/>
          <w:color w:val="287A4D"/>
        </w:rPr>
        <w:t xml:space="preserve">1. </w:t>
      </w:r>
      <w:r>
        <w:t>The user opens a $100 restaurant purchase.</w:t>
      </w:r>
    </w:p>
    <w:p>
      <w:pPr>
        <w:ind w:left="216"/>
      </w:pPr>
      <w:r>
        <w:rPr>
          <w:b/>
          <w:color w:val="287A4D"/>
        </w:rPr>
        <w:t xml:space="preserve">2. </w:t>
      </w:r>
      <w:r>
        <w:t>The user chooses Split and creates $50 My share and $50 Reimbursable.</w:t>
      </w:r>
    </w:p>
    <w:p>
      <w:pPr>
        <w:ind w:left="216"/>
      </w:pPr>
      <w:r>
        <w:rPr>
          <w:b/>
          <w:color w:val="287A4D"/>
        </w:rPr>
        <w:t xml:space="preserve">3. </w:t>
      </w:r>
      <w:r>
        <w:t>The user identifies the payer label and optional due date.</w:t>
      </w:r>
    </w:p>
    <w:p>
      <w:pPr>
        <w:ind w:left="216"/>
      </w:pPr>
      <w:r>
        <w:rPr>
          <w:b/>
          <w:color w:val="287A4D"/>
        </w:rPr>
        <w:t xml:space="preserve">4. </w:t>
      </w:r>
      <w:r>
        <w:t>Money Moves creates a $50 reimbursement claim.</w:t>
      </w:r>
    </w:p>
    <w:p>
      <w:pPr>
        <w:ind w:left="216"/>
      </w:pPr>
      <w:r>
        <w:rPr>
          <w:b/>
          <w:color w:val="287A4D"/>
        </w:rPr>
        <w:t xml:space="preserve">5. </w:t>
      </w:r>
      <w:r>
        <w:t>Dining expected personal spend increases by $50; cash outflow is $100; outstanding reimbursement is $50.</w:t>
      </w:r>
    </w:p>
    <w:p>
      <w:pPr>
        <w:ind w:left="216"/>
      </w:pPr>
      <w:r>
        <w:rPr>
          <w:b/>
          <w:color w:val="287A4D"/>
        </w:rPr>
        <w:t xml:space="preserve">6. </w:t>
      </w:r>
      <w:r>
        <w:t>A later $50 inflow is classified as reimbursement and linked to the claim.</w:t>
      </w:r>
    </w:p>
    <w:p>
      <w:pPr>
        <w:ind w:left="216"/>
      </w:pPr>
      <w:r>
        <w:rPr>
          <w:b/>
          <w:color w:val="287A4D"/>
        </w:rPr>
        <w:t xml:space="preserve">7. </w:t>
      </w:r>
      <w:r>
        <w:t>Outstanding becomes $0 and realized net personal spend becomes $50.</w:t>
      </w:r>
    </w:p>
    <w:p>
      <w:pPr>
        <w:pStyle w:val="Heading4"/>
      </w:pPr>
      <w:r>
        <w:t>A3. Receive a partial repayment</w:t>
      </w:r>
    </w:p>
    <w:p>
      <w:pPr>
        <w:ind w:left="216"/>
      </w:pPr>
      <w:r>
        <w:rPr>
          <w:b/>
          <w:color w:val="287A4D"/>
        </w:rPr>
        <w:t xml:space="preserve">1. </w:t>
      </w:r>
      <w:r>
        <w:t>The user has an open $80 claim.</w:t>
      </w:r>
    </w:p>
    <w:p>
      <w:pPr>
        <w:ind w:left="216"/>
      </w:pPr>
      <w:r>
        <w:rPr>
          <w:b/>
          <w:color w:val="287A4D"/>
        </w:rPr>
        <w:t xml:space="preserve">2. </w:t>
      </w:r>
      <w:r>
        <w:t>A $30 inflow arrives from the payer.</w:t>
      </w:r>
    </w:p>
    <w:p>
      <w:pPr>
        <w:ind w:left="216"/>
      </w:pPr>
      <w:r>
        <w:rPr>
          <w:b/>
          <w:color w:val="287A4D"/>
        </w:rPr>
        <w:t xml:space="preserve">3. </w:t>
      </w:r>
      <w:r>
        <w:t>Money Moves suggests the claim; the user confirms a $30 link.</w:t>
      </w:r>
    </w:p>
    <w:p>
      <w:pPr>
        <w:ind w:left="216"/>
      </w:pPr>
      <w:r>
        <w:rPr>
          <w:b/>
          <w:color w:val="287A4D"/>
        </w:rPr>
        <w:t xml:space="preserve">4. </w:t>
      </w:r>
      <w:r>
        <w:t>The claim becomes Partial with $50 outstanding.</w:t>
      </w:r>
    </w:p>
    <w:p>
      <w:pPr>
        <w:ind w:left="216"/>
      </w:pPr>
      <w:r>
        <w:rPr>
          <w:b/>
          <w:color w:val="287A4D"/>
        </w:rPr>
        <w:t xml:space="preserve">5. </w:t>
      </w:r>
      <w:r>
        <w:t>A later $50 inflow settles the claim.</w:t>
      </w:r>
    </w:p>
    <w:p>
      <w:pPr>
        <w:pStyle w:val="Heading4"/>
      </w:pPr>
      <w:r>
        <w:t>A4. Split a retailer purchase</w:t>
      </w:r>
    </w:p>
    <w:p>
      <w:pPr>
        <w:ind w:left="216"/>
      </w:pPr>
      <w:r>
        <w:rPr>
          <w:b/>
          <w:color w:val="287A4D"/>
        </w:rPr>
        <w:t xml:space="preserve">1. </w:t>
      </w:r>
      <w:r>
        <w:t>A $140 general-retailer charge is reviewed.</w:t>
      </w:r>
    </w:p>
    <w:p>
      <w:pPr>
        <w:ind w:left="216"/>
      </w:pPr>
      <w:r>
        <w:rPr>
          <w:b/>
          <w:color w:val="287A4D"/>
        </w:rPr>
        <w:t xml:space="preserve">2. </w:t>
      </w:r>
      <w:r>
        <w:t>The user allocates $70 Groceries, $40 Household, and $30 Clothing.</w:t>
      </w:r>
    </w:p>
    <w:p>
      <w:pPr>
        <w:ind w:left="216"/>
      </w:pPr>
      <w:r>
        <w:rPr>
          <w:b/>
          <w:color w:val="287A4D"/>
        </w:rPr>
        <w:t xml:space="preserve">3. </w:t>
      </w:r>
      <w:r>
        <w:t>The split editor validates that $140 is fully allocated.</w:t>
      </w:r>
    </w:p>
    <w:p>
      <w:pPr>
        <w:ind w:left="216"/>
      </w:pPr>
      <w:r>
        <w:rPr>
          <w:b/>
          <w:color w:val="287A4D"/>
        </w:rPr>
        <w:t xml:space="preserve">4. </w:t>
      </w:r>
      <w:r>
        <w:t>Each bucket receives only its allocation amount; the account activity still shows one $140 charge.</w:t>
      </w:r>
    </w:p>
    <w:p>
      <w:pPr>
        <w:pStyle w:val="Heading4"/>
      </w:pPr>
      <w:r>
        <w:t>A5. Link a merchant refund</w:t>
      </w:r>
    </w:p>
    <w:p>
      <w:pPr>
        <w:ind w:left="216"/>
      </w:pPr>
      <w:r>
        <w:rPr>
          <w:b/>
          <w:color w:val="287A4D"/>
        </w:rPr>
        <w:t xml:space="preserve">1. </w:t>
      </w:r>
      <w:r>
        <w:t>A $40 inflow appears from a clothing merchant.</w:t>
      </w:r>
    </w:p>
    <w:p>
      <w:pPr>
        <w:ind w:left="216"/>
      </w:pPr>
      <w:r>
        <w:rPr>
          <w:b/>
          <w:color w:val="287A4D"/>
        </w:rPr>
        <w:t xml:space="preserve">2. </w:t>
      </w:r>
      <w:r>
        <w:t>The user classifies it as a refund and selects the original $120 purchase.</w:t>
      </w:r>
    </w:p>
    <w:p>
      <w:pPr>
        <w:ind w:left="216"/>
      </w:pPr>
      <w:r>
        <w:rPr>
          <w:b/>
          <w:color w:val="287A4D"/>
        </w:rPr>
        <w:t xml:space="preserve">3. </w:t>
      </w:r>
      <w:r>
        <w:t>Clothing gross purchase remains $120; refund is $40; net clothing cost is $80.</w:t>
      </w:r>
    </w:p>
    <w:p>
      <w:pPr>
        <w:ind w:left="216"/>
      </w:pPr>
      <w:r>
        <w:rPr>
          <w:b/>
          <w:color w:val="287A4D"/>
        </w:rPr>
        <w:t xml:space="preserve">4. </w:t>
      </w:r>
      <w:r>
        <w:t>The refund is excluded from earned-income reporting.</w:t>
      </w:r>
    </w:p>
    <w:p>
      <w:pPr>
        <w:pStyle w:val="Heading4"/>
      </w:pPr>
      <w:r>
        <w:t>A6. Map a generic credit card</w:t>
      </w:r>
    </w:p>
    <w:p>
      <w:pPr>
        <w:ind w:left="216"/>
      </w:pPr>
      <w:r>
        <w:rPr>
          <w:b/>
          <w:color w:val="287A4D"/>
        </w:rPr>
        <w:t xml:space="preserve">1. </w:t>
      </w:r>
      <w:r>
        <w:t>A CSV import labels an account as CREDIT CARD.</w:t>
      </w:r>
    </w:p>
    <w:p>
      <w:pPr>
        <w:ind w:left="216"/>
      </w:pPr>
      <w:r>
        <w:rPr>
          <w:b/>
          <w:color w:val="287A4D"/>
        </w:rPr>
        <w:t xml:space="preserve">2. </w:t>
      </w:r>
      <w:r>
        <w:t>The user maps it to an existing account or creates a friendly account named Chase Freedom • 1234.</w:t>
      </w:r>
    </w:p>
    <w:p>
      <w:pPr>
        <w:ind w:left="216"/>
      </w:pPr>
      <w:r>
        <w:rPr>
          <w:b/>
          <w:color w:val="287A4D"/>
        </w:rPr>
        <w:t xml:space="preserve">3. </w:t>
      </w:r>
      <w:r>
        <w:t>Future imports using the saved mapping resolve to the same account ID.</w:t>
      </w:r>
    </w:p>
    <w:p>
      <w:pPr>
        <w:ind w:left="216"/>
      </w:pPr>
      <w:r>
        <w:rPr>
          <w:b/>
          <w:color w:val="287A4D"/>
        </w:rPr>
        <w:t xml:space="preserve">4. </w:t>
      </w:r>
      <w:r>
        <w:t>All related transaction views display the friendly name.</w:t>
      </w:r>
    </w:p>
    <w:p>
      <w:pPr>
        <w:pStyle w:val="Heading4"/>
      </w:pPr>
      <w:r>
        <w:t>A7. Correct a location</w:t>
      </w:r>
    </w:p>
    <w:p>
      <w:pPr>
        <w:ind w:left="216"/>
      </w:pPr>
      <w:r>
        <w:rPr>
          <w:b/>
          <w:color w:val="287A4D"/>
        </w:rPr>
        <w:t xml:space="preserve">1. </w:t>
      </w:r>
      <w:r>
        <w:t>A transaction has no provider state/country.</w:t>
      </w:r>
    </w:p>
    <w:p>
      <w:pPr>
        <w:ind w:left="216"/>
      </w:pPr>
      <w:r>
        <w:rPr>
          <w:b/>
          <w:color w:val="287A4D"/>
        </w:rPr>
        <w:t xml:space="preserve">2. </w:t>
      </w:r>
      <w:r>
        <w:t>The user enters VA, US and marks it as a one-time correction or optional merchant default.</w:t>
      </w:r>
    </w:p>
    <w:p>
      <w:pPr>
        <w:ind w:left="216"/>
      </w:pPr>
      <w:r>
        <w:rPr>
          <w:b/>
          <w:color w:val="287A4D"/>
        </w:rPr>
        <w:t xml:space="preserve">3. </w:t>
      </w:r>
      <w:r>
        <w:t>The override appears in the transaction detail with User entered provenance.</w:t>
      </w:r>
    </w:p>
    <w:p>
      <w:pPr>
        <w:ind w:left="216"/>
      </w:pPr>
      <w:r>
        <w:rPr>
          <w:b/>
          <w:color w:val="287A4D"/>
        </w:rPr>
        <w:t xml:space="preserve">4. </w:t>
      </w:r>
      <w:r>
        <w:t>Future sync does not overwrite it without confirmation.</w:t>
      </w:r>
    </w:p>
    <w:p>
      <w:pPr>
        <w:pStyle w:val="Heading4"/>
      </w:pPr>
      <w:r>
        <w:t>A8. Migrate V1</w:t>
      </w:r>
    </w:p>
    <w:p>
      <w:pPr>
        <w:ind w:left="216"/>
      </w:pPr>
      <w:r>
        <w:rPr>
          <w:b/>
          <w:color w:val="287A4D"/>
        </w:rPr>
        <w:t xml:space="preserve">1. </w:t>
      </w:r>
      <w:r>
        <w:t>Money Moves detects the V1 encrypted vault and explains the migration.</w:t>
      </w:r>
    </w:p>
    <w:p>
      <w:pPr>
        <w:ind w:left="216"/>
      </w:pPr>
      <w:r>
        <w:rPr>
          <w:b/>
          <w:color w:val="287A4D"/>
        </w:rPr>
        <w:t xml:space="preserve">2. </w:t>
      </w:r>
      <w:r>
        <w:t>The user unlocks with the existing passphrase.</w:t>
      </w:r>
    </w:p>
    <w:p>
      <w:pPr>
        <w:ind w:left="216"/>
      </w:pPr>
      <w:r>
        <w:rPr>
          <w:b/>
          <w:color w:val="287A4D"/>
        </w:rPr>
        <w:t xml:space="preserve">3. </w:t>
      </w:r>
      <w:r>
        <w:t>Targets, monthly income baseline, travel rules, and visited places are migrated.</w:t>
      </w:r>
    </w:p>
    <w:p>
      <w:pPr>
        <w:ind w:left="216"/>
      </w:pPr>
      <w:r>
        <w:rPr>
          <w:b/>
          <w:color w:val="287A4D"/>
        </w:rPr>
        <w:t xml:space="preserve">4. </w:t>
      </w:r>
      <w:r>
        <w:t>V1 aggregate actuals appear as a Legacy snapshot with no transaction drill-down.</w:t>
      </w:r>
    </w:p>
    <w:p>
      <w:pPr>
        <w:ind w:left="216"/>
      </w:pPr>
      <w:r>
        <w:rPr>
          <w:b/>
          <w:color w:val="287A4D"/>
        </w:rPr>
        <w:t xml:space="preserve">5. </w:t>
      </w:r>
      <w:r>
        <w:t>The new V2 vault is verified before the legacy key is retired.</w:t>
      </w:r>
    </w:p>
    <w:p>
      <w:r>
        <w:br w:type="page"/>
      </w:r>
    </w:p>
    <w:p>
      <w:pPr>
        <w:pStyle w:val="Heading1"/>
      </w:pPr>
      <w:r>
        <w:t>Appendix B. Example Financial Scenarios</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4320"/>
            <w:shd w:fill="10261C"/>
            <w:tcMar>
              <w:top w:w="70" w:type="dxa"/>
              <w:start w:w="70" w:type="dxa"/>
              <w:bottom w:w="70" w:type="dxa"/>
              <w:end w:w="70" w:type="dxa"/>
            </w:tcMar>
            <w:vAlign w:val="center"/>
          </w:tcPr>
          <w:p>
            <w:pPr>
              <w:spacing w:after="0"/>
            </w:pPr>
            <w:r>
              <w:rPr>
                <w:b/>
                <w:color w:val="FFFFFF"/>
                <w:sz w:val="16"/>
              </w:rPr>
              <w:t>Scenario</w:t>
            </w:r>
          </w:p>
        </w:tc>
        <w:tc>
          <w:tcPr>
            <w:tcW w:type="dxa" w:w="5760"/>
            <w:shd w:fill="10261C"/>
            <w:tcMar>
              <w:top w:w="70" w:type="dxa"/>
              <w:start w:w="70" w:type="dxa"/>
              <w:bottom w:w="70" w:type="dxa"/>
              <w:end w:w="70" w:type="dxa"/>
            </w:tcMar>
            <w:vAlign w:val="center"/>
          </w:tcPr>
          <w:p>
            <w:pPr>
              <w:spacing w:after="0"/>
            </w:pPr>
            <w:r>
              <w:rPr>
                <w:b/>
                <w:color w:val="FFFFFF"/>
                <w:sz w:val="16"/>
              </w:rPr>
              <w:t>Expected reporting result</w:t>
            </w:r>
          </w:p>
        </w:tc>
      </w:tr>
      <w:tr>
        <w:trPr>
          <w:cantSplit/>
        </w:trPr>
        <w:tc>
          <w:tcPr>
            <w:tcW w:type="dxa" w:w="4320"/>
            <w:tcMar>
              <w:top w:w="58" w:type="dxa"/>
              <w:start w:w="65" w:type="dxa"/>
              <w:bottom w:w="58" w:type="dxa"/>
              <w:end w:w="65" w:type="dxa"/>
            </w:tcMar>
            <w:shd w:fill="F8FAF9"/>
            <w:vAlign w:val="center"/>
          </w:tcPr>
          <w:p>
            <w:pPr>
              <w:pStyle w:val="MMTableText"/>
              <w:spacing w:after="0"/>
            </w:pPr>
            <w:r>
              <w:rPr>
                <w:sz w:val="16"/>
              </w:rPr>
              <w:t>$100 dinner; $50 expected and received</w:t>
            </w:r>
          </w:p>
        </w:tc>
        <w:tc>
          <w:tcPr>
            <w:tcW w:type="dxa" w:w="5760"/>
            <w:tcMar>
              <w:top w:w="58" w:type="dxa"/>
              <w:start w:w="65" w:type="dxa"/>
              <w:bottom w:w="58" w:type="dxa"/>
              <w:end w:w="65" w:type="dxa"/>
            </w:tcMar>
            <w:shd w:fill="F8FAF9"/>
            <w:vAlign w:val="center"/>
          </w:tcPr>
          <w:p>
            <w:pPr>
              <w:pStyle w:val="MMTableText"/>
              <w:spacing w:after="0"/>
            </w:pPr>
            <w:r>
              <w:rPr>
                <w:sz w:val="16"/>
              </w:rPr>
              <w:t>Gross $100; expected personal $50; realized net $50; outstanding $0; income $0.</w:t>
            </w:r>
          </w:p>
        </w:tc>
      </w:tr>
      <w:tr>
        <w:trPr>
          <w:cantSplit/>
        </w:trPr>
        <w:tc>
          <w:tcPr>
            <w:tcW w:type="dxa" w:w="4320"/>
            <w:tcMar>
              <w:top w:w="58" w:type="dxa"/>
              <w:start w:w="65" w:type="dxa"/>
              <w:bottom w:w="58" w:type="dxa"/>
              <w:end w:w="65" w:type="dxa"/>
            </w:tcMar>
            <w:vAlign w:val="center"/>
          </w:tcPr>
          <w:p>
            <w:pPr>
              <w:pStyle w:val="MMTableText"/>
              <w:spacing w:after="0"/>
            </w:pPr>
            <w:r>
              <w:rPr>
                <w:sz w:val="16"/>
              </w:rPr>
              <w:t>$100 dinner; $50 expected, not yet received</w:t>
            </w:r>
          </w:p>
        </w:tc>
        <w:tc>
          <w:tcPr>
            <w:tcW w:type="dxa" w:w="5760"/>
            <w:tcMar>
              <w:top w:w="58" w:type="dxa"/>
              <w:start w:w="65" w:type="dxa"/>
              <w:bottom w:w="58" w:type="dxa"/>
              <w:end w:w="65" w:type="dxa"/>
            </w:tcMar>
            <w:vAlign w:val="center"/>
          </w:tcPr>
          <w:p>
            <w:pPr>
              <w:pStyle w:val="MMTableText"/>
              <w:spacing w:after="0"/>
            </w:pPr>
            <w:r>
              <w:rPr>
                <w:sz w:val="16"/>
              </w:rPr>
              <w:t>Gross $100; expected personal $50; realized net $100; outstanding $50; income $0.</w:t>
            </w:r>
          </w:p>
        </w:tc>
      </w:tr>
      <w:tr>
        <w:trPr>
          <w:cantSplit/>
        </w:trPr>
        <w:tc>
          <w:tcPr>
            <w:tcW w:type="dxa" w:w="4320"/>
            <w:tcMar>
              <w:top w:w="58" w:type="dxa"/>
              <w:start w:w="65" w:type="dxa"/>
              <w:bottom w:w="58" w:type="dxa"/>
              <w:end w:w="65" w:type="dxa"/>
            </w:tcMar>
            <w:shd w:fill="F8FAF9"/>
            <w:vAlign w:val="center"/>
          </w:tcPr>
          <w:p>
            <w:pPr>
              <w:pStyle w:val="MMTableText"/>
              <w:spacing w:after="0"/>
            </w:pPr>
            <w:r>
              <w:rPr>
                <w:sz w:val="16"/>
              </w:rPr>
              <w:t>$100 dinner; $50 expected, only $30 received</w:t>
            </w:r>
          </w:p>
        </w:tc>
        <w:tc>
          <w:tcPr>
            <w:tcW w:type="dxa" w:w="5760"/>
            <w:tcMar>
              <w:top w:w="58" w:type="dxa"/>
              <w:start w:w="65" w:type="dxa"/>
              <w:bottom w:w="58" w:type="dxa"/>
              <w:end w:w="65" w:type="dxa"/>
            </w:tcMar>
            <w:shd w:fill="F8FAF9"/>
            <w:vAlign w:val="center"/>
          </w:tcPr>
          <w:p>
            <w:pPr>
              <w:pStyle w:val="MMTableText"/>
              <w:spacing w:after="0"/>
            </w:pPr>
            <w:r>
              <w:rPr>
                <w:sz w:val="16"/>
              </w:rPr>
              <w:t>Gross $100; expected personal $50; realized net $70; outstanding $20.</w:t>
            </w:r>
          </w:p>
        </w:tc>
      </w:tr>
      <w:tr>
        <w:trPr>
          <w:cantSplit/>
        </w:trPr>
        <w:tc>
          <w:tcPr>
            <w:tcW w:type="dxa" w:w="4320"/>
            <w:tcMar>
              <w:top w:w="58" w:type="dxa"/>
              <w:start w:w="65" w:type="dxa"/>
              <w:bottom w:w="58" w:type="dxa"/>
              <w:end w:w="65" w:type="dxa"/>
            </w:tcMar>
            <w:vAlign w:val="center"/>
          </w:tcPr>
          <w:p>
            <w:pPr>
              <w:pStyle w:val="MMTableText"/>
              <w:spacing w:after="0"/>
            </w:pPr>
            <w:r>
              <w:rPr>
                <w:sz w:val="16"/>
              </w:rPr>
              <w:t>$100 dinner; $50 claim written off after no payment</w:t>
            </w:r>
          </w:p>
        </w:tc>
        <w:tc>
          <w:tcPr>
            <w:tcW w:type="dxa" w:w="5760"/>
            <w:tcMar>
              <w:top w:w="58" w:type="dxa"/>
              <w:start w:w="65" w:type="dxa"/>
              <w:bottom w:w="58" w:type="dxa"/>
              <w:end w:w="65" w:type="dxa"/>
            </w:tcMar>
            <w:vAlign w:val="center"/>
          </w:tcPr>
          <w:p>
            <w:pPr>
              <w:pStyle w:val="MMTableText"/>
              <w:spacing w:after="0"/>
            </w:pPr>
            <w:r>
              <w:rPr>
                <w:sz w:val="16"/>
              </w:rPr>
              <w:t>Gross $100; expected personal becomes $100 after write-off; realized net $100; outstanding $0.</w:t>
            </w:r>
          </w:p>
        </w:tc>
      </w:tr>
      <w:tr>
        <w:trPr>
          <w:cantSplit/>
        </w:trPr>
        <w:tc>
          <w:tcPr>
            <w:tcW w:type="dxa" w:w="4320"/>
            <w:tcMar>
              <w:top w:w="58" w:type="dxa"/>
              <w:start w:w="65" w:type="dxa"/>
              <w:bottom w:w="58" w:type="dxa"/>
              <w:end w:w="65" w:type="dxa"/>
            </w:tcMar>
            <w:shd w:fill="F8FAF9"/>
            <w:vAlign w:val="center"/>
          </w:tcPr>
          <w:p>
            <w:pPr>
              <w:pStyle w:val="MMTableText"/>
              <w:spacing w:after="0"/>
            </w:pPr>
            <w:r>
              <w:rPr>
                <w:sz w:val="16"/>
              </w:rPr>
              <w:t>$120 clothing; $40 merchant refund</w:t>
            </w:r>
          </w:p>
        </w:tc>
        <w:tc>
          <w:tcPr>
            <w:tcW w:type="dxa" w:w="5760"/>
            <w:tcMar>
              <w:top w:w="58" w:type="dxa"/>
              <w:start w:w="65" w:type="dxa"/>
              <w:bottom w:w="58" w:type="dxa"/>
              <w:end w:w="65" w:type="dxa"/>
            </w:tcMar>
            <w:shd w:fill="F8FAF9"/>
            <w:vAlign w:val="center"/>
          </w:tcPr>
          <w:p>
            <w:pPr>
              <w:pStyle w:val="MMTableText"/>
              <w:spacing w:after="0"/>
            </w:pPr>
            <w:r>
              <w:rPr>
                <w:sz w:val="16"/>
              </w:rPr>
              <w:t>Gross $120; refund $40; expected and realized net clothing $80.</w:t>
            </w:r>
          </w:p>
        </w:tc>
      </w:tr>
      <w:tr>
        <w:trPr>
          <w:cantSplit/>
        </w:trPr>
        <w:tc>
          <w:tcPr>
            <w:tcW w:type="dxa" w:w="4320"/>
            <w:tcMar>
              <w:top w:w="58" w:type="dxa"/>
              <w:start w:w="65" w:type="dxa"/>
              <w:bottom w:w="58" w:type="dxa"/>
              <w:end w:w="65" w:type="dxa"/>
            </w:tcMar>
            <w:vAlign w:val="center"/>
          </w:tcPr>
          <w:p>
            <w:pPr>
              <w:pStyle w:val="MMTableText"/>
              <w:spacing w:after="0"/>
            </w:pPr>
            <w:r>
              <w:rPr>
                <w:sz w:val="16"/>
              </w:rPr>
              <w:t>$200 checking-to-savings transfer</w:t>
            </w:r>
          </w:p>
        </w:tc>
        <w:tc>
          <w:tcPr>
            <w:tcW w:type="dxa" w:w="5760"/>
            <w:tcMar>
              <w:top w:w="58" w:type="dxa"/>
              <w:start w:w="65" w:type="dxa"/>
              <w:bottom w:w="58" w:type="dxa"/>
              <w:end w:w="65" w:type="dxa"/>
            </w:tcMar>
            <w:vAlign w:val="center"/>
          </w:tcPr>
          <w:p>
            <w:pPr>
              <w:pStyle w:val="MMTableText"/>
              <w:spacing w:after="0"/>
            </w:pPr>
            <w:r>
              <w:rPr>
                <w:sz w:val="16"/>
              </w:rPr>
              <w:t>Checking -$200; savings +$200; net owned cash $0; spending $0; income $0.</w:t>
            </w:r>
          </w:p>
        </w:tc>
      </w:tr>
      <w:tr>
        <w:trPr>
          <w:cantSplit/>
        </w:trPr>
        <w:tc>
          <w:tcPr>
            <w:tcW w:type="dxa" w:w="4320"/>
            <w:tcMar>
              <w:top w:w="58" w:type="dxa"/>
              <w:start w:w="65" w:type="dxa"/>
              <w:bottom w:w="58" w:type="dxa"/>
              <w:end w:w="65" w:type="dxa"/>
            </w:tcMar>
            <w:shd w:fill="F8FAF9"/>
            <w:vAlign w:val="center"/>
          </w:tcPr>
          <w:p>
            <w:pPr>
              <w:pStyle w:val="MMTableText"/>
              <w:spacing w:after="0"/>
            </w:pPr>
            <w:r>
              <w:rPr>
                <w:sz w:val="16"/>
              </w:rPr>
              <w:t>$400 checking payment to credit card</w:t>
            </w:r>
          </w:p>
        </w:tc>
        <w:tc>
          <w:tcPr>
            <w:tcW w:type="dxa" w:w="5760"/>
            <w:tcMar>
              <w:top w:w="58" w:type="dxa"/>
              <w:start w:w="65" w:type="dxa"/>
              <w:bottom w:w="58" w:type="dxa"/>
              <w:end w:w="65" w:type="dxa"/>
            </w:tcMar>
            <w:shd w:fill="F8FAF9"/>
            <w:vAlign w:val="center"/>
          </w:tcPr>
          <w:p>
            <w:pPr>
              <w:pStyle w:val="MMTableText"/>
              <w:spacing w:after="0"/>
            </w:pPr>
            <w:r>
              <w:rPr>
                <w:sz w:val="16"/>
              </w:rPr>
              <w:t>Checking cash -$400; card debt -$400; spending $0 because purchases were counted earlier.</w:t>
            </w:r>
          </w:p>
        </w:tc>
      </w:tr>
      <w:tr>
        <w:trPr>
          <w:cantSplit/>
        </w:trPr>
        <w:tc>
          <w:tcPr>
            <w:tcW w:type="dxa" w:w="4320"/>
            <w:tcMar>
              <w:top w:w="58" w:type="dxa"/>
              <w:start w:w="65" w:type="dxa"/>
              <w:bottom w:w="58" w:type="dxa"/>
              <w:end w:w="65" w:type="dxa"/>
            </w:tcMar>
            <w:vAlign w:val="center"/>
          </w:tcPr>
          <w:p>
            <w:pPr>
              <w:pStyle w:val="MMTableText"/>
              <w:spacing w:after="0"/>
            </w:pPr>
            <w:r>
              <w:rPr>
                <w:sz w:val="16"/>
              </w:rPr>
              <w:t>$140 retailer split $70/$40/$30</w:t>
            </w:r>
          </w:p>
        </w:tc>
        <w:tc>
          <w:tcPr>
            <w:tcW w:type="dxa" w:w="5760"/>
            <w:tcMar>
              <w:top w:w="58" w:type="dxa"/>
              <w:start w:w="65" w:type="dxa"/>
              <w:bottom w:w="58" w:type="dxa"/>
              <w:end w:w="65" w:type="dxa"/>
            </w:tcMar>
            <w:vAlign w:val="center"/>
          </w:tcPr>
          <w:p>
            <w:pPr>
              <w:pStyle w:val="MMTableText"/>
              <w:spacing w:after="0"/>
            </w:pPr>
            <w:r>
              <w:rPr>
                <w:sz w:val="16"/>
              </w:rPr>
              <w:t>One cash outflow $140; bucket contributions equal allocation amounts.</w:t>
            </w:r>
          </w:p>
        </w:tc>
      </w:tr>
      <w:tr>
        <w:trPr>
          <w:cantSplit/>
        </w:trPr>
        <w:tc>
          <w:tcPr>
            <w:tcW w:type="dxa" w:w="4320"/>
            <w:tcMar>
              <w:top w:w="58" w:type="dxa"/>
              <w:start w:w="65" w:type="dxa"/>
              <w:bottom w:w="58" w:type="dxa"/>
              <w:end w:w="65" w:type="dxa"/>
            </w:tcMar>
            <w:shd w:fill="F8FAF9"/>
            <w:vAlign w:val="center"/>
          </w:tcPr>
          <w:p>
            <w:pPr>
              <w:pStyle w:val="MMTableText"/>
              <w:spacing w:after="0"/>
            </w:pPr>
            <w:r>
              <w:rPr>
                <w:sz w:val="16"/>
              </w:rPr>
              <w:t>$50 reimbursement inflow with no known claim</w:t>
            </w:r>
          </w:p>
        </w:tc>
        <w:tc>
          <w:tcPr>
            <w:tcW w:type="dxa" w:w="5760"/>
            <w:tcMar>
              <w:top w:w="58" w:type="dxa"/>
              <w:start w:w="65" w:type="dxa"/>
              <w:bottom w:w="58" w:type="dxa"/>
              <w:end w:w="65" w:type="dxa"/>
            </w:tcMar>
            <w:shd w:fill="F8FAF9"/>
            <w:vAlign w:val="center"/>
          </w:tcPr>
          <w:p>
            <w:pPr>
              <w:pStyle w:val="MMTableText"/>
              <w:spacing w:after="0"/>
            </w:pPr>
            <w:r>
              <w:rPr>
                <w:sz w:val="16"/>
              </w:rPr>
              <w:t>Cash inflow $50; classified as unmatched reimbursement; earned income $0; requires later link or reclassification.</w:t>
            </w:r>
          </w:p>
        </w:tc>
      </w:tr>
    </w:tbl>
    <w:p>
      <w:pPr>
        <w:spacing w:after="0"/>
      </w:pPr>
    </w:p>
    <w:p>
      <w:pPr>
        <w:pStyle w:val="Heading2"/>
      </w:pPr>
      <w:r>
        <w:t>B1. Rounding policy</w:t>
      </w:r>
    </w:p>
    <w:p>
      <w:r>
        <w:t>All monetary records use integer minor units (cents) where possible. Percent-based splits calculate each line using deterministic rounding; the final allocation receives the residual cent so that the total exactly equals the transaction magnitude. The UI displays the adjustment before confirmation.</w:t>
      </w:r>
    </w:p>
    <w:p>
      <w:pPr>
        <w:pStyle w:val="Heading2"/>
      </w:pPr>
      <w:r>
        <w:t>B2. Date policy</w:t>
      </w:r>
    </w:p>
    <w:p>
      <w:r>
        <w:t>Reports should default to posted date when available, otherwise authorized/import date. The original dates remain visible. Reconciliation may move a transaction between periods only through a documented posting update; reporting history should indicate the change when material.</w:t>
      </w:r>
    </w:p>
    <w:p>
      <w:r>
        <w:br w:type="page"/>
      </w:r>
    </w:p>
    <w:p>
      <w:pPr>
        <w:pStyle w:val="Heading1"/>
      </w:pPr>
      <w:r>
        <w:t>Appendix C. Suggested API Surface</w:t>
      </w:r>
    </w:p>
    <w:p>
      <w:r>
        <w:t>This is a human-readable starting point rather than a binding OpenAPI contract. Engineers may implement equivalent typed service interfaces if the application remains in one process.</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3960"/>
            <w:shd w:fill="10261C"/>
            <w:tcMar>
              <w:top w:w="70" w:type="dxa"/>
              <w:start w:w="70" w:type="dxa"/>
              <w:bottom w:w="70" w:type="dxa"/>
              <w:end w:w="70" w:type="dxa"/>
            </w:tcMar>
            <w:vAlign w:val="center"/>
          </w:tcPr>
          <w:p>
            <w:pPr>
              <w:spacing w:after="0"/>
            </w:pPr>
            <w:r>
              <w:rPr>
                <w:b/>
                <w:color w:val="FFFFFF"/>
                <w:sz w:val="16"/>
              </w:rPr>
              <w:t>Endpoint / operation</w:t>
            </w:r>
          </w:p>
        </w:tc>
        <w:tc>
          <w:tcPr>
            <w:tcW w:type="dxa" w:w="6120"/>
            <w:shd w:fill="10261C"/>
            <w:tcMar>
              <w:top w:w="70" w:type="dxa"/>
              <w:start w:w="70" w:type="dxa"/>
              <w:bottom w:w="70" w:type="dxa"/>
              <w:end w:w="70" w:type="dxa"/>
            </w:tcMar>
            <w:vAlign w:val="center"/>
          </w:tcPr>
          <w:p>
            <w:pPr>
              <w:spacing w:after="0"/>
            </w:pPr>
            <w:r>
              <w:rPr>
                <w:b/>
                <w:color w:val="FFFFFF"/>
                <w:sz w:val="16"/>
              </w:rPr>
              <w:t>Purpose</w:t>
            </w:r>
          </w:p>
        </w:tc>
      </w:tr>
      <w:tr>
        <w:trPr>
          <w:cantSplit/>
        </w:trPr>
        <w:tc>
          <w:tcPr>
            <w:tcW w:type="dxa" w:w="3960"/>
            <w:tcMar>
              <w:top w:w="58" w:type="dxa"/>
              <w:start w:w="65" w:type="dxa"/>
              <w:bottom w:w="58" w:type="dxa"/>
              <w:end w:w="65" w:type="dxa"/>
            </w:tcMar>
            <w:shd w:fill="F8FAF9"/>
            <w:vAlign w:val="center"/>
          </w:tcPr>
          <w:p>
            <w:pPr>
              <w:pStyle w:val="MMTableText"/>
              <w:spacing w:after="0"/>
            </w:pPr>
            <w:r>
              <w:rPr>
                <w:sz w:val="16"/>
              </w:rPr>
              <w:t>GET /accounts</w:t>
            </w:r>
          </w:p>
        </w:tc>
        <w:tc>
          <w:tcPr>
            <w:tcW w:type="dxa" w:w="6120"/>
            <w:tcMar>
              <w:top w:w="58" w:type="dxa"/>
              <w:start w:w="65" w:type="dxa"/>
              <w:bottom w:w="58" w:type="dxa"/>
              <w:end w:w="65" w:type="dxa"/>
            </w:tcMar>
            <w:shd w:fill="F8FAF9"/>
            <w:vAlign w:val="center"/>
          </w:tcPr>
          <w:p>
            <w:pPr>
              <w:pStyle w:val="MMTableText"/>
              <w:spacing w:after="0"/>
            </w:pPr>
            <w:r>
              <w:rPr>
                <w:sz w:val="16"/>
              </w:rPr>
              <w:t>List normalized accounts and friendly names.</w:t>
            </w:r>
          </w:p>
        </w:tc>
      </w:tr>
      <w:tr>
        <w:trPr>
          <w:cantSplit/>
        </w:trPr>
        <w:tc>
          <w:tcPr>
            <w:tcW w:type="dxa" w:w="3960"/>
            <w:tcMar>
              <w:top w:w="58" w:type="dxa"/>
              <w:start w:w="65" w:type="dxa"/>
              <w:bottom w:w="58" w:type="dxa"/>
              <w:end w:w="65" w:type="dxa"/>
            </w:tcMar>
            <w:vAlign w:val="center"/>
          </w:tcPr>
          <w:p>
            <w:pPr>
              <w:pStyle w:val="MMTableText"/>
              <w:spacing w:after="0"/>
            </w:pPr>
            <w:r>
              <w:rPr>
                <w:sz w:val="16"/>
              </w:rPr>
              <w:t>PATCH /accounts/{id}</w:t>
            </w:r>
          </w:p>
        </w:tc>
        <w:tc>
          <w:tcPr>
            <w:tcW w:type="dxa" w:w="6120"/>
            <w:tcMar>
              <w:top w:w="58" w:type="dxa"/>
              <w:start w:w="65" w:type="dxa"/>
              <w:bottom w:w="58" w:type="dxa"/>
              <w:end w:w="65" w:type="dxa"/>
            </w:tcMar>
            <w:vAlign w:val="center"/>
          </w:tcPr>
          <w:p>
            <w:pPr>
              <w:pStyle w:val="MMTableText"/>
              <w:spacing w:after="0"/>
            </w:pPr>
            <w:r>
              <w:rPr>
                <w:sz w:val="16"/>
              </w:rPr>
              <w:t>Rename, activate/archive, or update user-owned account metadata.</w:t>
            </w:r>
          </w:p>
        </w:tc>
      </w:tr>
      <w:tr>
        <w:trPr>
          <w:cantSplit/>
        </w:trPr>
        <w:tc>
          <w:tcPr>
            <w:tcW w:type="dxa" w:w="3960"/>
            <w:tcMar>
              <w:top w:w="58" w:type="dxa"/>
              <w:start w:w="65" w:type="dxa"/>
              <w:bottom w:w="58" w:type="dxa"/>
              <w:end w:w="65" w:type="dxa"/>
            </w:tcMar>
            <w:shd w:fill="F8FAF9"/>
            <w:vAlign w:val="center"/>
          </w:tcPr>
          <w:p>
            <w:pPr>
              <w:pStyle w:val="MMTableText"/>
              <w:spacing w:after="0"/>
            </w:pPr>
            <w:r>
              <w:rPr>
                <w:sz w:val="16"/>
              </w:rPr>
              <w:t>GET /transactions</w:t>
            </w:r>
          </w:p>
        </w:tc>
        <w:tc>
          <w:tcPr>
            <w:tcW w:type="dxa" w:w="6120"/>
            <w:tcMar>
              <w:top w:w="58" w:type="dxa"/>
              <w:start w:w="65" w:type="dxa"/>
              <w:bottom w:w="58" w:type="dxa"/>
              <w:end w:w="65" w:type="dxa"/>
            </w:tcMar>
            <w:shd w:fill="F8FAF9"/>
            <w:vAlign w:val="center"/>
          </w:tcPr>
          <w:p>
            <w:pPr>
              <w:pStyle w:val="MMTableText"/>
              <w:spacing w:after="0"/>
            </w:pPr>
            <w:r>
              <w:rPr>
                <w:sz w:val="16"/>
              </w:rPr>
              <w:t>Filter/search canonical transactions.</w:t>
            </w:r>
          </w:p>
        </w:tc>
      </w:tr>
      <w:tr>
        <w:trPr>
          <w:cantSplit/>
        </w:trPr>
        <w:tc>
          <w:tcPr>
            <w:tcW w:type="dxa" w:w="3960"/>
            <w:tcMar>
              <w:top w:w="58" w:type="dxa"/>
              <w:start w:w="65" w:type="dxa"/>
              <w:bottom w:w="58" w:type="dxa"/>
              <w:end w:w="65" w:type="dxa"/>
            </w:tcMar>
            <w:vAlign w:val="center"/>
          </w:tcPr>
          <w:p>
            <w:pPr>
              <w:pStyle w:val="MMTableText"/>
              <w:spacing w:after="0"/>
            </w:pPr>
            <w:r>
              <w:rPr>
                <w:sz w:val="16"/>
              </w:rPr>
              <w:t>GET /transactions/{id}</w:t>
            </w:r>
          </w:p>
        </w:tc>
        <w:tc>
          <w:tcPr>
            <w:tcW w:type="dxa" w:w="6120"/>
            <w:tcMar>
              <w:top w:w="58" w:type="dxa"/>
              <w:start w:w="65" w:type="dxa"/>
              <w:bottom w:w="58" w:type="dxa"/>
              <w:end w:w="65" w:type="dxa"/>
            </w:tcMar>
            <w:vAlign w:val="center"/>
          </w:tcPr>
          <w:p>
            <w:pPr>
              <w:pStyle w:val="MMTableText"/>
              <w:spacing w:after="0"/>
            </w:pPr>
            <w:r>
              <w:rPr>
                <w:sz w:val="16"/>
              </w:rPr>
              <w:t>Fetch detail, allocations, links, and audit history.</w:t>
            </w:r>
          </w:p>
        </w:tc>
      </w:tr>
      <w:tr>
        <w:trPr>
          <w:cantSplit/>
        </w:trPr>
        <w:tc>
          <w:tcPr>
            <w:tcW w:type="dxa" w:w="3960"/>
            <w:tcMar>
              <w:top w:w="58" w:type="dxa"/>
              <w:start w:w="65" w:type="dxa"/>
              <w:bottom w:w="58" w:type="dxa"/>
              <w:end w:w="65" w:type="dxa"/>
            </w:tcMar>
            <w:shd w:fill="F8FAF9"/>
            <w:vAlign w:val="center"/>
          </w:tcPr>
          <w:p>
            <w:pPr>
              <w:pStyle w:val="MMTableText"/>
              <w:spacing w:after="0"/>
            </w:pPr>
            <w:r>
              <w:rPr>
                <w:sz w:val="16"/>
              </w:rPr>
              <w:t>POST /transactions/manual</w:t>
            </w:r>
          </w:p>
        </w:tc>
        <w:tc>
          <w:tcPr>
            <w:tcW w:type="dxa" w:w="6120"/>
            <w:tcMar>
              <w:top w:w="58" w:type="dxa"/>
              <w:start w:w="65" w:type="dxa"/>
              <w:bottom w:w="58" w:type="dxa"/>
              <w:end w:w="65" w:type="dxa"/>
            </w:tcMar>
            <w:shd w:fill="F8FAF9"/>
            <w:vAlign w:val="center"/>
          </w:tcPr>
          <w:p>
            <w:pPr>
              <w:pStyle w:val="MMTableText"/>
              <w:spacing w:after="0"/>
            </w:pPr>
            <w:r>
              <w:rPr>
                <w:sz w:val="16"/>
              </w:rPr>
              <w:t>Create a manual transaction.</w:t>
            </w:r>
          </w:p>
        </w:tc>
      </w:tr>
      <w:tr>
        <w:trPr>
          <w:cantSplit/>
        </w:trPr>
        <w:tc>
          <w:tcPr>
            <w:tcW w:type="dxa" w:w="3960"/>
            <w:tcMar>
              <w:top w:w="58" w:type="dxa"/>
              <w:start w:w="65" w:type="dxa"/>
              <w:bottom w:w="58" w:type="dxa"/>
              <w:end w:w="65" w:type="dxa"/>
            </w:tcMar>
            <w:vAlign w:val="center"/>
          </w:tcPr>
          <w:p>
            <w:pPr>
              <w:pStyle w:val="MMTableText"/>
              <w:spacing w:after="0"/>
            </w:pPr>
            <w:r>
              <w:rPr>
                <w:sz w:val="16"/>
              </w:rPr>
              <w:t>PATCH /transactions/{id}/classification</w:t>
            </w:r>
          </w:p>
        </w:tc>
        <w:tc>
          <w:tcPr>
            <w:tcW w:type="dxa" w:w="6120"/>
            <w:tcMar>
              <w:top w:w="58" w:type="dxa"/>
              <w:start w:w="65" w:type="dxa"/>
              <w:bottom w:w="58" w:type="dxa"/>
              <w:end w:w="65" w:type="dxa"/>
            </w:tcMar>
            <w:vAlign w:val="center"/>
          </w:tcPr>
          <w:p>
            <w:pPr>
              <w:pStyle w:val="MMTableText"/>
              <w:spacing w:after="0"/>
            </w:pPr>
            <w:r>
              <w:rPr>
                <w:sz w:val="16"/>
              </w:rPr>
              <w:t>Set movement type and review state.</w:t>
            </w:r>
          </w:p>
        </w:tc>
      </w:tr>
      <w:tr>
        <w:trPr>
          <w:cantSplit/>
        </w:trPr>
        <w:tc>
          <w:tcPr>
            <w:tcW w:type="dxa" w:w="3960"/>
            <w:tcMar>
              <w:top w:w="58" w:type="dxa"/>
              <w:start w:w="65" w:type="dxa"/>
              <w:bottom w:w="58" w:type="dxa"/>
              <w:end w:w="65" w:type="dxa"/>
            </w:tcMar>
            <w:shd w:fill="F8FAF9"/>
            <w:vAlign w:val="center"/>
          </w:tcPr>
          <w:p>
            <w:pPr>
              <w:pStyle w:val="MMTableText"/>
              <w:spacing w:after="0"/>
            </w:pPr>
            <w:r>
              <w:rPr>
                <w:sz w:val="16"/>
              </w:rPr>
              <w:t>PUT /transactions/{id}/allocations</w:t>
            </w:r>
          </w:p>
        </w:tc>
        <w:tc>
          <w:tcPr>
            <w:tcW w:type="dxa" w:w="6120"/>
            <w:tcMar>
              <w:top w:w="58" w:type="dxa"/>
              <w:start w:w="65" w:type="dxa"/>
              <w:bottom w:w="58" w:type="dxa"/>
              <w:end w:w="65" w:type="dxa"/>
            </w:tcMar>
            <w:shd w:fill="F8FAF9"/>
            <w:vAlign w:val="center"/>
          </w:tcPr>
          <w:p>
            <w:pPr>
              <w:pStyle w:val="MMTableText"/>
              <w:spacing w:after="0"/>
            </w:pPr>
            <w:r>
              <w:rPr>
                <w:sz w:val="16"/>
              </w:rPr>
              <w:t>Replace allocations atomically after validation.</w:t>
            </w:r>
          </w:p>
        </w:tc>
      </w:tr>
      <w:tr>
        <w:trPr>
          <w:cantSplit/>
        </w:trPr>
        <w:tc>
          <w:tcPr>
            <w:tcW w:type="dxa" w:w="3960"/>
            <w:tcMar>
              <w:top w:w="58" w:type="dxa"/>
              <w:start w:w="65" w:type="dxa"/>
              <w:bottom w:w="58" w:type="dxa"/>
              <w:end w:w="65" w:type="dxa"/>
            </w:tcMar>
            <w:vAlign w:val="center"/>
          </w:tcPr>
          <w:p>
            <w:pPr>
              <w:pStyle w:val="MMTableText"/>
              <w:spacing w:after="0"/>
            </w:pPr>
            <w:r>
              <w:rPr>
                <w:sz w:val="16"/>
              </w:rPr>
              <w:t>POST /transactions/{id}/review</w:t>
            </w:r>
          </w:p>
        </w:tc>
        <w:tc>
          <w:tcPr>
            <w:tcW w:type="dxa" w:w="6120"/>
            <w:tcMar>
              <w:top w:w="58" w:type="dxa"/>
              <w:start w:w="65" w:type="dxa"/>
              <w:bottom w:w="58" w:type="dxa"/>
              <w:end w:w="65" w:type="dxa"/>
            </w:tcMar>
            <w:vAlign w:val="center"/>
          </w:tcPr>
          <w:p>
            <w:pPr>
              <w:pStyle w:val="MMTableText"/>
              <w:spacing w:after="0"/>
            </w:pPr>
            <w:r>
              <w:rPr>
                <w:sz w:val="16"/>
              </w:rPr>
              <w:t>Confirm reviewed state and optional rule.</w:t>
            </w:r>
          </w:p>
        </w:tc>
      </w:tr>
      <w:tr>
        <w:trPr>
          <w:cantSplit/>
        </w:trPr>
        <w:tc>
          <w:tcPr>
            <w:tcW w:type="dxa" w:w="3960"/>
            <w:tcMar>
              <w:top w:w="58" w:type="dxa"/>
              <w:start w:w="65" w:type="dxa"/>
              <w:bottom w:w="58" w:type="dxa"/>
              <w:end w:w="65" w:type="dxa"/>
            </w:tcMar>
            <w:shd w:fill="F8FAF9"/>
            <w:vAlign w:val="center"/>
          </w:tcPr>
          <w:p>
            <w:pPr>
              <w:pStyle w:val="MMTableText"/>
              <w:spacing w:after="0"/>
            </w:pPr>
            <w:r>
              <w:rPr>
                <w:sz w:val="16"/>
              </w:rPr>
              <w:t>POST /review/{event_id}/undo</w:t>
            </w:r>
          </w:p>
        </w:tc>
        <w:tc>
          <w:tcPr>
            <w:tcW w:type="dxa" w:w="6120"/>
            <w:tcMar>
              <w:top w:w="58" w:type="dxa"/>
              <w:start w:w="65" w:type="dxa"/>
              <w:bottom w:w="58" w:type="dxa"/>
              <w:end w:w="65" w:type="dxa"/>
            </w:tcMar>
            <w:shd w:fill="F8FAF9"/>
            <w:vAlign w:val="center"/>
          </w:tcPr>
          <w:p>
            <w:pPr>
              <w:pStyle w:val="MMTableText"/>
              <w:spacing w:after="0"/>
            </w:pPr>
            <w:r>
              <w:rPr>
                <w:sz w:val="16"/>
              </w:rPr>
              <w:t>Undo a review event.</w:t>
            </w:r>
          </w:p>
        </w:tc>
      </w:tr>
      <w:tr>
        <w:trPr>
          <w:cantSplit/>
        </w:trPr>
        <w:tc>
          <w:tcPr>
            <w:tcW w:type="dxa" w:w="3960"/>
            <w:tcMar>
              <w:top w:w="58" w:type="dxa"/>
              <w:start w:w="65" w:type="dxa"/>
              <w:bottom w:w="58" w:type="dxa"/>
              <w:end w:w="65" w:type="dxa"/>
            </w:tcMar>
            <w:vAlign w:val="center"/>
          </w:tcPr>
          <w:p>
            <w:pPr>
              <w:pStyle w:val="MMTableText"/>
              <w:spacing w:after="0"/>
            </w:pPr>
            <w:r>
              <w:rPr>
                <w:sz w:val="16"/>
              </w:rPr>
              <w:t>GET /buckets</w:t>
            </w:r>
          </w:p>
        </w:tc>
        <w:tc>
          <w:tcPr>
            <w:tcW w:type="dxa" w:w="6120"/>
            <w:tcMar>
              <w:top w:w="58" w:type="dxa"/>
              <w:start w:w="65" w:type="dxa"/>
              <w:bottom w:w="58" w:type="dxa"/>
              <w:end w:w="65" w:type="dxa"/>
            </w:tcMar>
            <w:vAlign w:val="center"/>
          </w:tcPr>
          <w:p>
            <w:pPr>
              <w:pStyle w:val="MMTableText"/>
              <w:spacing w:after="0"/>
            </w:pPr>
            <w:r>
              <w:rPr>
                <w:sz w:val="16"/>
              </w:rPr>
              <w:t>List parent and child buckets.</w:t>
            </w:r>
          </w:p>
        </w:tc>
      </w:tr>
      <w:tr>
        <w:trPr>
          <w:cantSplit/>
        </w:trPr>
        <w:tc>
          <w:tcPr>
            <w:tcW w:type="dxa" w:w="3960"/>
            <w:tcMar>
              <w:top w:w="58" w:type="dxa"/>
              <w:start w:w="65" w:type="dxa"/>
              <w:bottom w:w="58" w:type="dxa"/>
              <w:end w:w="65" w:type="dxa"/>
            </w:tcMar>
            <w:shd w:fill="F8FAF9"/>
            <w:vAlign w:val="center"/>
          </w:tcPr>
          <w:p>
            <w:pPr>
              <w:pStyle w:val="MMTableText"/>
              <w:spacing w:after="0"/>
            </w:pPr>
            <w:r>
              <w:rPr>
                <w:sz w:val="16"/>
              </w:rPr>
              <w:t>POST /buckets</w:t>
            </w:r>
          </w:p>
        </w:tc>
        <w:tc>
          <w:tcPr>
            <w:tcW w:type="dxa" w:w="6120"/>
            <w:tcMar>
              <w:top w:w="58" w:type="dxa"/>
              <w:start w:w="65" w:type="dxa"/>
              <w:bottom w:w="58" w:type="dxa"/>
              <w:end w:w="65" w:type="dxa"/>
            </w:tcMar>
            <w:shd w:fill="F8FAF9"/>
            <w:vAlign w:val="center"/>
          </w:tcPr>
          <w:p>
            <w:pPr>
              <w:pStyle w:val="MMTableText"/>
              <w:spacing w:after="0"/>
            </w:pPr>
            <w:r>
              <w:rPr>
                <w:sz w:val="16"/>
              </w:rPr>
              <w:t>Create bucket/sub-bucket.</w:t>
            </w:r>
          </w:p>
        </w:tc>
      </w:tr>
      <w:tr>
        <w:trPr>
          <w:cantSplit/>
        </w:trPr>
        <w:tc>
          <w:tcPr>
            <w:tcW w:type="dxa" w:w="3960"/>
            <w:tcMar>
              <w:top w:w="58" w:type="dxa"/>
              <w:start w:w="65" w:type="dxa"/>
              <w:bottom w:w="58" w:type="dxa"/>
              <w:end w:w="65" w:type="dxa"/>
            </w:tcMar>
            <w:vAlign w:val="center"/>
          </w:tcPr>
          <w:p>
            <w:pPr>
              <w:pStyle w:val="MMTableText"/>
              <w:spacing w:after="0"/>
            </w:pPr>
            <w:r>
              <w:rPr>
                <w:sz w:val="16"/>
              </w:rPr>
              <w:t>PATCH /buckets/{id}</w:t>
            </w:r>
          </w:p>
        </w:tc>
        <w:tc>
          <w:tcPr>
            <w:tcW w:type="dxa" w:w="6120"/>
            <w:tcMar>
              <w:top w:w="58" w:type="dxa"/>
              <w:start w:w="65" w:type="dxa"/>
              <w:bottom w:w="58" w:type="dxa"/>
              <w:end w:w="65" w:type="dxa"/>
            </w:tcMar>
            <w:vAlign w:val="center"/>
          </w:tcPr>
          <w:p>
            <w:pPr>
              <w:pStyle w:val="MMTableText"/>
              <w:spacing w:after="0"/>
            </w:pPr>
            <w:r>
              <w:rPr>
                <w:sz w:val="16"/>
              </w:rPr>
              <w:t>Rename, target, order, protected state, archive.</w:t>
            </w:r>
          </w:p>
        </w:tc>
      </w:tr>
      <w:tr>
        <w:trPr>
          <w:cantSplit/>
        </w:trPr>
        <w:tc>
          <w:tcPr>
            <w:tcW w:type="dxa" w:w="3960"/>
            <w:tcMar>
              <w:top w:w="58" w:type="dxa"/>
              <w:start w:w="65" w:type="dxa"/>
              <w:bottom w:w="58" w:type="dxa"/>
              <w:end w:w="65" w:type="dxa"/>
            </w:tcMar>
            <w:shd w:fill="F8FAF9"/>
            <w:vAlign w:val="center"/>
          </w:tcPr>
          <w:p>
            <w:pPr>
              <w:pStyle w:val="MMTableText"/>
              <w:spacing w:after="0"/>
            </w:pPr>
            <w:r>
              <w:rPr>
                <w:sz w:val="16"/>
              </w:rPr>
              <w:t>POST /buckets/{id}/merge</w:t>
            </w:r>
          </w:p>
        </w:tc>
        <w:tc>
          <w:tcPr>
            <w:tcW w:type="dxa" w:w="6120"/>
            <w:tcMar>
              <w:top w:w="58" w:type="dxa"/>
              <w:start w:w="65" w:type="dxa"/>
              <w:bottom w:w="58" w:type="dxa"/>
              <w:end w:w="65" w:type="dxa"/>
            </w:tcMar>
            <w:shd w:fill="F8FAF9"/>
            <w:vAlign w:val="center"/>
          </w:tcPr>
          <w:p>
            <w:pPr>
              <w:pStyle w:val="MMTableText"/>
              <w:spacing w:after="0"/>
            </w:pPr>
            <w:r>
              <w:rPr>
                <w:sz w:val="16"/>
              </w:rPr>
              <w:t>Preview and execute safe merge.</w:t>
            </w:r>
          </w:p>
        </w:tc>
      </w:tr>
      <w:tr>
        <w:trPr>
          <w:cantSplit/>
        </w:trPr>
        <w:tc>
          <w:tcPr>
            <w:tcW w:type="dxa" w:w="3960"/>
            <w:tcMar>
              <w:top w:w="58" w:type="dxa"/>
              <w:start w:w="65" w:type="dxa"/>
              <w:bottom w:w="58" w:type="dxa"/>
              <w:end w:w="65" w:type="dxa"/>
            </w:tcMar>
            <w:vAlign w:val="center"/>
          </w:tcPr>
          <w:p>
            <w:pPr>
              <w:pStyle w:val="MMTableText"/>
              <w:spacing w:after="0"/>
            </w:pPr>
            <w:r>
              <w:rPr>
                <w:sz w:val="16"/>
              </w:rPr>
              <w:t>GET /claims</w:t>
            </w:r>
          </w:p>
        </w:tc>
        <w:tc>
          <w:tcPr>
            <w:tcW w:type="dxa" w:w="6120"/>
            <w:tcMar>
              <w:top w:w="58" w:type="dxa"/>
              <w:start w:w="65" w:type="dxa"/>
              <w:bottom w:w="58" w:type="dxa"/>
              <w:end w:w="65" w:type="dxa"/>
            </w:tcMar>
            <w:vAlign w:val="center"/>
          </w:tcPr>
          <w:p>
            <w:pPr>
              <w:pStyle w:val="MMTableText"/>
              <w:spacing w:after="0"/>
            </w:pPr>
            <w:r>
              <w:rPr>
                <w:sz w:val="16"/>
              </w:rPr>
              <w:t>Filter reimbursement claims.</w:t>
            </w:r>
          </w:p>
        </w:tc>
      </w:tr>
      <w:tr>
        <w:trPr>
          <w:cantSplit/>
        </w:trPr>
        <w:tc>
          <w:tcPr>
            <w:tcW w:type="dxa" w:w="3960"/>
            <w:tcMar>
              <w:top w:w="58" w:type="dxa"/>
              <w:start w:w="65" w:type="dxa"/>
              <w:bottom w:w="58" w:type="dxa"/>
              <w:end w:w="65" w:type="dxa"/>
            </w:tcMar>
            <w:shd w:fill="F8FAF9"/>
            <w:vAlign w:val="center"/>
          </w:tcPr>
          <w:p>
            <w:pPr>
              <w:pStyle w:val="MMTableText"/>
              <w:spacing w:after="0"/>
            </w:pPr>
            <w:r>
              <w:rPr>
                <w:sz w:val="16"/>
              </w:rPr>
              <w:t>POST /claims</w:t>
            </w:r>
          </w:p>
        </w:tc>
        <w:tc>
          <w:tcPr>
            <w:tcW w:type="dxa" w:w="6120"/>
            <w:tcMar>
              <w:top w:w="58" w:type="dxa"/>
              <w:start w:w="65" w:type="dxa"/>
              <w:bottom w:w="58" w:type="dxa"/>
              <w:end w:w="65" w:type="dxa"/>
            </w:tcMar>
            <w:shd w:fill="F8FAF9"/>
            <w:vAlign w:val="center"/>
          </w:tcPr>
          <w:p>
            <w:pPr>
              <w:pStyle w:val="MMTableText"/>
              <w:spacing w:after="0"/>
            </w:pPr>
            <w:r>
              <w:rPr>
                <w:sz w:val="16"/>
              </w:rPr>
              <w:t>Create claim linked to allocations.</w:t>
            </w:r>
          </w:p>
        </w:tc>
      </w:tr>
      <w:tr>
        <w:trPr>
          <w:cantSplit/>
        </w:trPr>
        <w:tc>
          <w:tcPr>
            <w:tcW w:type="dxa" w:w="3960"/>
            <w:tcMar>
              <w:top w:w="58" w:type="dxa"/>
              <w:start w:w="65" w:type="dxa"/>
              <w:bottom w:w="58" w:type="dxa"/>
              <w:end w:w="65" w:type="dxa"/>
            </w:tcMar>
            <w:vAlign w:val="center"/>
          </w:tcPr>
          <w:p>
            <w:pPr>
              <w:pStyle w:val="MMTableText"/>
              <w:spacing w:after="0"/>
            </w:pPr>
            <w:r>
              <w:rPr>
                <w:sz w:val="16"/>
              </w:rPr>
              <w:t>POST /claims/{id}/repayments</w:t>
            </w:r>
          </w:p>
        </w:tc>
        <w:tc>
          <w:tcPr>
            <w:tcW w:type="dxa" w:w="6120"/>
            <w:tcMar>
              <w:top w:w="58" w:type="dxa"/>
              <w:start w:w="65" w:type="dxa"/>
              <w:bottom w:w="58" w:type="dxa"/>
              <w:end w:w="65" w:type="dxa"/>
            </w:tcMar>
            <w:vAlign w:val="center"/>
          </w:tcPr>
          <w:p>
            <w:pPr>
              <w:pStyle w:val="MMTableText"/>
              <w:spacing w:after="0"/>
            </w:pPr>
            <w:r>
              <w:rPr>
                <w:sz w:val="16"/>
              </w:rPr>
              <w:t>Link repayment transaction/amount.</w:t>
            </w:r>
          </w:p>
        </w:tc>
      </w:tr>
      <w:tr>
        <w:trPr>
          <w:cantSplit/>
        </w:trPr>
        <w:tc>
          <w:tcPr>
            <w:tcW w:type="dxa" w:w="3960"/>
            <w:tcMar>
              <w:top w:w="58" w:type="dxa"/>
              <w:start w:w="65" w:type="dxa"/>
              <w:bottom w:w="58" w:type="dxa"/>
              <w:end w:w="65" w:type="dxa"/>
            </w:tcMar>
            <w:shd w:fill="F8FAF9"/>
            <w:vAlign w:val="center"/>
          </w:tcPr>
          <w:p>
            <w:pPr>
              <w:pStyle w:val="MMTableText"/>
              <w:spacing w:after="0"/>
            </w:pPr>
            <w:r>
              <w:rPr>
                <w:sz w:val="16"/>
              </w:rPr>
              <w:t>POST /claims/{id}/write-off</w:t>
            </w:r>
          </w:p>
        </w:tc>
        <w:tc>
          <w:tcPr>
            <w:tcW w:type="dxa" w:w="6120"/>
            <w:tcMar>
              <w:top w:w="58" w:type="dxa"/>
              <w:start w:w="65" w:type="dxa"/>
              <w:bottom w:w="58" w:type="dxa"/>
              <w:end w:w="65" w:type="dxa"/>
            </w:tcMar>
            <w:shd w:fill="F8FAF9"/>
            <w:vAlign w:val="center"/>
          </w:tcPr>
          <w:p>
            <w:pPr>
              <w:pStyle w:val="MMTableText"/>
              <w:spacing w:after="0"/>
            </w:pPr>
            <w:r>
              <w:rPr>
                <w:sz w:val="16"/>
              </w:rPr>
              <w:t>Write off remaining amount with reason.</w:t>
            </w:r>
          </w:p>
        </w:tc>
      </w:tr>
      <w:tr>
        <w:trPr>
          <w:cantSplit/>
        </w:trPr>
        <w:tc>
          <w:tcPr>
            <w:tcW w:type="dxa" w:w="3960"/>
            <w:tcMar>
              <w:top w:w="58" w:type="dxa"/>
              <w:start w:w="65" w:type="dxa"/>
              <w:bottom w:w="58" w:type="dxa"/>
              <w:end w:w="65" w:type="dxa"/>
            </w:tcMar>
            <w:vAlign w:val="center"/>
          </w:tcPr>
          <w:p>
            <w:pPr>
              <w:pStyle w:val="MMTableText"/>
              <w:spacing w:after="0"/>
            </w:pPr>
            <w:r>
              <w:rPr>
                <w:sz w:val="16"/>
              </w:rPr>
              <w:t>POST /refund-links</w:t>
            </w:r>
          </w:p>
        </w:tc>
        <w:tc>
          <w:tcPr>
            <w:tcW w:type="dxa" w:w="6120"/>
            <w:tcMar>
              <w:top w:w="58" w:type="dxa"/>
              <w:start w:w="65" w:type="dxa"/>
              <w:bottom w:w="58" w:type="dxa"/>
              <w:end w:w="65" w:type="dxa"/>
            </w:tcMar>
            <w:vAlign w:val="center"/>
          </w:tcPr>
          <w:p>
            <w:pPr>
              <w:pStyle w:val="MMTableText"/>
              <w:spacing w:after="0"/>
            </w:pPr>
            <w:r>
              <w:rPr>
                <w:sz w:val="16"/>
              </w:rPr>
              <w:t>Link refund to source allocations.</w:t>
            </w:r>
          </w:p>
        </w:tc>
      </w:tr>
      <w:tr>
        <w:trPr>
          <w:cantSplit/>
        </w:trPr>
        <w:tc>
          <w:tcPr>
            <w:tcW w:type="dxa" w:w="3960"/>
            <w:tcMar>
              <w:top w:w="58" w:type="dxa"/>
              <w:start w:w="65" w:type="dxa"/>
              <w:bottom w:w="58" w:type="dxa"/>
              <w:end w:w="65" w:type="dxa"/>
            </w:tcMar>
            <w:shd w:fill="F8FAF9"/>
            <w:vAlign w:val="center"/>
          </w:tcPr>
          <w:p>
            <w:pPr>
              <w:pStyle w:val="MMTableText"/>
              <w:spacing w:after="0"/>
            </w:pPr>
            <w:r>
              <w:rPr>
                <w:sz w:val="16"/>
              </w:rPr>
              <w:t>GET /reports/overview</w:t>
            </w:r>
          </w:p>
        </w:tc>
        <w:tc>
          <w:tcPr>
            <w:tcW w:type="dxa" w:w="6120"/>
            <w:tcMar>
              <w:top w:w="58" w:type="dxa"/>
              <w:start w:w="65" w:type="dxa"/>
              <w:bottom w:w="58" w:type="dxa"/>
              <w:end w:w="65" w:type="dxa"/>
            </w:tcMar>
            <w:shd w:fill="F8FAF9"/>
            <w:vAlign w:val="center"/>
          </w:tcPr>
          <w:p>
            <w:pPr>
              <w:pStyle w:val="MMTableText"/>
              <w:spacing w:after="0"/>
            </w:pPr>
            <w:r>
              <w:rPr>
                <w:sz w:val="16"/>
              </w:rPr>
              <w:t>Return calculated overview with drill-down query references.</w:t>
            </w:r>
          </w:p>
        </w:tc>
      </w:tr>
      <w:tr>
        <w:trPr>
          <w:cantSplit/>
        </w:trPr>
        <w:tc>
          <w:tcPr>
            <w:tcW w:type="dxa" w:w="3960"/>
            <w:tcMar>
              <w:top w:w="58" w:type="dxa"/>
              <w:start w:w="65" w:type="dxa"/>
              <w:bottom w:w="58" w:type="dxa"/>
              <w:end w:w="65" w:type="dxa"/>
            </w:tcMar>
            <w:vAlign w:val="center"/>
          </w:tcPr>
          <w:p>
            <w:pPr>
              <w:pStyle w:val="MMTableText"/>
              <w:spacing w:after="0"/>
            </w:pPr>
            <w:r>
              <w:rPr>
                <w:sz w:val="16"/>
              </w:rPr>
              <w:t>GET /reports/buckets/{id}</w:t>
            </w:r>
          </w:p>
        </w:tc>
        <w:tc>
          <w:tcPr>
            <w:tcW w:type="dxa" w:w="6120"/>
            <w:tcMar>
              <w:top w:w="58" w:type="dxa"/>
              <w:start w:w="65" w:type="dxa"/>
              <w:bottom w:w="58" w:type="dxa"/>
              <w:end w:w="65" w:type="dxa"/>
            </w:tcMar>
            <w:vAlign w:val="center"/>
          </w:tcPr>
          <w:p>
            <w:pPr>
              <w:pStyle w:val="MMTableText"/>
              <w:spacing w:after="0"/>
            </w:pPr>
            <w:r>
              <w:rPr>
                <w:sz w:val="16"/>
              </w:rPr>
              <w:t>Return bucket totals and allocation rows.</w:t>
            </w:r>
          </w:p>
        </w:tc>
      </w:tr>
      <w:tr>
        <w:trPr>
          <w:cantSplit/>
        </w:trPr>
        <w:tc>
          <w:tcPr>
            <w:tcW w:type="dxa" w:w="3960"/>
            <w:tcMar>
              <w:top w:w="58" w:type="dxa"/>
              <w:start w:w="65" w:type="dxa"/>
              <w:bottom w:w="58" w:type="dxa"/>
              <w:end w:w="65" w:type="dxa"/>
            </w:tcMar>
            <w:shd w:fill="F8FAF9"/>
            <w:vAlign w:val="center"/>
          </w:tcPr>
          <w:p>
            <w:pPr>
              <w:pStyle w:val="MMTableText"/>
              <w:spacing w:after="0"/>
            </w:pPr>
            <w:r>
              <w:rPr>
                <w:sz w:val="16"/>
              </w:rPr>
              <w:t>POST /imports/csv/preview</w:t>
            </w:r>
          </w:p>
        </w:tc>
        <w:tc>
          <w:tcPr>
            <w:tcW w:type="dxa" w:w="6120"/>
            <w:tcMar>
              <w:top w:w="58" w:type="dxa"/>
              <w:start w:w="65" w:type="dxa"/>
              <w:bottom w:w="58" w:type="dxa"/>
              <w:end w:w="65" w:type="dxa"/>
            </w:tcMar>
            <w:shd w:fill="F8FAF9"/>
            <w:vAlign w:val="center"/>
          </w:tcPr>
          <w:p>
            <w:pPr>
              <w:pStyle w:val="MMTableText"/>
              <w:spacing w:after="0"/>
            </w:pPr>
            <w:r>
              <w:rPr>
                <w:sz w:val="16"/>
              </w:rPr>
              <w:t>Parse and normalize without committing.</w:t>
            </w:r>
          </w:p>
        </w:tc>
      </w:tr>
      <w:tr>
        <w:trPr>
          <w:cantSplit/>
        </w:trPr>
        <w:tc>
          <w:tcPr>
            <w:tcW w:type="dxa" w:w="3960"/>
            <w:tcMar>
              <w:top w:w="58" w:type="dxa"/>
              <w:start w:w="65" w:type="dxa"/>
              <w:bottom w:w="58" w:type="dxa"/>
              <w:end w:w="65" w:type="dxa"/>
            </w:tcMar>
            <w:vAlign w:val="center"/>
          </w:tcPr>
          <w:p>
            <w:pPr>
              <w:pStyle w:val="MMTableText"/>
              <w:spacing w:after="0"/>
            </w:pPr>
            <w:r>
              <w:rPr>
                <w:sz w:val="16"/>
              </w:rPr>
              <w:t>POST /imports/csv/commit</w:t>
            </w:r>
          </w:p>
        </w:tc>
        <w:tc>
          <w:tcPr>
            <w:tcW w:type="dxa" w:w="6120"/>
            <w:tcMar>
              <w:top w:w="58" w:type="dxa"/>
              <w:start w:w="65" w:type="dxa"/>
              <w:bottom w:w="58" w:type="dxa"/>
              <w:end w:w="65" w:type="dxa"/>
            </w:tcMar>
            <w:vAlign w:val="center"/>
          </w:tcPr>
          <w:p>
            <w:pPr>
              <w:pStyle w:val="MMTableText"/>
              <w:spacing w:after="0"/>
            </w:pPr>
            <w:r>
              <w:rPr>
                <w:sz w:val="16"/>
              </w:rPr>
              <w:t>Commit approved rows and import-batch audit.</w:t>
            </w:r>
          </w:p>
        </w:tc>
      </w:tr>
      <w:tr>
        <w:trPr>
          <w:cantSplit/>
        </w:trPr>
        <w:tc>
          <w:tcPr>
            <w:tcW w:type="dxa" w:w="3960"/>
            <w:tcMar>
              <w:top w:w="58" w:type="dxa"/>
              <w:start w:w="65" w:type="dxa"/>
              <w:bottom w:w="58" w:type="dxa"/>
              <w:end w:w="65" w:type="dxa"/>
            </w:tcMar>
            <w:shd w:fill="F8FAF9"/>
            <w:vAlign w:val="center"/>
          </w:tcPr>
          <w:p>
            <w:pPr>
              <w:pStyle w:val="MMTableText"/>
              <w:spacing w:after="0"/>
            </w:pPr>
            <w:r>
              <w:rPr>
                <w:sz w:val="16"/>
              </w:rPr>
              <w:t>POST /vault/backup</w:t>
            </w:r>
          </w:p>
        </w:tc>
        <w:tc>
          <w:tcPr>
            <w:tcW w:type="dxa" w:w="6120"/>
            <w:tcMar>
              <w:top w:w="58" w:type="dxa"/>
              <w:start w:w="65" w:type="dxa"/>
              <w:bottom w:w="58" w:type="dxa"/>
              <w:end w:w="65" w:type="dxa"/>
            </w:tcMar>
            <w:shd w:fill="F8FAF9"/>
            <w:vAlign w:val="center"/>
          </w:tcPr>
          <w:p>
            <w:pPr>
              <w:pStyle w:val="MMTableText"/>
              <w:spacing w:after="0"/>
            </w:pPr>
            <w:r>
              <w:rPr>
                <w:sz w:val="16"/>
              </w:rPr>
              <w:t>Create encrypted backup.</w:t>
            </w:r>
          </w:p>
        </w:tc>
      </w:tr>
      <w:tr>
        <w:trPr>
          <w:cantSplit/>
        </w:trPr>
        <w:tc>
          <w:tcPr>
            <w:tcW w:type="dxa" w:w="3960"/>
            <w:tcMar>
              <w:top w:w="58" w:type="dxa"/>
              <w:start w:w="65" w:type="dxa"/>
              <w:bottom w:w="58" w:type="dxa"/>
              <w:end w:w="65" w:type="dxa"/>
            </w:tcMar>
            <w:vAlign w:val="center"/>
          </w:tcPr>
          <w:p>
            <w:pPr>
              <w:pStyle w:val="MMTableText"/>
              <w:spacing w:after="0"/>
            </w:pPr>
            <w:r>
              <w:rPr>
                <w:sz w:val="16"/>
              </w:rPr>
              <w:t>POST /vault/restore/validate</w:t>
            </w:r>
          </w:p>
        </w:tc>
        <w:tc>
          <w:tcPr>
            <w:tcW w:type="dxa" w:w="6120"/>
            <w:tcMar>
              <w:top w:w="58" w:type="dxa"/>
              <w:start w:w="65" w:type="dxa"/>
              <w:bottom w:w="58" w:type="dxa"/>
              <w:end w:w="65" w:type="dxa"/>
            </w:tcMar>
            <w:vAlign w:val="center"/>
          </w:tcPr>
          <w:p>
            <w:pPr>
              <w:pStyle w:val="MMTableText"/>
              <w:spacing w:after="0"/>
            </w:pPr>
            <w:r>
              <w:rPr>
                <w:sz w:val="16"/>
              </w:rPr>
              <w:t>Validate backup without replacing active data.</w:t>
            </w:r>
          </w:p>
        </w:tc>
      </w:tr>
      <w:tr>
        <w:trPr>
          <w:cantSplit/>
        </w:trPr>
        <w:tc>
          <w:tcPr>
            <w:tcW w:type="dxa" w:w="3960"/>
            <w:tcMar>
              <w:top w:w="58" w:type="dxa"/>
              <w:start w:w="65" w:type="dxa"/>
              <w:bottom w:w="58" w:type="dxa"/>
              <w:end w:w="65" w:type="dxa"/>
            </w:tcMar>
            <w:shd w:fill="F8FAF9"/>
            <w:vAlign w:val="center"/>
          </w:tcPr>
          <w:p>
            <w:pPr>
              <w:pStyle w:val="MMTableText"/>
              <w:spacing w:after="0"/>
            </w:pPr>
            <w:r>
              <w:rPr>
                <w:sz w:val="16"/>
              </w:rPr>
              <w:t>POST /vault/restore/commit</w:t>
            </w:r>
          </w:p>
        </w:tc>
        <w:tc>
          <w:tcPr>
            <w:tcW w:type="dxa" w:w="6120"/>
            <w:tcMar>
              <w:top w:w="58" w:type="dxa"/>
              <w:start w:w="65" w:type="dxa"/>
              <w:bottom w:w="58" w:type="dxa"/>
              <w:end w:w="65" w:type="dxa"/>
            </w:tcMar>
            <w:shd w:fill="F8FAF9"/>
            <w:vAlign w:val="center"/>
          </w:tcPr>
          <w:p>
            <w:pPr>
              <w:pStyle w:val="MMTableText"/>
              <w:spacing w:after="0"/>
            </w:pPr>
            <w:r>
              <w:rPr>
                <w:sz w:val="16"/>
              </w:rPr>
              <w:t>Atomically replace after validation.</w:t>
            </w:r>
          </w:p>
        </w:tc>
      </w:tr>
      <w:tr>
        <w:trPr>
          <w:cantSplit/>
        </w:trPr>
        <w:tc>
          <w:tcPr>
            <w:tcW w:type="dxa" w:w="3960"/>
            <w:tcMar>
              <w:top w:w="58" w:type="dxa"/>
              <w:start w:w="65" w:type="dxa"/>
              <w:bottom w:w="58" w:type="dxa"/>
              <w:end w:w="65" w:type="dxa"/>
            </w:tcMar>
            <w:vAlign w:val="center"/>
          </w:tcPr>
          <w:p>
            <w:pPr>
              <w:pStyle w:val="MMTableText"/>
              <w:spacing w:after="0"/>
            </w:pPr>
            <w:r>
              <w:rPr>
                <w:sz w:val="16"/>
              </w:rPr>
              <w:t>POST /sync/plaid/link-token</w:t>
            </w:r>
          </w:p>
        </w:tc>
        <w:tc>
          <w:tcPr>
            <w:tcW w:type="dxa" w:w="6120"/>
            <w:tcMar>
              <w:top w:w="58" w:type="dxa"/>
              <w:start w:w="65" w:type="dxa"/>
              <w:bottom w:w="58" w:type="dxa"/>
              <w:end w:w="65" w:type="dxa"/>
            </w:tcMar>
            <w:vAlign w:val="center"/>
          </w:tcPr>
          <w:p>
            <w:pPr>
              <w:pStyle w:val="MMTableText"/>
              <w:spacing w:after="0"/>
            </w:pPr>
            <w:r>
              <w:rPr>
                <w:sz w:val="16"/>
              </w:rPr>
              <w:t>Future: create Link token.</w:t>
            </w:r>
          </w:p>
        </w:tc>
      </w:tr>
      <w:tr>
        <w:trPr>
          <w:cantSplit/>
        </w:trPr>
        <w:tc>
          <w:tcPr>
            <w:tcW w:type="dxa" w:w="3960"/>
            <w:tcMar>
              <w:top w:w="58" w:type="dxa"/>
              <w:start w:w="65" w:type="dxa"/>
              <w:bottom w:w="58" w:type="dxa"/>
              <w:end w:w="65" w:type="dxa"/>
            </w:tcMar>
            <w:shd w:fill="F8FAF9"/>
            <w:vAlign w:val="center"/>
          </w:tcPr>
          <w:p>
            <w:pPr>
              <w:pStyle w:val="MMTableText"/>
              <w:spacing w:after="0"/>
            </w:pPr>
            <w:r>
              <w:rPr>
                <w:sz w:val="16"/>
              </w:rPr>
              <w:t>POST /sync/plaid/exchange</w:t>
            </w:r>
          </w:p>
        </w:tc>
        <w:tc>
          <w:tcPr>
            <w:tcW w:type="dxa" w:w="6120"/>
            <w:tcMar>
              <w:top w:w="58" w:type="dxa"/>
              <w:start w:w="65" w:type="dxa"/>
              <w:bottom w:w="58" w:type="dxa"/>
              <w:end w:w="65" w:type="dxa"/>
            </w:tcMar>
            <w:shd w:fill="F8FAF9"/>
            <w:vAlign w:val="center"/>
          </w:tcPr>
          <w:p>
            <w:pPr>
              <w:pStyle w:val="MMTableText"/>
              <w:spacing w:after="0"/>
            </w:pPr>
            <w:r>
              <w:rPr>
                <w:sz w:val="16"/>
              </w:rPr>
              <w:t>Future: exchange public token server-side.</w:t>
            </w:r>
          </w:p>
        </w:tc>
      </w:tr>
      <w:tr>
        <w:trPr>
          <w:cantSplit/>
        </w:trPr>
        <w:tc>
          <w:tcPr>
            <w:tcW w:type="dxa" w:w="3960"/>
            <w:tcMar>
              <w:top w:w="58" w:type="dxa"/>
              <w:start w:w="65" w:type="dxa"/>
              <w:bottom w:w="58" w:type="dxa"/>
              <w:end w:w="65" w:type="dxa"/>
            </w:tcMar>
            <w:vAlign w:val="center"/>
          </w:tcPr>
          <w:p>
            <w:pPr>
              <w:pStyle w:val="MMTableText"/>
              <w:spacing w:after="0"/>
            </w:pPr>
            <w:r>
              <w:rPr>
                <w:sz w:val="16"/>
              </w:rPr>
              <w:t>POST /sync/plaid/refresh</w:t>
            </w:r>
          </w:p>
        </w:tc>
        <w:tc>
          <w:tcPr>
            <w:tcW w:type="dxa" w:w="6120"/>
            <w:tcMar>
              <w:top w:w="58" w:type="dxa"/>
              <w:start w:w="65" w:type="dxa"/>
              <w:bottom w:w="58" w:type="dxa"/>
              <w:end w:w="65" w:type="dxa"/>
            </w:tcMar>
            <w:vAlign w:val="center"/>
          </w:tcPr>
          <w:p>
            <w:pPr>
              <w:pStyle w:val="MMTableText"/>
              <w:spacing w:after="0"/>
            </w:pPr>
            <w:r>
              <w:rPr>
                <w:sz w:val="16"/>
              </w:rPr>
              <w:t>Future: run cursor synchronization.</w:t>
            </w:r>
          </w:p>
        </w:tc>
      </w:tr>
    </w:tbl>
    <w:p>
      <w:pPr>
        <w:spacing w:after="0"/>
      </w:pPr>
    </w:p>
    <w:p>
      <w:r>
        <w:br w:type="page"/>
      </w:r>
    </w:p>
    <w:p>
      <w:pPr>
        <w:pStyle w:val="Heading1"/>
      </w:pPr>
      <w:r>
        <w:t>Appendix D. Data Invariants and Validation Rules</w:t>
      </w:r>
    </w:p>
    <w:tbl>
      <w:tblPr>
        <w:tblW w:type="auto" w:w="0"/>
        <w:jc w:val="center"/>
        <w:tblLayout w:type="fixed"/>
        <w:tblLook w:firstColumn="1" w:firstRow="1" w:lastColumn="0" w:lastRow="0" w:noHBand="0" w:noVBand="1" w:val="04A0"/>
        <w:tblBorders>
          <w:top w:val="single" w:sz="4" w:space="0" w:color="BFC9C3"/>
          <w:left w:val="single" w:sz="4" w:space="0" w:color="BFC9C3"/>
          <w:bottom w:val="single" w:sz="4" w:space="0" w:color="BFC9C3"/>
          <w:right w:val="single" w:sz="4" w:space="0" w:color="BFC9C3"/>
          <w:insideH w:val="single" w:sz="4" w:space="0" w:color="BFC9C3"/>
          <w:insideV w:val="single" w:sz="4" w:space="0" w:color="BFC9C3"/>
        </w:tblBorders>
      </w:tblPr>
      <w:tblGrid>
        <w:gridCol w:w="5083"/>
        <w:gridCol w:w="5083"/>
      </w:tblGrid>
      <w:tr>
        <w:trPr>
          <w:tblHeader w:val="true"/>
          <w:cantSplit/>
        </w:trPr>
        <w:tc>
          <w:tcPr>
            <w:tcW w:type="dxa" w:w="1224"/>
            <w:shd w:fill="10261C"/>
            <w:tcMar>
              <w:top w:w="70" w:type="dxa"/>
              <w:start w:w="70" w:type="dxa"/>
              <w:bottom w:w="70" w:type="dxa"/>
              <w:end w:w="70" w:type="dxa"/>
            </w:tcMar>
            <w:vAlign w:val="center"/>
          </w:tcPr>
          <w:p>
            <w:pPr>
              <w:spacing w:after="0"/>
            </w:pPr>
            <w:r>
              <w:rPr>
                <w:b/>
                <w:color w:val="FFFFFF"/>
                <w:sz w:val="16"/>
              </w:rPr>
              <w:t>Rule</w:t>
            </w:r>
          </w:p>
        </w:tc>
        <w:tc>
          <w:tcPr>
            <w:tcW w:type="dxa" w:w="8856"/>
            <w:shd w:fill="10261C"/>
            <w:tcMar>
              <w:top w:w="70" w:type="dxa"/>
              <w:start w:w="70" w:type="dxa"/>
              <w:bottom w:w="70" w:type="dxa"/>
              <w:end w:w="70" w:type="dxa"/>
            </w:tcMar>
            <w:vAlign w:val="center"/>
          </w:tcPr>
          <w:p>
            <w:pPr>
              <w:spacing w:after="0"/>
            </w:pPr>
            <w:r>
              <w:rPr>
                <w:b/>
                <w:color w:val="FFFFFF"/>
                <w:sz w:val="16"/>
              </w:rPr>
              <w:t>Invariant</w:t>
            </w:r>
          </w:p>
        </w:tc>
      </w:tr>
      <w:tr>
        <w:trPr>
          <w:cantSplit/>
        </w:trPr>
        <w:tc>
          <w:tcPr>
            <w:tcW w:type="dxa" w:w="1224"/>
            <w:tcMar>
              <w:top w:w="58" w:type="dxa"/>
              <w:start w:w="65" w:type="dxa"/>
              <w:bottom w:w="58" w:type="dxa"/>
              <w:end w:w="65" w:type="dxa"/>
            </w:tcMar>
            <w:shd w:fill="F8FAF9"/>
            <w:vAlign w:val="center"/>
          </w:tcPr>
          <w:p>
            <w:pPr>
              <w:pStyle w:val="MMTableText"/>
              <w:spacing w:after="0"/>
            </w:pPr>
            <w:r>
              <w:rPr>
                <w:sz w:val="16"/>
              </w:rPr>
              <w:t>D-001</w:t>
            </w:r>
          </w:p>
        </w:tc>
        <w:tc>
          <w:tcPr>
            <w:tcW w:type="dxa" w:w="8856"/>
            <w:tcMar>
              <w:top w:w="58" w:type="dxa"/>
              <w:start w:w="65" w:type="dxa"/>
              <w:bottom w:w="58" w:type="dxa"/>
              <w:end w:w="65" w:type="dxa"/>
            </w:tcMar>
            <w:shd w:fill="F8FAF9"/>
            <w:vAlign w:val="center"/>
          </w:tcPr>
          <w:p>
            <w:pPr>
              <w:pStyle w:val="MMTableText"/>
              <w:spacing w:after="0"/>
            </w:pPr>
            <w:r>
              <w:rPr>
                <w:sz w:val="16"/>
              </w:rPr>
              <w:t>Transaction amount is nonzero unless a provider removal/tombstone record is stored separately.</w:t>
            </w:r>
          </w:p>
        </w:tc>
      </w:tr>
      <w:tr>
        <w:trPr>
          <w:cantSplit/>
        </w:trPr>
        <w:tc>
          <w:tcPr>
            <w:tcW w:type="dxa" w:w="1224"/>
            <w:tcMar>
              <w:top w:w="58" w:type="dxa"/>
              <w:start w:w="65" w:type="dxa"/>
              <w:bottom w:w="58" w:type="dxa"/>
              <w:end w:w="65" w:type="dxa"/>
            </w:tcMar>
            <w:vAlign w:val="center"/>
          </w:tcPr>
          <w:p>
            <w:pPr>
              <w:pStyle w:val="MMTableText"/>
              <w:spacing w:after="0"/>
            </w:pPr>
            <w:r>
              <w:rPr>
                <w:sz w:val="16"/>
              </w:rPr>
              <w:t>D-002</w:t>
            </w:r>
          </w:p>
        </w:tc>
        <w:tc>
          <w:tcPr>
            <w:tcW w:type="dxa" w:w="8856"/>
            <w:tcMar>
              <w:top w:w="58" w:type="dxa"/>
              <w:start w:w="65" w:type="dxa"/>
              <w:bottom w:w="58" w:type="dxa"/>
              <w:end w:w="65" w:type="dxa"/>
            </w:tcMar>
            <w:vAlign w:val="center"/>
          </w:tcPr>
          <w:p>
            <w:pPr>
              <w:pStyle w:val="MMTableText"/>
              <w:spacing w:after="0"/>
            </w:pPr>
            <w:r>
              <w:rPr>
                <w:sz w:val="16"/>
              </w:rPr>
              <w:t>Every transaction references an existing account, including the explicit Unknown account.</w:t>
            </w:r>
          </w:p>
        </w:tc>
      </w:tr>
      <w:tr>
        <w:trPr>
          <w:cantSplit/>
        </w:trPr>
        <w:tc>
          <w:tcPr>
            <w:tcW w:type="dxa" w:w="1224"/>
            <w:tcMar>
              <w:top w:w="58" w:type="dxa"/>
              <w:start w:w="65" w:type="dxa"/>
              <w:bottom w:w="58" w:type="dxa"/>
              <w:end w:w="65" w:type="dxa"/>
            </w:tcMar>
            <w:shd w:fill="F8FAF9"/>
            <w:vAlign w:val="center"/>
          </w:tcPr>
          <w:p>
            <w:pPr>
              <w:pStyle w:val="MMTableText"/>
              <w:spacing w:after="0"/>
            </w:pPr>
            <w:r>
              <w:rPr>
                <w:sz w:val="16"/>
              </w:rPr>
              <w:t>D-003</w:t>
            </w:r>
          </w:p>
        </w:tc>
        <w:tc>
          <w:tcPr>
            <w:tcW w:type="dxa" w:w="8856"/>
            <w:tcMar>
              <w:top w:w="58" w:type="dxa"/>
              <w:start w:w="65" w:type="dxa"/>
              <w:bottom w:w="58" w:type="dxa"/>
              <w:end w:w="65" w:type="dxa"/>
            </w:tcMar>
            <w:shd w:fill="F8FAF9"/>
            <w:vAlign w:val="center"/>
          </w:tcPr>
          <w:p>
            <w:pPr>
              <w:pStyle w:val="MMTableText"/>
              <w:spacing w:after="0"/>
            </w:pPr>
            <w:r>
              <w:rPr>
                <w:sz w:val="16"/>
              </w:rPr>
              <w:t>Finalized expense allocations sum to the absolute transaction amount in cents.</w:t>
            </w:r>
          </w:p>
        </w:tc>
      </w:tr>
      <w:tr>
        <w:trPr>
          <w:cantSplit/>
        </w:trPr>
        <w:tc>
          <w:tcPr>
            <w:tcW w:type="dxa" w:w="1224"/>
            <w:tcMar>
              <w:top w:w="58" w:type="dxa"/>
              <w:start w:w="65" w:type="dxa"/>
              <w:bottom w:w="58" w:type="dxa"/>
              <w:end w:w="65" w:type="dxa"/>
            </w:tcMar>
            <w:vAlign w:val="center"/>
          </w:tcPr>
          <w:p>
            <w:pPr>
              <w:pStyle w:val="MMTableText"/>
              <w:spacing w:after="0"/>
            </w:pPr>
            <w:r>
              <w:rPr>
                <w:sz w:val="16"/>
              </w:rPr>
              <w:t>D-004</w:t>
            </w:r>
          </w:p>
        </w:tc>
        <w:tc>
          <w:tcPr>
            <w:tcW w:type="dxa" w:w="8856"/>
            <w:tcMar>
              <w:top w:w="58" w:type="dxa"/>
              <w:start w:w="65" w:type="dxa"/>
              <w:bottom w:w="58" w:type="dxa"/>
              <w:end w:w="65" w:type="dxa"/>
            </w:tcMar>
            <w:vAlign w:val="center"/>
          </w:tcPr>
          <w:p>
            <w:pPr>
              <w:pStyle w:val="MMTableText"/>
              <w:spacing w:after="0"/>
            </w:pPr>
            <w:r>
              <w:rPr>
                <w:sz w:val="16"/>
              </w:rPr>
              <w:t>A bucket parent depth cannot exceed one.</w:t>
            </w:r>
          </w:p>
        </w:tc>
      </w:tr>
      <w:tr>
        <w:trPr>
          <w:cantSplit/>
        </w:trPr>
        <w:tc>
          <w:tcPr>
            <w:tcW w:type="dxa" w:w="1224"/>
            <w:tcMar>
              <w:top w:w="58" w:type="dxa"/>
              <w:start w:w="65" w:type="dxa"/>
              <w:bottom w:w="58" w:type="dxa"/>
              <w:end w:w="65" w:type="dxa"/>
            </w:tcMar>
            <w:shd w:fill="F8FAF9"/>
            <w:vAlign w:val="center"/>
          </w:tcPr>
          <w:p>
            <w:pPr>
              <w:pStyle w:val="MMTableText"/>
              <w:spacing w:after="0"/>
            </w:pPr>
            <w:r>
              <w:rPr>
                <w:sz w:val="16"/>
              </w:rPr>
              <w:t>D-005</w:t>
            </w:r>
          </w:p>
        </w:tc>
        <w:tc>
          <w:tcPr>
            <w:tcW w:type="dxa" w:w="8856"/>
            <w:tcMar>
              <w:top w:w="58" w:type="dxa"/>
              <w:start w:w="65" w:type="dxa"/>
              <w:bottom w:w="58" w:type="dxa"/>
              <w:end w:w="65" w:type="dxa"/>
            </w:tcMar>
            <w:shd w:fill="F8FAF9"/>
            <w:vAlign w:val="center"/>
          </w:tcPr>
          <w:p>
            <w:pPr>
              <w:pStyle w:val="MMTableText"/>
              <w:spacing w:after="0"/>
            </w:pPr>
            <w:r>
              <w:rPr>
                <w:sz w:val="16"/>
              </w:rPr>
              <w:t>Archived buckets may be referenced historically but not assigned by default.</w:t>
            </w:r>
          </w:p>
        </w:tc>
      </w:tr>
      <w:tr>
        <w:trPr>
          <w:cantSplit/>
        </w:trPr>
        <w:tc>
          <w:tcPr>
            <w:tcW w:type="dxa" w:w="1224"/>
            <w:tcMar>
              <w:top w:w="58" w:type="dxa"/>
              <w:start w:w="65" w:type="dxa"/>
              <w:bottom w:w="58" w:type="dxa"/>
              <w:end w:w="65" w:type="dxa"/>
            </w:tcMar>
            <w:vAlign w:val="center"/>
          </w:tcPr>
          <w:p>
            <w:pPr>
              <w:pStyle w:val="MMTableText"/>
              <w:spacing w:after="0"/>
            </w:pPr>
            <w:r>
              <w:rPr>
                <w:sz w:val="16"/>
              </w:rPr>
              <w:t>D-006</w:t>
            </w:r>
          </w:p>
        </w:tc>
        <w:tc>
          <w:tcPr>
            <w:tcW w:type="dxa" w:w="8856"/>
            <w:tcMar>
              <w:top w:w="58" w:type="dxa"/>
              <w:start w:w="65" w:type="dxa"/>
              <w:bottom w:w="58" w:type="dxa"/>
              <w:end w:w="65" w:type="dxa"/>
            </w:tcMar>
            <w:vAlign w:val="center"/>
          </w:tcPr>
          <w:p>
            <w:pPr>
              <w:pStyle w:val="MMTableText"/>
              <w:spacing w:after="0"/>
            </w:pPr>
            <w:r>
              <w:rPr>
                <w:sz w:val="16"/>
              </w:rPr>
              <w:t>User-owned interpretation fields are never replaced by an import adapter.</w:t>
            </w:r>
          </w:p>
        </w:tc>
      </w:tr>
      <w:tr>
        <w:trPr>
          <w:cantSplit/>
        </w:trPr>
        <w:tc>
          <w:tcPr>
            <w:tcW w:type="dxa" w:w="1224"/>
            <w:tcMar>
              <w:top w:w="58" w:type="dxa"/>
              <w:start w:w="65" w:type="dxa"/>
              <w:bottom w:w="58" w:type="dxa"/>
              <w:end w:w="65" w:type="dxa"/>
            </w:tcMar>
            <w:shd w:fill="F8FAF9"/>
            <w:vAlign w:val="center"/>
          </w:tcPr>
          <w:p>
            <w:pPr>
              <w:pStyle w:val="MMTableText"/>
              <w:spacing w:after="0"/>
            </w:pPr>
            <w:r>
              <w:rPr>
                <w:sz w:val="16"/>
              </w:rPr>
              <w:t>D-007</w:t>
            </w:r>
          </w:p>
        </w:tc>
        <w:tc>
          <w:tcPr>
            <w:tcW w:type="dxa" w:w="8856"/>
            <w:tcMar>
              <w:top w:w="58" w:type="dxa"/>
              <w:start w:w="65" w:type="dxa"/>
              <w:bottom w:w="58" w:type="dxa"/>
              <w:end w:w="65" w:type="dxa"/>
            </w:tcMar>
            <w:shd w:fill="F8FAF9"/>
            <w:vAlign w:val="center"/>
          </w:tcPr>
          <w:p>
            <w:pPr>
              <w:pStyle w:val="MMTableText"/>
              <w:spacing w:after="0"/>
            </w:pPr>
            <w:r>
              <w:rPr>
                <w:sz w:val="16"/>
              </w:rPr>
              <w:t>Claim expected amount equals the sum of claim-allocation links plus explicit adjustments.</w:t>
            </w:r>
          </w:p>
        </w:tc>
      </w:tr>
      <w:tr>
        <w:trPr>
          <w:cantSplit/>
        </w:trPr>
        <w:tc>
          <w:tcPr>
            <w:tcW w:type="dxa" w:w="1224"/>
            <w:tcMar>
              <w:top w:w="58" w:type="dxa"/>
              <w:start w:w="65" w:type="dxa"/>
              <w:bottom w:w="58" w:type="dxa"/>
              <w:end w:w="65" w:type="dxa"/>
            </w:tcMar>
            <w:vAlign w:val="center"/>
          </w:tcPr>
          <w:p>
            <w:pPr>
              <w:pStyle w:val="MMTableText"/>
              <w:spacing w:after="0"/>
            </w:pPr>
            <w:r>
              <w:rPr>
                <w:sz w:val="16"/>
              </w:rPr>
              <w:t>D-008</w:t>
            </w:r>
          </w:p>
        </w:tc>
        <w:tc>
          <w:tcPr>
            <w:tcW w:type="dxa" w:w="8856"/>
            <w:tcMar>
              <w:top w:w="58" w:type="dxa"/>
              <w:start w:w="65" w:type="dxa"/>
              <w:bottom w:w="58" w:type="dxa"/>
              <w:end w:w="65" w:type="dxa"/>
            </w:tcMar>
            <w:vAlign w:val="center"/>
          </w:tcPr>
          <w:p>
            <w:pPr>
              <w:pStyle w:val="MMTableText"/>
              <w:spacing w:after="0"/>
            </w:pPr>
            <w:r>
              <w:rPr>
                <w:sz w:val="16"/>
              </w:rPr>
              <w:t>Claim received amount equals the sum of repayment links.</w:t>
            </w:r>
          </w:p>
        </w:tc>
      </w:tr>
      <w:tr>
        <w:trPr>
          <w:cantSplit/>
        </w:trPr>
        <w:tc>
          <w:tcPr>
            <w:tcW w:type="dxa" w:w="1224"/>
            <w:tcMar>
              <w:top w:w="58" w:type="dxa"/>
              <w:start w:w="65" w:type="dxa"/>
              <w:bottom w:w="58" w:type="dxa"/>
              <w:end w:w="65" w:type="dxa"/>
            </w:tcMar>
            <w:shd w:fill="F8FAF9"/>
            <w:vAlign w:val="center"/>
          </w:tcPr>
          <w:p>
            <w:pPr>
              <w:pStyle w:val="MMTableText"/>
              <w:spacing w:after="0"/>
            </w:pPr>
            <w:r>
              <w:rPr>
                <w:sz w:val="16"/>
              </w:rPr>
              <w:t>D-009</w:t>
            </w:r>
          </w:p>
        </w:tc>
        <w:tc>
          <w:tcPr>
            <w:tcW w:type="dxa" w:w="8856"/>
            <w:tcMar>
              <w:top w:w="58" w:type="dxa"/>
              <w:start w:w="65" w:type="dxa"/>
              <w:bottom w:w="58" w:type="dxa"/>
              <w:end w:w="65" w:type="dxa"/>
            </w:tcMar>
            <w:shd w:fill="F8FAF9"/>
            <w:vAlign w:val="center"/>
          </w:tcPr>
          <w:p>
            <w:pPr>
              <w:pStyle w:val="MMTableText"/>
              <w:spacing w:after="0"/>
            </w:pPr>
            <w:r>
              <w:rPr>
                <w:sz w:val="16"/>
              </w:rPr>
              <w:t>Claim outstanding amount never displays below zero; overpayment is represented separately.</w:t>
            </w:r>
          </w:p>
        </w:tc>
      </w:tr>
      <w:tr>
        <w:trPr>
          <w:cantSplit/>
        </w:trPr>
        <w:tc>
          <w:tcPr>
            <w:tcW w:type="dxa" w:w="1224"/>
            <w:tcMar>
              <w:top w:w="58" w:type="dxa"/>
              <w:start w:w="65" w:type="dxa"/>
              <w:bottom w:w="58" w:type="dxa"/>
              <w:end w:w="65" w:type="dxa"/>
            </w:tcMar>
            <w:vAlign w:val="center"/>
          </w:tcPr>
          <w:p>
            <w:pPr>
              <w:pStyle w:val="MMTableText"/>
              <w:spacing w:after="0"/>
            </w:pPr>
            <w:r>
              <w:rPr>
                <w:sz w:val="16"/>
              </w:rPr>
              <w:t>D-010</w:t>
            </w:r>
          </w:p>
        </w:tc>
        <w:tc>
          <w:tcPr>
            <w:tcW w:type="dxa" w:w="8856"/>
            <w:tcMar>
              <w:top w:w="58" w:type="dxa"/>
              <w:start w:w="65" w:type="dxa"/>
              <w:bottom w:w="58" w:type="dxa"/>
              <w:end w:w="65" w:type="dxa"/>
            </w:tcMar>
            <w:vAlign w:val="center"/>
          </w:tcPr>
          <w:p>
            <w:pPr>
              <w:pStyle w:val="MMTableText"/>
              <w:spacing w:after="0"/>
            </w:pPr>
            <w:r>
              <w:rPr>
                <w:sz w:val="16"/>
              </w:rPr>
              <w:t>A repayment transaction may be linked across claims only up to its available amount.</w:t>
            </w:r>
          </w:p>
        </w:tc>
      </w:tr>
      <w:tr>
        <w:trPr>
          <w:cantSplit/>
        </w:trPr>
        <w:tc>
          <w:tcPr>
            <w:tcW w:type="dxa" w:w="1224"/>
            <w:tcMar>
              <w:top w:w="58" w:type="dxa"/>
              <w:start w:w="65" w:type="dxa"/>
              <w:bottom w:w="58" w:type="dxa"/>
              <w:end w:w="65" w:type="dxa"/>
            </w:tcMar>
            <w:shd w:fill="F8FAF9"/>
            <w:vAlign w:val="center"/>
          </w:tcPr>
          <w:p>
            <w:pPr>
              <w:pStyle w:val="MMTableText"/>
              <w:spacing w:after="0"/>
            </w:pPr>
            <w:r>
              <w:rPr>
                <w:sz w:val="16"/>
              </w:rPr>
              <w:t>D-011</w:t>
            </w:r>
          </w:p>
        </w:tc>
        <w:tc>
          <w:tcPr>
            <w:tcW w:type="dxa" w:w="8856"/>
            <w:tcMar>
              <w:top w:w="58" w:type="dxa"/>
              <w:start w:w="65" w:type="dxa"/>
              <w:bottom w:w="58" w:type="dxa"/>
              <w:end w:w="65" w:type="dxa"/>
            </w:tcMar>
            <w:shd w:fill="F8FAF9"/>
            <w:vAlign w:val="center"/>
          </w:tcPr>
          <w:p>
            <w:pPr>
              <w:pStyle w:val="MMTableText"/>
              <w:spacing w:after="0"/>
            </w:pPr>
            <w:r>
              <w:rPr>
                <w:sz w:val="16"/>
              </w:rPr>
              <w:t>A refund transaction may reverse allocations only up to its available amount.</w:t>
            </w:r>
          </w:p>
        </w:tc>
      </w:tr>
      <w:tr>
        <w:trPr>
          <w:cantSplit/>
        </w:trPr>
        <w:tc>
          <w:tcPr>
            <w:tcW w:type="dxa" w:w="1224"/>
            <w:tcMar>
              <w:top w:w="58" w:type="dxa"/>
              <w:start w:w="65" w:type="dxa"/>
              <w:bottom w:w="58" w:type="dxa"/>
              <w:end w:w="65" w:type="dxa"/>
            </w:tcMar>
            <w:vAlign w:val="center"/>
          </w:tcPr>
          <w:p>
            <w:pPr>
              <w:pStyle w:val="MMTableText"/>
              <w:spacing w:after="0"/>
            </w:pPr>
            <w:r>
              <w:rPr>
                <w:sz w:val="16"/>
              </w:rPr>
              <w:t>D-012</w:t>
            </w:r>
          </w:p>
        </w:tc>
        <w:tc>
          <w:tcPr>
            <w:tcW w:type="dxa" w:w="8856"/>
            <w:tcMar>
              <w:top w:w="58" w:type="dxa"/>
              <w:start w:w="65" w:type="dxa"/>
              <w:bottom w:w="58" w:type="dxa"/>
              <w:end w:w="65" w:type="dxa"/>
            </w:tcMar>
            <w:vAlign w:val="center"/>
          </w:tcPr>
          <w:p>
            <w:pPr>
              <w:pStyle w:val="MMTableText"/>
              <w:spacing w:after="0"/>
            </w:pPr>
            <w:r>
              <w:rPr>
                <w:sz w:val="16"/>
              </w:rPr>
              <w:t>Internal transfer and debt payment movements contribute zero to spending and earned income.</w:t>
            </w:r>
          </w:p>
        </w:tc>
      </w:tr>
      <w:tr>
        <w:trPr>
          <w:cantSplit/>
        </w:trPr>
        <w:tc>
          <w:tcPr>
            <w:tcW w:type="dxa" w:w="1224"/>
            <w:tcMar>
              <w:top w:w="58" w:type="dxa"/>
              <w:start w:w="65" w:type="dxa"/>
              <w:bottom w:w="58" w:type="dxa"/>
              <w:end w:w="65" w:type="dxa"/>
            </w:tcMar>
            <w:shd w:fill="F8FAF9"/>
            <w:vAlign w:val="center"/>
          </w:tcPr>
          <w:p>
            <w:pPr>
              <w:pStyle w:val="MMTableText"/>
              <w:spacing w:after="0"/>
            </w:pPr>
            <w:r>
              <w:rPr>
                <w:sz w:val="16"/>
              </w:rPr>
              <w:t>D-013</w:t>
            </w:r>
          </w:p>
        </w:tc>
        <w:tc>
          <w:tcPr>
            <w:tcW w:type="dxa" w:w="8856"/>
            <w:tcMar>
              <w:top w:w="58" w:type="dxa"/>
              <w:start w:w="65" w:type="dxa"/>
              <w:bottom w:w="58" w:type="dxa"/>
              <w:end w:w="65" w:type="dxa"/>
            </w:tcMar>
            <w:shd w:fill="F8FAF9"/>
            <w:vAlign w:val="center"/>
          </w:tcPr>
          <w:p>
            <w:pPr>
              <w:pStyle w:val="MMTableText"/>
              <w:spacing w:after="0"/>
            </w:pPr>
            <w:r>
              <w:rPr>
                <w:sz w:val="16"/>
              </w:rPr>
              <w:t>Unclassified inflows contribute zero to earned income until reviewed.</w:t>
            </w:r>
          </w:p>
        </w:tc>
      </w:tr>
      <w:tr>
        <w:trPr>
          <w:cantSplit/>
        </w:trPr>
        <w:tc>
          <w:tcPr>
            <w:tcW w:type="dxa" w:w="1224"/>
            <w:tcMar>
              <w:top w:w="58" w:type="dxa"/>
              <w:start w:w="65" w:type="dxa"/>
              <w:bottom w:w="58" w:type="dxa"/>
              <w:end w:w="65" w:type="dxa"/>
            </w:tcMar>
            <w:vAlign w:val="center"/>
          </w:tcPr>
          <w:p>
            <w:pPr>
              <w:pStyle w:val="MMTableText"/>
              <w:spacing w:after="0"/>
            </w:pPr>
            <w:r>
              <w:rPr>
                <w:sz w:val="16"/>
              </w:rPr>
              <w:t>D-014</w:t>
            </w:r>
          </w:p>
        </w:tc>
        <w:tc>
          <w:tcPr>
            <w:tcW w:type="dxa" w:w="8856"/>
            <w:tcMar>
              <w:top w:w="58" w:type="dxa"/>
              <w:start w:w="65" w:type="dxa"/>
              <w:bottom w:w="58" w:type="dxa"/>
              <w:end w:w="65" w:type="dxa"/>
            </w:tcMar>
            <w:vAlign w:val="center"/>
          </w:tcPr>
          <w:p>
            <w:pPr>
              <w:pStyle w:val="MMTableText"/>
              <w:spacing w:after="0"/>
            </w:pPr>
            <w:r>
              <w:rPr>
                <w:sz w:val="16"/>
              </w:rPr>
              <w:t>Raw provider/import fields remain immutable; corrections use normalized/user override fields.</w:t>
            </w:r>
          </w:p>
        </w:tc>
      </w:tr>
      <w:tr>
        <w:trPr>
          <w:cantSplit/>
        </w:trPr>
        <w:tc>
          <w:tcPr>
            <w:tcW w:type="dxa" w:w="1224"/>
            <w:tcMar>
              <w:top w:w="58" w:type="dxa"/>
              <w:start w:w="65" w:type="dxa"/>
              <w:bottom w:w="58" w:type="dxa"/>
              <w:end w:w="65" w:type="dxa"/>
            </w:tcMar>
            <w:shd w:fill="F8FAF9"/>
            <w:vAlign w:val="center"/>
          </w:tcPr>
          <w:p>
            <w:pPr>
              <w:pStyle w:val="MMTableText"/>
              <w:spacing w:after="0"/>
            </w:pPr>
            <w:r>
              <w:rPr>
                <w:sz w:val="16"/>
              </w:rPr>
              <w:t>D-015</w:t>
            </w:r>
          </w:p>
        </w:tc>
        <w:tc>
          <w:tcPr>
            <w:tcW w:type="dxa" w:w="8856"/>
            <w:tcMar>
              <w:top w:w="58" w:type="dxa"/>
              <w:start w:w="65" w:type="dxa"/>
              <w:bottom w:w="58" w:type="dxa"/>
              <w:end w:w="65" w:type="dxa"/>
            </w:tcMar>
            <w:shd w:fill="F8FAF9"/>
            <w:vAlign w:val="center"/>
          </w:tcPr>
          <w:p>
            <w:pPr>
              <w:pStyle w:val="MMTableText"/>
              <w:spacing w:after="0"/>
            </w:pPr>
            <w:r>
              <w:rPr>
                <w:sz w:val="16"/>
              </w:rPr>
              <w:t>Every meaning-changing mutation creates an audit event.</w:t>
            </w:r>
          </w:p>
        </w:tc>
      </w:tr>
      <w:tr>
        <w:trPr>
          <w:cantSplit/>
        </w:trPr>
        <w:tc>
          <w:tcPr>
            <w:tcW w:type="dxa" w:w="1224"/>
            <w:tcMar>
              <w:top w:w="58" w:type="dxa"/>
              <w:start w:w="65" w:type="dxa"/>
              <w:bottom w:w="58" w:type="dxa"/>
              <w:end w:w="65" w:type="dxa"/>
            </w:tcMar>
            <w:vAlign w:val="center"/>
          </w:tcPr>
          <w:p>
            <w:pPr>
              <w:pStyle w:val="MMTableText"/>
              <w:spacing w:after="0"/>
            </w:pPr>
            <w:r>
              <w:rPr>
                <w:sz w:val="16"/>
              </w:rPr>
              <w:t>D-016</w:t>
            </w:r>
          </w:p>
        </w:tc>
        <w:tc>
          <w:tcPr>
            <w:tcW w:type="dxa" w:w="8856"/>
            <w:tcMar>
              <w:top w:w="58" w:type="dxa"/>
              <w:start w:w="65" w:type="dxa"/>
              <w:bottom w:w="58" w:type="dxa"/>
              <w:end w:w="65" w:type="dxa"/>
            </w:tcMar>
            <w:vAlign w:val="center"/>
          </w:tcPr>
          <w:p>
            <w:pPr>
              <w:pStyle w:val="MMTableText"/>
              <w:spacing w:after="0"/>
            </w:pPr>
            <w:r>
              <w:rPr>
                <w:sz w:val="16"/>
              </w:rPr>
              <w:t>Restore and migration are atomic: active data remains valid on failure.</w:t>
            </w:r>
          </w:p>
        </w:tc>
      </w:tr>
      <w:tr>
        <w:trPr>
          <w:cantSplit/>
        </w:trPr>
        <w:tc>
          <w:tcPr>
            <w:tcW w:type="dxa" w:w="1224"/>
            <w:tcMar>
              <w:top w:w="58" w:type="dxa"/>
              <w:start w:w="65" w:type="dxa"/>
              <w:bottom w:w="58" w:type="dxa"/>
              <w:end w:w="65" w:type="dxa"/>
            </w:tcMar>
            <w:shd w:fill="F8FAF9"/>
            <w:vAlign w:val="center"/>
          </w:tcPr>
          <w:p>
            <w:pPr>
              <w:pStyle w:val="MMTableText"/>
              <w:spacing w:after="0"/>
            </w:pPr>
            <w:r>
              <w:rPr>
                <w:sz w:val="16"/>
              </w:rPr>
              <w:t>D-017</w:t>
            </w:r>
          </w:p>
        </w:tc>
        <w:tc>
          <w:tcPr>
            <w:tcW w:type="dxa" w:w="8856"/>
            <w:tcMar>
              <w:top w:w="58" w:type="dxa"/>
              <w:start w:w="65" w:type="dxa"/>
              <w:bottom w:w="58" w:type="dxa"/>
              <w:end w:w="65" w:type="dxa"/>
            </w:tcMar>
            <w:shd w:fill="F8FAF9"/>
            <w:vAlign w:val="center"/>
          </w:tcPr>
          <w:p>
            <w:pPr>
              <w:pStyle w:val="MMTableText"/>
              <w:spacing w:after="0"/>
            </w:pPr>
            <w:r>
              <w:rPr>
                <w:sz w:val="16"/>
              </w:rPr>
              <w:t>Plain exports require explicit confirmation.</w:t>
            </w:r>
          </w:p>
        </w:tc>
      </w:tr>
      <w:tr>
        <w:trPr>
          <w:cantSplit/>
        </w:trPr>
        <w:tc>
          <w:tcPr>
            <w:tcW w:type="dxa" w:w="1224"/>
            <w:tcMar>
              <w:top w:w="58" w:type="dxa"/>
              <w:start w:w="65" w:type="dxa"/>
              <w:bottom w:w="58" w:type="dxa"/>
              <w:end w:w="65" w:type="dxa"/>
            </w:tcMar>
            <w:vAlign w:val="center"/>
          </w:tcPr>
          <w:p>
            <w:pPr>
              <w:pStyle w:val="MMTableText"/>
              <w:spacing w:after="0"/>
            </w:pPr>
            <w:r>
              <w:rPr>
                <w:sz w:val="16"/>
              </w:rPr>
              <w:t>D-018</w:t>
            </w:r>
          </w:p>
        </w:tc>
        <w:tc>
          <w:tcPr>
            <w:tcW w:type="dxa" w:w="8856"/>
            <w:tcMar>
              <w:top w:w="58" w:type="dxa"/>
              <w:start w:w="65" w:type="dxa"/>
              <w:bottom w:w="58" w:type="dxa"/>
              <w:end w:w="65" w:type="dxa"/>
            </w:tcMar>
            <w:vAlign w:val="center"/>
          </w:tcPr>
          <w:p>
            <w:pPr>
              <w:pStyle w:val="MMTableText"/>
              <w:spacing w:after="0"/>
            </w:pPr>
            <w:r>
              <w:rPr>
                <w:sz w:val="16"/>
              </w:rPr>
              <w:t>Unknown location is stored as null/unavailable, never as an inferred merchant headquarters.</w:t>
            </w:r>
          </w:p>
        </w:tc>
      </w:tr>
      <w:tr>
        <w:trPr>
          <w:cantSplit/>
        </w:trPr>
        <w:tc>
          <w:tcPr>
            <w:tcW w:type="dxa" w:w="1224"/>
            <w:tcMar>
              <w:top w:w="58" w:type="dxa"/>
              <w:start w:w="65" w:type="dxa"/>
              <w:bottom w:w="58" w:type="dxa"/>
              <w:end w:w="65" w:type="dxa"/>
            </w:tcMar>
            <w:shd w:fill="F8FAF9"/>
            <w:vAlign w:val="center"/>
          </w:tcPr>
          <w:p>
            <w:pPr>
              <w:pStyle w:val="MMTableText"/>
              <w:spacing w:after="0"/>
            </w:pPr>
            <w:r>
              <w:rPr>
                <w:sz w:val="16"/>
              </w:rPr>
              <w:t>D-019</w:t>
            </w:r>
          </w:p>
        </w:tc>
        <w:tc>
          <w:tcPr>
            <w:tcW w:type="dxa" w:w="8856"/>
            <w:tcMar>
              <w:top w:w="58" w:type="dxa"/>
              <w:start w:w="65" w:type="dxa"/>
              <w:bottom w:w="58" w:type="dxa"/>
              <w:end w:w="65" w:type="dxa"/>
            </w:tcMar>
            <w:shd w:fill="F8FAF9"/>
            <w:vAlign w:val="center"/>
          </w:tcPr>
          <w:p>
            <w:pPr>
              <w:pStyle w:val="MMTableText"/>
              <w:spacing w:after="0"/>
            </w:pPr>
            <w:r>
              <w:rPr>
                <w:sz w:val="16"/>
              </w:rPr>
              <w:t>Every report includes period and coverage metadata.</w:t>
            </w:r>
          </w:p>
        </w:tc>
      </w:tr>
      <w:tr>
        <w:trPr>
          <w:cantSplit/>
        </w:trPr>
        <w:tc>
          <w:tcPr>
            <w:tcW w:type="dxa" w:w="1224"/>
            <w:tcMar>
              <w:top w:w="58" w:type="dxa"/>
              <w:start w:w="65" w:type="dxa"/>
              <w:bottom w:w="58" w:type="dxa"/>
              <w:end w:w="65" w:type="dxa"/>
            </w:tcMar>
            <w:vAlign w:val="center"/>
          </w:tcPr>
          <w:p>
            <w:pPr>
              <w:pStyle w:val="MMTableText"/>
              <w:spacing w:after="0"/>
            </w:pPr>
            <w:r>
              <w:rPr>
                <w:sz w:val="16"/>
              </w:rPr>
              <w:t>D-020</w:t>
            </w:r>
          </w:p>
        </w:tc>
        <w:tc>
          <w:tcPr>
            <w:tcW w:type="dxa" w:w="8856"/>
            <w:tcMar>
              <w:top w:w="58" w:type="dxa"/>
              <w:start w:w="65" w:type="dxa"/>
              <w:bottom w:w="58" w:type="dxa"/>
              <w:end w:w="65" w:type="dxa"/>
            </w:tcMar>
            <w:vAlign w:val="center"/>
          </w:tcPr>
          <w:p>
            <w:pPr>
              <w:pStyle w:val="MMTableText"/>
              <w:spacing w:after="0"/>
            </w:pPr>
            <w:r>
              <w:rPr>
                <w:sz w:val="16"/>
              </w:rPr>
              <w:t>Legacy V1 aggregate actuals are never represented as transaction-complete history.</w:t>
            </w:r>
          </w:p>
        </w:tc>
      </w:tr>
    </w:tbl>
    <w:p>
      <w:pPr>
        <w:spacing w:after="0"/>
      </w:pPr>
    </w:p>
    <w:p>
      <w:pPr>
        <w:pStyle w:val="Heading2"/>
      </w:pPr>
      <w:r>
        <w:t>D1. Final implementation note</w:t>
      </w:r>
    </w:p>
    <w:tbl>
      <w:tblPr>
        <w:tblW w:type="auto" w:w="0"/>
        <w:jc w:val="center"/>
        <w:tblLook w:firstColumn="1" w:firstRow="1" w:lastColumn="0" w:lastRow="0" w:noHBand="0" w:noVBand="1" w:val="04A0"/>
      </w:tblPr>
      <w:tblGrid>
        <w:gridCol w:w="10166"/>
      </w:tblGrid>
      <w:tr>
        <w:trPr>
          <w:cantSplit/>
        </w:trPr>
        <w:tc>
          <w:tcPr>
            <w:tcW w:type="dxa" w:w="10166"/>
            <w:shd w:fill="FFF0E2"/>
            <w:tcMar>
              <w:top w:w="110" w:type="dxa"/>
              <w:start w:w="130" w:type="dxa"/>
              <w:bottom w:w="105" w:type="dxa"/>
              <w:end w:w="130" w:type="dxa"/>
            </w:tcMar>
            <w:vAlign w:val="center"/>
          </w:tcPr>
          <w:p>
            <w:pPr>
              <w:spacing w:after="60"/>
            </w:pPr>
            <w:r>
              <w:rPr>
                <w:b/>
                <w:color w:val="B86119"/>
              </w:rPr>
              <w:t>No post-V1 feature is implemented yet</w:t>
            </w:r>
          </w:p>
          <w:p>
            <w:pPr>
              <w:pStyle w:val="MMCallout"/>
              <w:spacing w:after="0"/>
            </w:pPr>
            <w:r>
              <w:t>The engineer must begin by verifying the V1 code, approving the open architecture decisions, and creating the V2 foundation. Prototype files or earlier V2 drafts must not be treated as production implementation evidence unless their code is deliberately adopted, tested, and marked complete in the master status matrix.</w:t>
            </w:r>
          </w:p>
        </w:tc>
      </w:tr>
    </w:tbl>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5"/>
        <w:sz w:val="16"/>
      </w:rPr>
      <w:t xml:space="preserve">Money Moves PRD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B65"/>
        <w:sz w:val="16"/>
      </w:rPr>
      <w:t>MONEY MOVES  |  PRODUCT REQUIREMENTS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0261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287A4D"/>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63126"/>
      <w:sz w:val="25"/>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ptos" w:hAnsi="Aptos"/>
      <w:b/>
      <w:bCs/>
      <w:i/>
      <w:iCs/>
      <w:color w:val="6B4C8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0261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i/>
      <w:iCs/>
      <w:color w:val="5F6B6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MSmall">
    <w:name w:val="MM Small"/>
    <w:basedOn w:val="Normal"/>
    <w:pPr>
      <w:spacing w:after="70"/>
    </w:pPr>
    <w:rPr>
      <w:rFonts w:ascii="Aptos" w:hAnsi="Aptos"/>
      <w:b w:val="0"/>
      <w:color w:val="5F6B65"/>
      <w:sz w:val="17"/>
    </w:rPr>
  </w:style>
  <w:style w:type="paragraph" w:customStyle="1" w:styleId="MMCallout">
    <w:name w:val="MM Callout"/>
    <w:basedOn w:val="Normal"/>
    <w:pPr>
      <w:spacing w:after="70"/>
    </w:pPr>
    <w:rPr>
      <w:rFonts w:ascii="Aptos" w:hAnsi="Aptos"/>
      <w:b w:val="0"/>
      <w:color w:val="163126"/>
      <w:sz w:val="20"/>
    </w:rPr>
  </w:style>
  <w:style w:type="paragraph" w:customStyle="1" w:styleId="MMRequirement">
    <w:name w:val="MM Requirement"/>
    <w:basedOn w:val="Normal"/>
    <w:pPr>
      <w:spacing w:after="70"/>
    </w:pPr>
    <w:rPr>
      <w:rFonts w:ascii="Aptos" w:hAnsi="Aptos"/>
      <w:b w:val="0"/>
      <w:color w:val="163126"/>
      <w:sz w:val="20"/>
    </w:rPr>
  </w:style>
  <w:style w:type="paragraph" w:customStyle="1" w:styleId="MMCode">
    <w:name w:val="MM Code"/>
    <w:basedOn w:val="Normal"/>
    <w:pPr>
      <w:spacing w:after="70"/>
    </w:pPr>
    <w:rPr>
      <w:rFonts w:ascii="Aptos Mono" w:hAnsi="Aptos Mono"/>
      <w:b w:val="0"/>
      <w:color w:val="10261C"/>
      <w:sz w:val="17"/>
    </w:rPr>
  </w:style>
  <w:style w:type="paragraph" w:customStyle="1" w:styleId="MMTableText">
    <w:name w:val="MM Table Text"/>
    <w:basedOn w:val="Normal"/>
    <w:pPr>
      <w:spacing w:after="70"/>
    </w:pPr>
    <w:rPr>
      <w:rFonts w:ascii="Aptos" w:hAnsi="Aptos"/>
      <w:b w:val="0"/>
      <w:color w:val="16312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 Moves Product Requirements and Architecture Document</dc:title>
  <dc:subject>V1 current-state audit and V2 implementation specification</dc:subject>
  <dc:creator>Money Moves Product Team</dc:creator>
  <cp:keywords>Money Moves, PRD, personal finance, transactions, reimbursements, Plaid, local-first</cp:keywords>
  <dc:description>Only V1 is implemented. V2 and Plaid features require implementation.</dc:description>
  <cp:lastModifiedBy/>
  <cp:revision>1</cp:revision>
  <dcterms:created xsi:type="dcterms:W3CDTF">2013-12-23T23:15:00Z</dcterms:created>
  <dcterms:modified xsi:type="dcterms:W3CDTF">2013-12-23T23:15:00Z</dcterms:modified>
  <cp:category/>
</cp:coreProperties>
</file>