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sz w:val="22"/>
          <w:szCs w:val="22"/>
        </w:rPr>
        <w:t xml:space="preserve"/>
      </w:r>
    </w:p>
    <w:p>
      <w:pPr>
        <w:jc w:val="center"/>
      </w:pPr>
      <w:r>
        <w:rPr>
          <w:rFonts w:ascii="Arial" w:cs="Arial" w:eastAsia="Arial" w:hAnsi="Arial"/>
          <w:b/>
          <w:bCs/>
          <w:color w:val="4B0082"/>
          <w:sz w:val="64"/>
          <w:szCs w:val="64"/>
        </w:rPr>
        <w:t xml:space="preserve">AeroNet Lite</w:t>
      </w:r>
    </w:p>
    <w:p>
      <w:pPr>
        <w:spacing w:after="120" w:before="120"/>
        <w:jc w:val="center"/>
      </w:pPr>
      <w:r>
        <w:rPr>
          <w:rFonts w:ascii="Arial" w:cs="Arial" w:eastAsia="Arial" w:hAnsi="Arial"/>
          <w:color w:val="7B2FBE"/>
          <w:sz w:val="36"/>
          <w:szCs w:val="36"/>
        </w:rPr>
        <w:t xml:space="preserve">Autonomous Drone Delivery Simulation</w:t>
      </w:r>
    </w:p>
    <w:p>
      <w:pPr>
        <w:spacing w:after="400" w:before="60"/>
        <w:jc w:val="center"/>
      </w:pPr>
      <w:r>
        <w:rPr>
          <w:rFonts w:ascii="Arial" w:cs="Arial" w:eastAsia="Arial" w:hAnsi="Arial"/>
          <w:i/>
          <w:iCs/>
          <w:color w:val="757575"/>
          <w:sz w:val="24"/>
          <w:szCs w:val="24"/>
        </w:rPr>
        <w:t xml:space="preserve">BS Data Science — AI Semester Project SP2026</w:t>
      </w:r>
    </w:p>
    <w:p>
      <w:pPr>
        <w:jc w:val="center"/>
      </w:pPr>
      <w:r>
        <w:rPr>
          <w:rFonts w:ascii="Arial" w:cs="Arial" w:eastAsia="Arial" w:hAnsi="Arial"/>
          <w:b/>
          <w:bCs/>
          <w:color w:val="C2185B"/>
          <w:sz w:val="26"/>
          <w:szCs w:val="26"/>
        </w:rPr>
        <w:t xml:space="preserve">Technical Report</w:t>
      </w:r>
    </w:p>
    <w:p>
      <w:r>
        <w:rPr>
          <w:rFonts w:ascii="Arial" w:cs="Arial" w:eastAsia="Arial" w:hAnsi="Arial"/>
          <w:sz w:val="22"/>
          <w:szCs w:val="22"/>
        </w:rPr>
        <w:t xml:space="preserve"/>
      </w:r>
    </w:p>
    <w:p>
      <w:r>
        <w:rPr>
          <w:rFonts w:ascii="Arial" w:cs="Arial" w:eastAsia="Arial" w:hAnsi="Arial"/>
          <w:sz w:val="22"/>
          <w:szCs w:val="22"/>
        </w:rPr>
        <w:t xml:space="preserve"/>
      </w:r>
    </w:p>
    <w:p>
      <w:pPr>
        <w:jc w:val="center"/>
      </w:pPr>
      <w:r>
        <w:rPr>
          <w:rFonts w:ascii="Arial" w:cs="Arial" w:eastAsia="Arial" w:hAnsi="Arial"/>
          <w:color w:val="757575"/>
          <w:sz w:val="22"/>
          <w:szCs w:val="22"/>
        </w:rPr>
        <w:t xml:space="preserve">May 2026</w:t>
      </w:r>
    </w:p>
    <w:p>
      <w:r>
        <w:br w:type="page"/>
      </w:r>
    </w:p>
    <w:p>
      <w:pPr>
        <w:pStyle w:val="Heading1"/>
        <w:pBdr>
          <w:bottom w:val="single" w:color="4B0082" w:sz="8" w:space="6"/>
        </w:pBdr>
        <w:spacing w:after="160" w:before="360"/>
      </w:pPr>
      <w:r>
        <w:rPr>
          <w:rFonts w:ascii="Arial" w:cs="Arial" w:eastAsia="Arial" w:hAnsi="Arial"/>
          <w:b/>
          <w:bCs/>
          <w:color w:val="4B0082"/>
          <w:sz w:val="36"/>
          <w:szCs w:val="36"/>
        </w:rPr>
        <w:t xml:space="preserve">1. Project Overview</w:t>
      </w:r>
    </w:p>
    <w:p>
      <w:pPr>
        <w:spacing w:after="80" w:before="60"/>
        <w:jc w:val="both"/>
      </w:pPr>
      <w:r>
        <w:rPr>
          <w:rFonts w:ascii="Arial" w:cs="Arial" w:eastAsia="Arial" w:hAnsi="Arial"/>
          <w:b w:val="false"/>
          <w:bCs w:val="false"/>
          <w:i w:val="false"/>
          <w:iCs w:val="false"/>
          <w:color w:val="212121"/>
          <w:sz w:val="22"/>
          <w:szCs w:val="22"/>
        </w:rPr>
        <w:t xml:space="preserve">AeroNet Lite is an autonomous drone delivery simulator built as a BS Data Science AI semester project. The system models a city as a 10×10 grid where each cell carries a zone type, population density, facility flags, and a no-fly status. Five tightly integrated AI modules — a Constraint Satisfaction Problem (CSP) validator, a Genetic Algorithm fleet selector, an A* path planner, a real-time disruption handler, and a machine learning pipeline — work together across a 20-step simulation that assigns drones to deliveries, responds to mid-flight obstacles, forecasts demand, and detects flight anomalies.</w:t>
      </w:r>
    </w:p>
    <w:p>
      <w:pPr>
        <w:spacing w:after="80" w:before="60"/>
        <w:jc w:val="both"/>
      </w:pPr>
      <w:r>
        <w:rPr>
          <w:rFonts w:ascii="Arial" w:cs="Arial" w:eastAsia="Arial" w:hAnsi="Arial"/>
          <w:b w:val="false"/>
          <w:bCs w:val="false"/>
          <w:i w:val="false"/>
          <w:iCs w:val="false"/>
          <w:color w:val="212121"/>
          <w:sz w:val="22"/>
          <w:szCs w:val="22"/>
        </w:rPr>
        <w:t xml:space="preserve">The project intentionally replaces a full city-scale autonomous fleet (which would require ACO, GA, CSP, A*, clustering, regression, and classification at production scale) with a simplified but technically complete demonstration system. The trade-off keeps every algorithm explainable from first principles while still covering the full AI curriculum: search, constraint reasoning, optimisation, regression, and classification.</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4"/>
              <w:left w:val="single" w:color="4B0082" w:sz="4"/>
              <w:bottom w:val="single" w:color="4B0082" w:sz="4"/>
              <w:right w:val="single" w:color="4B0082" w:sz="4"/>
            </w:tcBorders>
            <w:shd w:fill="EDE7F6" w:val="clear"/>
            <w:tcMar>
              <w:top w:type="dxa" w:w="120"/>
              <w:left w:type="dxa" w:w="160"/>
              <w:bottom w:type="dxa" w:w="120"/>
              <w:right w:type="dxa" w:w="160"/>
            </w:tcMar>
          </w:tcPr>
          <w:p>
            <w:pPr>
              <w:spacing w:after="40" w:before="40"/>
            </w:pPr>
            <w:r>
              <w:rPr>
                <w:rFonts w:ascii="Arial" w:cs="Arial" w:eastAsia="Arial" w:hAnsi="Arial"/>
                <w:color w:val="212121"/>
                <w:sz w:val="21"/>
                <w:szCs w:val="21"/>
              </w:rPr>
              <w:t xml:space="preserve">Grid size: 10 × 10 cells  |  Simulation length: 20 steps  |  Interface: Streamlit multi-page app</w:t>
            </w:r>
          </w:p>
          <w:p>
            <w:pPr>
              <w:spacing w:after="40" w:before="40"/>
            </w:pPr>
            <w:r>
              <w:rPr>
                <w:rFonts w:ascii="Arial" w:cs="Arial" w:eastAsia="Arial" w:hAnsi="Arial"/>
                <w:color w:val="212121"/>
                <w:sz w:val="21"/>
                <w:szCs w:val="21"/>
              </w:rPr>
              <w:t xml:space="preserve">AI techniques: CSP  ·  Genetic Algorithm (Brute Force alternative)  ·  A* Search  ·  Random Forest  ·  Decision Tree  ·  KNN  ·  Naive Bayes</w:t>
            </w:r>
          </w:p>
          <w:p>
            <w:pPr>
              <w:spacing w:after="40" w:before="40"/>
            </w:pPr>
            <w:r>
              <w:rPr>
                <w:rFonts w:ascii="Arial" w:cs="Arial" w:eastAsia="Arial" w:hAnsi="Arial"/>
                <w:color w:val="212121"/>
                <w:sz w:val="21"/>
                <w:szCs w:val="21"/>
              </w:rPr>
              <w:t xml:space="preserve">Dataset: Bike Sharing Demand (regression)  ·  Synthetic drone telemetry (classification)</w:t>
            </w:r>
          </w:p>
        </w:tc>
      </w:tr>
    </w:tbl>
    <w:p>
      <w:r>
        <w:rPr>
          <w:rFonts w:ascii="Arial" w:cs="Arial" w:eastAsia="Arial" w:hAnsi="Arial"/>
          <w:sz w:val="22"/>
          <w:szCs w:val="22"/>
        </w:rPr>
        <w:t xml:space="preserve"/>
      </w:r>
    </w:p>
    <w:p>
      <w:pPr>
        <w:pStyle w:val="Heading2"/>
        <w:spacing w:after="120" w:before="280"/>
      </w:pPr>
      <w:r>
        <w:rPr>
          <w:rFonts w:ascii="Arial" w:cs="Arial" w:eastAsia="Arial" w:hAnsi="Arial"/>
          <w:b/>
          <w:bCs/>
          <w:color w:val="7B2FBE"/>
          <w:sz w:val="28"/>
          <w:szCs w:val="28"/>
        </w:rPr>
        <w:t xml:space="preserve">System Architecture</w:t>
      </w:r>
    </w:p>
    <w:p>
      <w:pPr>
        <w:spacing w:after="80" w:before="60"/>
        <w:jc w:val="both"/>
      </w:pPr>
      <w:r>
        <w:rPr>
          <w:rFonts w:ascii="Arial" w:cs="Arial" w:eastAsia="Arial" w:hAnsi="Arial"/>
          <w:b w:val="false"/>
          <w:bCs w:val="false"/>
          <w:i w:val="false"/>
          <w:iCs w:val="false"/>
          <w:color w:val="212121"/>
          <w:sz w:val="22"/>
          <w:szCs w:val="22"/>
        </w:rPr>
        <w:t xml:space="preserve">All modules share a single flat grid model (grid_data.py). Each module reads from and writes to this shared state — the CSP validator reports violations, the fleet selector deposits a drone list, the path planner writes routes, the disruption handler updates no-fly flags, and the ML pipeline stores demand forecasts and anomaly alerts. The Streamlit interface then reads that shared state on every page without any module needing to know the implementation details of another.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C4E9" w:sz="4"/>
              <w:left w:val="single" w:color="D1C4E9" w:sz="4"/>
              <w:bottom w:val="single" w:color="D1C4E9" w:sz="4"/>
              <w:right w:val="single" w:color="D1C4E9" w:sz="4"/>
            </w:tcBorders>
            <w:shd w:fill="4B0082"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680"/>
            <w:tcBorders>
              <w:top w:val="single" w:color="D1C4E9" w:sz="4"/>
              <w:left w:val="single" w:color="D1C4E9" w:sz="4"/>
              <w:bottom w:val="single" w:color="D1C4E9" w:sz="4"/>
              <w:right w:val="single" w:color="D1C4E9" w:sz="4"/>
            </w:tcBorders>
            <w:shd w:fill="4B0082"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rPr>
          <w:tblHeader w:val="false"/>
        </w:trPr>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CSP Validator</w:t>
            </w:r>
          </w:p>
        </w:tc>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Checks 4 layout rules; reports violating cells</w:t>
            </w:r>
          </w:p>
        </w:tc>
      </w:tr>
      <w:tr>
        <w:trPr>
          <w:tblHeader w:val="false"/>
        </w:trPr>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Fleet Selector</w:t>
            </w:r>
          </w:p>
        </w:tc>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Picks light/heavy drone mix under budget via GA</w:t>
            </w:r>
          </w:p>
        </w:tc>
      </w:tr>
      <w:tr>
        <w:trPr>
          <w:tblHeader w:val="false"/>
        </w:trPr>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Path Planner</w:t>
            </w:r>
          </w:p>
        </w:tc>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Finds Hub→Pickup→Drop-off→Hub routes using A*</w:t>
            </w:r>
          </w:p>
        </w:tc>
      </w:tr>
      <w:tr>
        <w:trPr>
          <w:tblHeader w:val="false"/>
        </w:trPr>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Disruption Handler</w:t>
            </w:r>
          </w:p>
        </w:tc>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Activates no-fly zones; triggers A* rerouting</w:t>
            </w:r>
          </w:p>
        </w:tc>
      </w:tr>
      <w:tr>
        <w:trPr>
          <w:tblHeader w:val="false"/>
        </w:trPr>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ML Pipeline</w:t>
            </w:r>
          </w:p>
        </w:tc>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Demand regression + flight anomaly classification</w:t>
            </w:r>
          </w:p>
        </w:tc>
      </w:tr>
      <w:tr>
        <w:trPr>
          <w:tblHeader w:val="false"/>
        </w:trPr>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Simulation</w:t>
            </w:r>
          </w:p>
        </w:tc>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20-step integration run; event log + final summary</w:t>
            </w:r>
          </w:p>
        </w:tc>
      </w:tr>
    </w:tbl>
    <w:p>
      <w:r>
        <w:br w:type="page"/>
      </w:r>
    </w:p>
    <w:p>
      <w:pPr>
        <w:pStyle w:val="Heading1"/>
        <w:pBdr>
          <w:bottom w:val="single" w:color="4B0082" w:sz="8" w:space="6"/>
        </w:pBdr>
        <w:spacing w:after="160" w:before="360"/>
      </w:pPr>
      <w:r>
        <w:rPr>
          <w:rFonts w:ascii="Arial" w:cs="Arial" w:eastAsia="Arial" w:hAnsi="Arial"/>
          <w:b/>
          <w:bCs/>
          <w:color w:val="4B0082"/>
          <w:sz w:val="36"/>
          <w:szCs w:val="36"/>
        </w:rPr>
        <w:t xml:space="preserve">2. CSP Validator</w:t>
      </w:r>
    </w:p>
    <w:p>
      <w:pPr>
        <w:spacing w:after="80" w:before="60"/>
        <w:jc w:val="both"/>
      </w:pPr>
      <w:r>
        <w:rPr>
          <w:rFonts w:ascii="Arial" w:cs="Arial" w:eastAsia="Arial" w:hAnsi="Arial"/>
          <w:b w:val="false"/>
          <w:bCs w:val="false"/>
          <w:i w:val="false"/>
          <w:iCs w:val="false"/>
          <w:color w:val="212121"/>
          <w:sz w:val="22"/>
          <w:szCs w:val="22"/>
        </w:rPr>
        <w:t xml:space="preserve">Module 1 treats the city layout as a Constraint Satisfaction Problem. The grid is defined once and the validator runs four hard constraints against it. Violations are collected into a list rather than stopping after the first failure, so the entire layout can be audited in a single pass. Each failed rule reports the exact cell coordinates and a suggested corrective action.</w:t>
      </w:r>
    </w:p>
    <w:p>
      <w:pPr>
        <w:pStyle w:val="Heading2"/>
        <w:spacing w:after="120" w:before="280"/>
      </w:pPr>
      <w:r>
        <w:rPr>
          <w:rFonts w:ascii="Arial" w:cs="Arial" w:eastAsia="Arial" w:hAnsi="Arial"/>
          <w:b/>
          <w:bCs/>
          <w:color w:val="7B2FBE"/>
          <w:sz w:val="28"/>
          <w:szCs w:val="28"/>
        </w:rPr>
        <w:t xml:space="preserve">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C4E9" w:sz="4"/>
              <w:left w:val="single" w:color="D1C4E9" w:sz="4"/>
              <w:bottom w:val="single" w:color="D1C4E9" w:sz="4"/>
              <w:right w:val="single" w:color="D1C4E9" w:sz="4"/>
            </w:tcBorders>
            <w:shd w:fill="4B0082"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4680"/>
            <w:tcBorders>
              <w:top w:val="single" w:color="D1C4E9" w:sz="4"/>
              <w:left w:val="single" w:color="D1C4E9" w:sz="4"/>
              <w:bottom w:val="single" w:color="D1C4E9" w:sz="4"/>
              <w:right w:val="single" w:color="D1C4E9" w:sz="4"/>
            </w:tcBorders>
            <w:shd w:fill="4B0082"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r>
      <w:tr>
        <w:trPr>
          <w:tblHeader w:val="false"/>
        </w:trPr>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R1 — Industrial Safety</w:t>
            </w:r>
          </w:p>
        </w:tc>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Industrial cells must not be directly adjacent (4-directional) to Schools or Hospitals</w:t>
            </w:r>
          </w:p>
        </w:tc>
      </w:tr>
      <w:tr>
        <w:trPr>
          <w:tblHeader w:val="false"/>
        </w:trPr>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R2 — Residential Coverage</w:t>
            </w:r>
          </w:p>
        </w:tc>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Every Residential cell must be within Manhattan distance 3 of at least one Hub</w:t>
            </w:r>
          </w:p>
        </w:tc>
      </w:tr>
      <w:tr>
        <w:trPr>
          <w:tblHeader w:val="false"/>
        </w:trPr>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R3 — Hub Charging Access</w:t>
            </w:r>
          </w:p>
        </w:tc>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Every Hub must have a Charging Pad within Manhattan distance 2</w:t>
            </w:r>
          </w:p>
        </w:tc>
      </w:tr>
      <w:tr>
        <w:trPr>
          <w:tblHeader w:val="false"/>
        </w:trPr>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R4 — Medical Emergency Access</w:t>
            </w:r>
          </w:p>
        </w:tc>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At least one Hospital must have a Medical Pickup point within distance 1</w:t>
            </w:r>
          </w:p>
        </w:tc>
      </w:tr>
    </w:tbl>
    <w:p>
      <w:r>
        <w:rPr>
          <w:rFonts w:ascii="Arial" w:cs="Arial" w:eastAsia="Arial" w:hAnsi="Arial"/>
          <w:sz w:val="22"/>
          <w:szCs w:val="22"/>
        </w:rPr>
        <w:t xml:space="preserve"/>
      </w:r>
    </w:p>
    <w:p>
      <w:pPr>
        <w:pStyle w:val="Heading2"/>
        <w:spacing w:after="120" w:before="280"/>
      </w:pPr>
      <w:r>
        <w:rPr>
          <w:rFonts w:ascii="Arial" w:cs="Arial" w:eastAsia="Arial" w:hAnsi="Arial"/>
          <w:b/>
          <w:bCs/>
          <w:color w:val="7B2FBE"/>
          <w:sz w:val="28"/>
          <w:szCs w:val="28"/>
        </w:rPr>
        <w:t xml:space="preserve">Implementation</w:t>
      </w:r>
    </w:p>
    <w:p>
      <w:pPr>
        <w:spacing w:after="80" w:before="60"/>
        <w:jc w:val="both"/>
      </w:pPr>
      <w:r>
        <w:rPr>
          <w:rFonts w:ascii="Arial" w:cs="Arial" w:eastAsia="Arial" w:hAnsi="Arial"/>
          <w:b w:val="false"/>
          <w:bCs w:val="false"/>
          <w:i w:val="false"/>
          <w:iCs w:val="false"/>
          <w:color w:val="212121"/>
          <w:sz w:val="22"/>
          <w:szCs w:val="22"/>
        </w:rPr>
        <w:t xml:space="preserve">The validator is implemented in csp_validator.py. Four standalone functions — check_R1_industrial_safety, check_R2_residential_coverage, check_R3_hub_charging, and check_R4_medical_access — each return a list of violating cell coordinates. A fifth function run_all_constraints calls all four and returns a combined results dictionary used by the Streamlit page and the simulation runner.</w:t>
      </w:r>
    </w:p>
    <w:p>
      <w:pPr>
        <w:spacing w:after="80" w:before="60"/>
        <w:jc w:val="both"/>
      </w:pPr>
      <w:r>
        <w:rPr>
          <w:rFonts w:ascii="Arial" w:cs="Arial" w:eastAsia="Arial" w:hAnsi="Arial"/>
          <w:b w:val="false"/>
          <w:bCs w:val="false"/>
          <w:i w:val="false"/>
          <w:iCs w:val="false"/>
          <w:color w:val="212121"/>
          <w:sz w:val="22"/>
          <w:szCs w:val="22"/>
        </w:rPr>
        <w:t xml:space="preserve">R1 loops over every Industrial cell and inspects its four Manhattan neighbors. R2 computes the minimum Manhattan distance from each Residential cell to every hub and flags cells where that minimum exceeds 3. R3 mirrors R2 but measures hubs against charging pads with a threshold of 2. R4 checks whether at least one Hospital has a Medical Pickup cell at distance exactly 1; the rule is satisfied even if some hospitals are uncovered, as long as one is covered.</w:t>
      </w:r>
    </w:p>
    <w:p>
      <w:pPr>
        <w:pStyle w:val="Heading2"/>
        <w:spacing w:after="120" w:before="280"/>
      </w:pPr>
      <w:r>
        <w:rPr>
          <w:rFonts w:ascii="Arial" w:cs="Arial" w:eastAsia="Arial" w:hAnsi="Arial"/>
          <w:b/>
          <w:bCs/>
          <w:color w:val="7B2FBE"/>
          <w:sz w:val="28"/>
          <w:szCs w:val="28"/>
        </w:rPr>
        <w:t xml:space="preserve">Results on the Sample Grid</w:t>
      </w:r>
    </w:p>
    <w:p>
      <w:pPr>
        <w:spacing w:after="80" w:before="60"/>
        <w:jc w:val="both"/>
      </w:pPr>
      <w:r>
        <w:rPr>
          <w:rFonts w:ascii="Arial" w:cs="Arial" w:eastAsia="Arial" w:hAnsi="Arial"/>
          <w:b w:val="false"/>
          <w:bCs w:val="false"/>
          <w:i w:val="false"/>
          <w:iCs w:val="false"/>
          <w:color w:val="212121"/>
          <w:sz w:val="22"/>
          <w:szCs w:val="22"/>
        </w:rPr>
        <w:t xml:space="preserve">Running the validator on the project's default 10×10 grid produced 9 total violations: R1 flagged 1 Industrial cell adjacent to a sensitive zone; R2 flagged 8 Residential cells too far from any hub. R3 and R4 both passed — every hub has a charging pad within 2 cells, and at least one hospital has Medical Pickup access. The Streamlit page displays each constraint as a colour-coded card (green for PASS, red for FAIL) along with a violations table and a constraint graph overlaid on the city grid.</w:t>
      </w:r>
    </w:p>
    <w:p>
      <w:r>
        <w:rPr>
          <w:rFonts w:ascii="Arial" w:cs="Arial" w:eastAsia="Arial" w:hAnsi="Arial"/>
          <w:sz w:val="22"/>
          <w:szCs w:val="22"/>
        </w:rPr>
        <w:t xml:space="preserve"/>
      </w:r>
    </w:p>
    <w:p>
      <w:pPr>
        <w:spacing w:after="80" w:before="120"/>
        <w:jc w:val="center"/>
      </w:pPr>
      <w:r>
        <w:drawing>
          <wp:inline distT="0" distB="0" distL="0" distR="0">
            <wp:extent cx="5943600" cy="3086100"/>
            <wp:effectExtent t="0" r="0" b="0" l="0"/>
            <wp:docPr id="1" name="Figure 1 — CSP Validator page: R1 and R2 fail, R3 and R4 pass" descr="Figure 1 — CSP Validator page: R1 and R2 fail, R3 and R4 pass" title="Figure 1 — CSP Validator page: R1 and R2 fail, R3 and R4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0861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1 — CSP Validator page: R1 and R2 fail, R3 and R4 pass</w:t>
      </w:r>
    </w:p>
    <w:p>
      <w:pPr>
        <w:spacing w:after="80" w:before="120"/>
        <w:jc w:val="center"/>
      </w:pPr>
      <w:r>
        <w:drawing>
          <wp:inline distT="0" distB="0" distL="0" distR="0">
            <wp:extent cx="5943600" cy="3086100"/>
            <wp:effectExtent t="0" r="0" b="0" l="0"/>
            <wp:docPr id="1" name="Figure 2 — Full constraint cards and violations report table" descr="Figure 2 — Full constraint cards and violations report table" title="Figure 2 — Full constraint cards and violations repor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0861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2 — Full constraint cards and violations report table</w:t>
      </w:r>
    </w:p>
    <w:p>
      <w:pPr>
        <w:spacing w:after="80" w:before="120"/>
        <w:jc w:val="center"/>
      </w:pPr>
      <w:r>
        <w:drawing>
          <wp:inline distT="0" distB="0" distL="0" distR="0">
            <wp:extent cx="5943600" cy="3086100"/>
            <wp:effectExtent t="0" r="0" b="0" l="0"/>
            <wp:docPr id="1" name="Figure 3 — Violations report listing cell coordinates and suggested fixes" descr="Figure 3 — Violations report listing cell coordinates and suggested fixes" title="Figure 3 — Violations report listing cell coordinates and suggested fi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0861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3 — Violations report listing cell coordinates and suggested fixes</w:t>
      </w:r>
    </w:p>
    <w:p>
      <w:pPr>
        <w:spacing w:after="80" w:before="120"/>
        <w:jc w:val="center"/>
      </w:pPr>
      <w:r>
        <w:drawing>
          <wp:inline distT="0" distB="0" distL="0" distR="0">
            <wp:extent cx="5943600" cy="3086100"/>
            <wp:effectExtent t="0" r="0" b="0" l="0"/>
            <wp:docPr id="1" name="Figure 4 — Suggested fixes panel with actionable recommendations" descr="Figure 4 — Suggested fixes panel with actionable recommendations" title="Figure 4 — Suggested fixes panel with actionable recommend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0861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4 — Suggested fixes panel with actionable recommendations</w:t>
      </w:r>
    </w:p>
    <w:p>
      <w:pPr>
        <w:spacing w:after="80" w:before="120"/>
        <w:jc w:val="center"/>
      </w:pPr>
      <w:r>
        <w:drawing>
          <wp:inline distT="0" distB="0" distL="0" distR="0">
            <wp:extent cx="5943600" cy="3086100"/>
            <wp:effectExtent t="0" r="0" b="0" l="0"/>
            <wp:docPr id="1" name="Figure 5 — Constraint graph overlay on the 10×10 city grid" descr="Figure 5 — Constraint graph overlay on the 10×10 city grid" title="Figure 5 — Constraint graph overlay on the 10×10 city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0861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5 — Constraint graph overlay on the 10×10 city grid</w:t>
      </w:r>
    </w:p>
    <w:p>
      <w:pPr>
        <w:spacing w:after="80" w:before="120"/>
        <w:jc w:val="center"/>
      </w:pPr>
      <w:r>
        <w:drawing>
          <wp:inline distT="0" distB="0" distL="0" distR="0">
            <wp:extent cx="5943600" cy="3086100"/>
            <wp:effectExtent t="0" r="0" b="0" l="0"/>
            <wp:docPr id="1" name="Figure 6 — Zoom on R2 violation badges overlaid on residential cells" descr="Figure 6 — Zoom on R2 violation badges overlaid on residential cells" title="Figure 6 — Zoom on R2 violation badges overlaid on residential ce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0861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6 — Zoom on R2 violation badges overlaid on residential cells</w:t>
      </w:r>
    </w:p>
    <w:p>
      <w:r>
        <w:br w:type="page"/>
      </w:r>
    </w:p>
    <w:p>
      <w:pPr>
        <w:pStyle w:val="Heading1"/>
        <w:pBdr>
          <w:bottom w:val="single" w:color="4B0082" w:sz="8" w:space="6"/>
        </w:pBdr>
        <w:spacing w:after="160" w:before="360"/>
      </w:pPr>
      <w:r>
        <w:rPr>
          <w:rFonts w:ascii="Arial" w:cs="Arial" w:eastAsia="Arial" w:hAnsi="Arial"/>
          <w:b/>
          <w:bCs/>
          <w:color w:val="4B0082"/>
          <w:sz w:val="36"/>
          <w:szCs w:val="36"/>
        </w:rPr>
        <w:t xml:space="preserve">3. Fleet Selector</w:t>
      </w:r>
    </w:p>
    <w:p>
      <w:pPr>
        <w:spacing w:after="80" w:before="60"/>
        <w:jc w:val="both"/>
      </w:pPr>
      <w:r>
        <w:rPr>
          <w:rFonts w:ascii="Arial" w:cs="Arial" w:eastAsia="Arial" w:hAnsi="Arial"/>
          <w:b w:val="false"/>
          <w:bCs w:val="false"/>
          <w:i w:val="false"/>
          <w:iCs w:val="false"/>
          <w:color w:val="212121"/>
          <w:sz w:val="22"/>
          <w:szCs w:val="22"/>
        </w:rPr>
        <w:t xml:space="preserve">Module 2 selects the optimal combination of light and heavy drones that maximises delivery coverage under a fixed budget. Two drone types are available: a Light Drone (₹1,000, 2 kg payload, 12-cell range) and a Heavy Drone (₹1,800, 5 kg payload, 20-cell range). Both a brute-force exhaustive search and a Genetic Algorithm are implemented so the results can be compared directly.</w:t>
      </w:r>
    </w:p>
    <w:p>
      <w:pPr>
        <w:pStyle w:val="Heading2"/>
        <w:spacing w:after="120" w:before="280"/>
      </w:pPr>
      <w:r>
        <w:rPr>
          <w:rFonts w:ascii="Arial" w:cs="Arial" w:eastAsia="Arial" w:hAnsi="Arial"/>
          <w:b/>
          <w:bCs/>
          <w:color w:val="7B2FBE"/>
          <w:sz w:val="28"/>
          <w:szCs w:val="28"/>
        </w:rPr>
        <w:t xml:space="preserve">Fitness Function</w:t>
      </w:r>
    </w:p>
    <w:p>
      <w:pPr>
        <w:spacing w:after="80" w:before="60"/>
        <w:jc w:val="both"/>
      </w:pPr>
      <w:r>
        <w:rPr>
          <w:rFonts w:ascii="Arial" w:cs="Arial" w:eastAsia="Arial" w:hAnsi="Arial"/>
          <w:b w:val="false"/>
          <w:bCs w:val="false"/>
          <w:i w:val="false"/>
          <w:iCs w:val="false"/>
          <w:color w:val="212121"/>
          <w:sz w:val="22"/>
          <w:szCs w:val="22"/>
        </w:rPr>
        <w:t xml:space="preserve">The shared fitness formula is: score = (0.75 × coverage_percentage) − (0.25 × budget_used_percentage). Coverage is computed as the total cells reachable by the fleet (light_count × 12 + heavy_count × 20), capped at 100 (the grid size) and further capped by the ML demand estimate. Any fleet that exceeds the budget receives a score of −∞ and is automatically eliminated.</w:t>
      </w:r>
    </w:p>
    <w:p>
      <w:pPr>
        <w:pStyle w:val="Heading2"/>
        <w:spacing w:after="120" w:before="280"/>
      </w:pPr>
      <w:r>
        <w:rPr>
          <w:rFonts w:ascii="Arial" w:cs="Arial" w:eastAsia="Arial" w:hAnsi="Arial"/>
          <w:b/>
          <w:bCs/>
          <w:color w:val="7B2FBE"/>
          <w:sz w:val="28"/>
          <w:szCs w:val="28"/>
        </w:rPr>
        <w:t xml:space="preserve">Genetic Algorithm</w:t>
      </w:r>
    </w:p>
    <w:p>
      <w:pPr>
        <w:spacing w:after="80" w:before="60"/>
        <w:jc w:val="both"/>
      </w:pPr>
      <w:r>
        <w:rPr>
          <w:rFonts w:ascii="Arial" w:cs="Arial" w:eastAsia="Arial" w:hAnsi="Arial"/>
          <w:b w:val="false"/>
          <w:bCs w:val="false"/>
          <w:i w:val="false"/>
          <w:iCs w:val="false"/>
          <w:color w:val="212121"/>
          <w:sz w:val="22"/>
          <w:szCs w:val="22"/>
        </w:rPr>
        <w:t xml:space="preserve">Each chromosome is a two-element list [light_count, heavy_count]. An initial population of 20 random individuals is evolved over 50 generations. Each generation scores all individuals, retains the top 50% as survivors (elitism), fills the remainder with children via single-point crossover (light from parent A, heavy from parent B), and applies random mutation at a 10% rate. The best individual across all generations is returned as the selected fleet.</w:t>
      </w:r>
    </w:p>
    <w:p>
      <w:pPr>
        <w:pStyle w:val="Heading2"/>
        <w:spacing w:after="120" w:before="280"/>
      </w:pPr>
      <w:r>
        <w:rPr>
          <w:rFonts w:ascii="Arial" w:cs="Arial" w:eastAsia="Arial" w:hAnsi="Arial"/>
          <w:b/>
          <w:bCs/>
          <w:color w:val="7B2FBE"/>
          <w:sz w:val="28"/>
          <w:szCs w:val="28"/>
        </w:rPr>
        <w:t xml:space="preserve">Result on the Sample Grid</w:t>
      </w:r>
    </w:p>
    <w:p>
      <w:pPr>
        <w:spacing w:after="80" w:before="60"/>
        <w:jc w:val="both"/>
      </w:pPr>
      <w:r>
        <w:rPr>
          <w:rFonts w:ascii="Arial" w:cs="Arial" w:eastAsia="Arial" w:hAnsi="Arial"/>
          <w:b w:val="false"/>
          <w:bCs w:val="false"/>
          <w:i w:val="false"/>
          <w:iCs w:val="false"/>
          <w:color w:val="212121"/>
          <w:sz w:val="22"/>
          <w:szCs w:val="22"/>
        </w:rPr>
        <w:t xml:space="preserve">With a budget of ₹10,000 and the GA method, the selector chose 7 light drones and 1 heavy drone for a total cost of ₹8,800 (₹1,200 remaining). This fleet reaches 100 out of 100 grid cells with a fitness score of 53.0. Total payload capacity is 14 kg light and 5 kg heavy. Average effective range is 13.0 cells, covering all 97 flyable cells across the 4 available hubs. The fitness landscape heatmap shows the score surface across every valid combination, confirming the GA converged near the global optimum.</w:t>
      </w:r>
    </w:p>
    <w:p>
      <w:r>
        <w:rPr>
          <w:rFonts w:ascii="Arial" w:cs="Arial" w:eastAsia="Arial" w:hAnsi="Arial"/>
          <w:sz w:val="22"/>
          <w:szCs w:val="22"/>
        </w:rPr>
        <w:t xml:space="preserve"/>
      </w:r>
    </w:p>
    <w:p>
      <w:pPr>
        <w:spacing w:after="80" w:before="120"/>
        <w:jc w:val="center"/>
      </w:pPr>
      <w:r>
        <w:drawing>
          <wp:inline distT="0" distB="0" distL="0" distR="0">
            <wp:extent cx="5943600" cy="2971800"/>
            <wp:effectExtent t="0" r="0" b="0" l="0"/>
            <wp:docPr id="1" name="Figure 7 — Fleet Selector: city grid and stats summary (4 hubs, 5 charging, 3 no-fly)" descr="Figure 7 — Fleet Selector: city grid and stats summary (4 hubs, 5 charging, 3 no-fly)" title="Figure 7 — Fleet Selector: city grid and stats summary (4 hubs, 5 charging, 3 no-f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9718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7 — Fleet Selector: city grid and stats summary (4 hubs, 5 charging, 3 no-fly)</w:t>
      </w:r>
    </w:p>
    <w:p>
      <w:pPr>
        <w:spacing w:after="80" w:before="120"/>
        <w:jc w:val="center"/>
      </w:pPr>
      <w:r>
        <w:drawing>
          <wp:inline distT="0" distB="0" distL="0" distR="0">
            <wp:extent cx="5943600" cy="2971800"/>
            <wp:effectExtent t="0" r="0" b="0" l="0"/>
            <wp:docPr id="1" name="Figure 8 — Configuration panel: budget slider ₹10,000 and GA / Brute Force toggle" descr="Figure 8 — Configuration panel: budget slider ₹10,000 and GA / Brute Force toggle" title="Figure 8 — Configuration panel: budget slider ₹10,000 and GA / Brute Force tog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9718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8 — Configuration panel: budget slider ₹10,000 and GA / Brute Force toggle</w:t>
      </w:r>
    </w:p>
    <w:p>
      <w:pPr>
        <w:spacing w:after="80" w:before="120"/>
        <w:jc w:val="center"/>
      </w:pPr>
      <w:r>
        <w:drawing>
          <wp:inline distT="0" distB="0" distL="0" distR="0">
            <wp:extent cx="5943600" cy="2971800"/>
            <wp:effectExtent t="0" r="0" b="0" l="0"/>
            <wp:docPr id="1" name="Figure 9 — Fleet result: 7 light + 1 heavy drones, fitness 53.0, coverage 100/100" descr="Figure 9 — Fleet result: 7 light + 1 heavy drones, fitness 53.0, coverage 100/100" title="Figure 9 — Fleet result: 7 light + 1 heavy drones, fitness 53.0, coverage 10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9718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9 — Fleet result: 7 light + 1 heavy drones, fitness 53.0, coverage 100/100</w:t>
      </w:r>
    </w:p>
    <w:p>
      <w:pPr>
        <w:spacing w:after="80" w:before="120"/>
        <w:jc w:val="center"/>
      </w:pPr>
      <w:r>
        <w:drawing>
          <wp:inline distT="0" distB="0" distL="0" distR="0">
            <wp:extent cx="5943600" cy="2971800"/>
            <wp:effectExtent t="0" r="0" b="0" l="0"/>
            <wp:docPr id="1" name="Figure 10 — Fleet at a glance: drone icons and budget utilisation summary" descr="Figure 10 — Fleet at a glance: drone icons and budget utilisation summary" title="Figure 10 — Fleet at a glance: drone icons and budget utilisation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29718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10 — Fleet at a glance: drone icons and budget utilisation summary</w:t>
      </w:r>
    </w:p>
    <w:p>
      <w:pPr>
        <w:spacing w:after="80" w:before="120"/>
        <w:jc w:val="center"/>
      </w:pPr>
      <w:r>
        <w:drawing>
          <wp:inline distT="0" distB="0" distL="0" distR="0">
            <wp:extent cx="5943600" cy="2971800"/>
            <wp:effectExtent t="0" r="0" b="0" l="0"/>
            <wp:docPr id="1" name="Figure 11 — Fleet coverage overlay on the city grid with hub reachability markers" descr="Figure 11 — Fleet coverage overlay on the city grid with hub reachability markers" title="Figure 11 — Fleet coverage overlay on the city grid with hub reachability mar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29718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11 — Fleet coverage overlay on the city grid with hub reachability markers</w:t>
      </w:r>
    </w:p>
    <w:p>
      <w:pPr>
        <w:spacing w:after="80" w:before="120"/>
        <w:jc w:val="center"/>
      </w:pPr>
      <w:r>
        <w:drawing>
          <wp:inline distT="0" distB="0" distL="0" distR="0">
            <wp:extent cx="5943600" cy="2971800"/>
            <wp:effectExtent t="0" r="0" b="0" l="0"/>
            <wp:docPr id="1" name="Figure 12 — Method comparison: GA vs Brute Force with alternative fleet options" descr="Figure 12 — Method comparison: GA vs Brute Force with alternative fleet options" title="Figure 12 — Method comparison: GA vs Brute Force with alternative fleet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29718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12 — Method comparison: GA vs Brute Force with alternative fleet options</w:t>
      </w:r>
    </w:p>
    <w:p>
      <w:pPr>
        <w:spacing w:after="80" w:before="120"/>
        <w:jc w:val="center"/>
      </w:pPr>
      <w:r>
        <w:drawing>
          <wp:inline distT="0" distB="0" distL="0" distR="0">
            <wp:extent cx="5943600" cy="2971800"/>
            <wp:effectExtent t="0" r="0" b="0" l="0"/>
            <wp:docPr id="1" name="Figure 13 — Top alternative fleets and manual fitness check table" descr="Figure 13 — Top alternative fleets and manual fitness check table" title="Figure 13 — Top alternative fleets and manual fitness check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29718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13 — Top alternative fleets and manual fitness check table</w:t>
      </w:r>
    </w:p>
    <w:p>
      <w:pPr>
        <w:spacing w:after="80" w:before="120"/>
        <w:jc w:val="center"/>
      </w:pPr>
      <w:r>
        <w:drawing>
          <wp:inline distT="0" distB="0" distL="0" distR="0">
            <wp:extent cx="5943600" cy="2971800"/>
            <wp:effectExtent t="0" r="0" b="0" l="0"/>
            <wp:docPr id="1" name="Figure 14 — Fitness landscape heatmap: all valid light/heavy combinations" descr="Figure 14 — Fitness landscape heatmap: all valid light/heavy combinations" title="Figure 14 — Fitness landscape heatmap: all valid light/heavy combin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29718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14 — Fitness landscape heatmap: all valid light/heavy combinations</w:t>
      </w:r>
    </w:p>
    <w:p>
      <w:r>
        <w:br w:type="page"/>
      </w:r>
    </w:p>
    <w:p>
      <w:pPr>
        <w:pStyle w:val="Heading1"/>
        <w:pBdr>
          <w:bottom w:val="single" w:color="4B0082" w:sz="8" w:space="6"/>
        </w:pBdr>
        <w:spacing w:after="160" w:before="360"/>
      </w:pPr>
      <w:r>
        <w:rPr>
          <w:rFonts w:ascii="Arial" w:cs="Arial" w:eastAsia="Arial" w:hAnsi="Arial"/>
          <w:b/>
          <w:bCs/>
          <w:color w:val="4B0082"/>
          <w:sz w:val="36"/>
          <w:szCs w:val="36"/>
        </w:rPr>
        <w:t xml:space="preserve">4. Path Planner</w:t>
      </w:r>
    </w:p>
    <w:p>
      <w:pPr>
        <w:spacing w:after="80" w:before="60"/>
        <w:jc w:val="both"/>
      </w:pPr>
      <w:r>
        <w:rPr>
          <w:rFonts w:ascii="Arial" w:cs="Arial" w:eastAsia="Arial" w:hAnsi="Arial"/>
          <w:b w:val="false"/>
          <w:bCs w:val="false"/>
          <w:i w:val="false"/>
          <w:iCs w:val="false"/>
          <w:color w:val="212121"/>
          <w:sz w:val="22"/>
          <w:szCs w:val="22"/>
        </w:rPr>
        <w:t xml:space="preserve">Module 3 plans a safe delivery route through the grid using A* search. Each delivery follows the sequence Hub → Pickup → Drop-off → Hub, solved as three independent A* segments joined without repeating junction cells. The planner respects no-fly cells, reduces movement cost through commercial corridors, and handles blocked goals gracefully by returning a failure message with the reason.</w:t>
      </w:r>
    </w:p>
    <w:p>
      <w:pPr>
        <w:pStyle w:val="Heading2"/>
        <w:spacing w:after="120" w:before="280"/>
      </w:pPr>
      <w:r>
        <w:rPr>
          <w:rFonts w:ascii="Arial" w:cs="Arial" w:eastAsia="Arial" w:hAnsi="Arial"/>
          <w:b/>
          <w:bCs/>
          <w:color w:val="7B2FBE"/>
          <w:sz w:val="28"/>
          <w:szCs w:val="28"/>
        </w:rPr>
        <w:t xml:space="preserve">A*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C4E9" w:sz="4"/>
              <w:left w:val="single" w:color="D1C4E9" w:sz="4"/>
              <w:bottom w:val="single" w:color="D1C4E9" w:sz="4"/>
              <w:right w:val="single" w:color="D1C4E9" w:sz="4"/>
            </w:tcBorders>
            <w:shd w:fill="4B008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80"/>
            <w:tcBorders>
              <w:top w:val="single" w:color="D1C4E9" w:sz="4"/>
              <w:left w:val="single" w:color="D1C4E9" w:sz="4"/>
              <w:bottom w:val="single" w:color="D1C4E9" w:sz="4"/>
              <w:right w:val="single" w:color="D1C4E9" w:sz="4"/>
            </w:tcBorders>
            <w:shd w:fill="4B0082" w:val="clear"/>
            <w:tcMar>
              <w:top w:type="dxa" w:w="80"/>
              <w:left w:type="dxa" w:w="120"/>
              <w:bottom w:type="dxa" w:w="80"/>
              <w:right w:type="dxa" w:w="120"/>
            </w:tcMar>
          </w:tcPr>
          <w:p>
            <w:r>
              <w:rPr>
                <w:rFonts w:ascii="Arial" w:cs="Arial" w:eastAsia="Arial" w:hAnsi="Arial"/>
                <w:b/>
                <w:bCs/>
                <w:color w:val="FFFFFF"/>
                <w:sz w:val="20"/>
                <w:szCs w:val="20"/>
              </w:rPr>
              <w:t xml:space="preserve">Choice</w:t>
            </w:r>
          </w:p>
        </w:tc>
      </w:tr>
      <w:tr>
        <w:trPr>
          <w:tblHeader w:val="false"/>
        </w:trPr>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State</w:t>
            </w:r>
          </w:p>
        </w:tc>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(row, col) coordinate on the 10×10 grid</w:t>
            </w:r>
          </w:p>
        </w:tc>
      </w:tr>
      <w:tr>
        <w:trPr>
          <w:tblHeader w:val="false"/>
        </w:trPr>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Actions</w:t>
            </w:r>
          </w:p>
        </w:tc>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Up, Down, Left, Right — 4-directional movement</w:t>
            </w:r>
          </w:p>
        </w:tc>
      </w:tr>
      <w:tr>
        <w:trPr>
          <w:tblHeader w:val="false"/>
        </w:trPr>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Path cost</w:t>
            </w:r>
          </w:p>
        </w:tc>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1.0 per normal move; 0.8 for commercial corridor cells</w:t>
            </w:r>
          </w:p>
        </w:tc>
      </w:tr>
      <w:tr>
        <w:trPr>
          <w:tblHeader w:val="false"/>
        </w:trPr>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Blocked nodes</w:t>
            </w:r>
          </w:p>
        </w:tc>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Cells where no_fly = True are skipped entirely</w:t>
            </w:r>
          </w:p>
        </w:tc>
      </w:tr>
      <w:tr>
        <w:trPr>
          <w:tblHeader w:val="false"/>
        </w:trPr>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Heuristic</w:t>
            </w:r>
          </w:p>
        </w:tc>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Manhattan distance — admissible for 4-direction grids</w:t>
            </w:r>
          </w:p>
        </w:tc>
      </w:tr>
      <w:tr>
        <w:trPr>
          <w:tblHeader w:val="false"/>
        </w:trPr>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Data structure</w:t>
            </w:r>
          </w:p>
        </w:tc>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Min-heap priority queue (heapq); parent dict for path reconstruction</w:t>
            </w:r>
          </w:p>
        </w:tc>
      </w:tr>
    </w:tbl>
    <w:p>
      <w:r>
        <w:rPr>
          <w:rFonts w:ascii="Arial" w:cs="Arial" w:eastAsia="Arial" w:hAnsi="Arial"/>
          <w:sz w:val="22"/>
          <w:szCs w:val="22"/>
        </w:rPr>
        <w:t xml:space="preserve"/>
      </w:r>
    </w:p>
    <w:p>
      <w:pPr>
        <w:pStyle w:val="Heading2"/>
        <w:spacing w:after="120" w:before="280"/>
      </w:pPr>
      <w:r>
        <w:rPr>
          <w:rFonts w:ascii="Arial" w:cs="Arial" w:eastAsia="Arial" w:hAnsi="Arial"/>
          <w:b/>
          <w:bCs/>
          <w:color w:val="7B2FBE"/>
          <w:sz w:val="28"/>
          <w:szCs w:val="28"/>
        </w:rPr>
        <w:t xml:space="preserve">Implementation</w:t>
      </w:r>
    </w:p>
    <w:p>
      <w:pPr>
        <w:spacing w:after="80" w:before="60"/>
        <w:jc w:val="both"/>
      </w:pPr>
      <w:r>
        <w:rPr>
          <w:rFonts w:ascii="Arial" w:cs="Arial" w:eastAsia="Arial" w:hAnsi="Arial"/>
          <w:b w:val="false"/>
          <w:bCs w:val="false"/>
          <w:i w:val="false"/>
          <w:iCs w:val="false"/>
          <w:color w:val="212121"/>
          <w:sz w:val="22"/>
          <w:szCs w:val="22"/>
        </w:rPr>
        <w:t xml:space="preserve">The core astar(start, goal, grid) function pushes (f_cost, g_cost, node) tuples onto a min-heap. It skips any neighbour where no_fly is True, computes move cost via get_move_cost() to handle commercial corridors, and tracks the best known g_cost to each node to avoid revisiting. When the goal is popped, it walks back through the parent dictionary to reconstruct the path.</w:t>
      </w:r>
    </w:p>
    <w:p>
      <w:pPr>
        <w:spacing w:after="80" w:before="60"/>
        <w:jc w:val="both"/>
      </w:pPr>
      <w:r>
        <w:rPr>
          <w:rFonts w:ascii="Arial" w:cs="Arial" w:eastAsia="Arial" w:hAnsi="Arial"/>
          <w:b w:val="false"/>
          <w:bCs w:val="false"/>
          <w:i w:val="false"/>
          <w:iCs w:val="false"/>
          <w:color w:val="212121"/>
          <w:sz w:val="22"/>
          <w:szCs w:val="22"/>
        </w:rPr>
        <w:t xml:space="preserve">plan_delivery_route() calls astar() three times for the three segments and joins the results. If any segment fails, the entire delivery is marked failed and an empty path is returned. The Streamlit page lets the user pick any hub, set pickup and drop-off coordinates, and optionally block extra cells to test how the planner routes around obstacles.</w:t>
      </w:r>
    </w:p>
    <w:p>
      <w:pPr>
        <w:pStyle w:val="Heading2"/>
        <w:spacing w:after="120" w:before="280"/>
      </w:pPr>
      <w:r>
        <w:rPr>
          <w:rFonts w:ascii="Arial" w:cs="Arial" w:eastAsia="Arial" w:hAnsi="Arial"/>
          <w:b/>
          <w:bCs/>
          <w:color w:val="7B2FBE"/>
          <w:sz w:val="28"/>
          <w:szCs w:val="28"/>
        </w:rPr>
        <w:t xml:space="preserve">Sample Result</w:t>
      </w:r>
    </w:p>
    <w:p>
      <w:pPr>
        <w:spacing w:after="80" w:before="60"/>
        <w:jc w:val="both"/>
      </w:pPr>
      <w:r>
        <w:rPr>
          <w:rFonts w:ascii="Arial" w:cs="Arial" w:eastAsia="Arial" w:hAnsi="Arial"/>
          <w:b w:val="false"/>
          <w:bCs w:val="false"/>
          <w:i w:val="false"/>
          <w:iCs w:val="false"/>
          <w:color w:val="212121"/>
          <w:sz w:val="22"/>
          <w:szCs w:val="22"/>
        </w:rPr>
        <w:t xml:space="preserve">On the default grid with Hub (0,2), Pickup (0,0), Drop-off (9,9), A* found a 37-step route traversing 23 commercial corridor cells and 14 other-zone cells. The commercial corridor discount saved approximately 4.6 cost units compared to a naive shortest-hop count. The path is rendered on the grid with colour-coded segments for each of the three legs.</w:t>
      </w:r>
    </w:p>
    <w:p>
      <w:r>
        <w:rPr>
          <w:rFonts w:ascii="Arial" w:cs="Arial" w:eastAsia="Arial" w:hAnsi="Arial"/>
          <w:sz w:val="22"/>
          <w:szCs w:val="22"/>
        </w:rPr>
        <w:t xml:space="preserve"/>
      </w:r>
    </w:p>
    <w:p>
      <w:pPr>
        <w:spacing w:after="80" w:before="120"/>
        <w:jc w:val="center"/>
      </w:pPr>
      <w:r>
        <w:drawing>
          <wp:inline distT="0" distB="0" distL="0" distR="0">
            <wp:extent cx="5943600" cy="2971800"/>
            <wp:effectExtent t="0" r="0" b="0" l="0"/>
            <wp:docPr id="1" name="Figure 15 — Path Planner: route configuration, hub selector and extra no-fly controls" descr="Figure 15 — Path Planner: route configuration, hub selector and extra no-fly controls" title="Figure 15 — Path Planner: route configuration, hub selector and extra no-fly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29718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15 — Path Planner: route configuration, hub selector and extra no-fly controls</w:t>
      </w:r>
    </w:p>
    <w:p>
      <w:pPr>
        <w:spacing w:after="80" w:before="120"/>
        <w:jc w:val="center"/>
      </w:pPr>
      <w:r>
        <w:drawing>
          <wp:inline distT="0" distB="0" distL="0" distR="0">
            <wp:extent cx="5943600" cy="2971800"/>
            <wp:effectExtent t="0" r="0" b="0" l="0"/>
            <wp:docPr id="1" name="Figure 16 — A* route result: segments Hub→Pickup, Pickup→Drop-off, Drop-off→Hub" descr="Figure 16 — A* route result: segments Hub→Pickup, Pickup→Drop-off, Drop-off→Hub" title="Figure 16 — A* route result: segments Hub→Pickup, Pickup→Drop-off, Drop-off→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29718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16 — A* route result: segments Hub→Pickup, Pickup→Drop-off, Drop-off→Hub</w:t>
      </w:r>
    </w:p>
    <w:p>
      <w:pPr>
        <w:spacing w:after="80" w:before="120"/>
        <w:jc w:val="center"/>
      </w:pPr>
      <w:r>
        <w:drawing>
          <wp:inline distT="0" distB="0" distL="0" distR="0">
            <wp:extent cx="5943600" cy="2971800"/>
            <wp:effectExtent t="0" r="0" b="0" l="0"/>
            <wp:docPr id="1" name="Figure 17 — Route metrics: total cost, steps, commercial corridor savings" descr="Figure 17 — Route metrics: total cost, steps, commercial corridor savings" title="Figure 17 — Route metrics: total cost, steps, commercial corridor sav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29718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17 — Route metrics: total cost, steps, commercial corridor savings</w:t>
      </w:r>
    </w:p>
    <w:p>
      <w:pPr>
        <w:spacing w:after="80" w:before="120"/>
        <w:jc w:val="center"/>
      </w:pPr>
      <w:r>
        <w:drawing>
          <wp:inline distT="0" distB="0" distL="0" distR="0">
            <wp:extent cx="5943600" cy="2971800"/>
            <wp:effectExtent t="0" r="0" b="0" l="0"/>
            <wp:docPr id="1" name="Figure 18 — Cost breakdown table: 37 cells visited, 23 commercial corridor cells" descr="Figure 18 — Cost breakdown table: 37 cells visited, 23 commercial corridor cells" title="Figure 18 — Cost breakdown table: 37 cells visited, 23 commercial corridor ce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29718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18 — Cost breakdown table: 37 cells visited, 23 commercial corridor cells</w:t>
      </w:r>
    </w:p>
    <w:p>
      <w:pPr>
        <w:spacing w:after="80" w:before="120"/>
        <w:jc w:val="center"/>
      </w:pPr>
      <w:r>
        <w:drawing>
          <wp:inline distT="0" distB="0" distL="0" distR="0">
            <wp:extent cx="5943600" cy="2971800"/>
            <wp:effectExtent t="0" r="0" b="0" l="0"/>
            <wp:docPr id="1" name="Figure 19 — Grid visualisation of the computed A* path" descr="Figure 19 — Grid visualisation of the computed A* path" title="Figure 19 — Grid visualisation of the computed A*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29718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19 — Grid visualisation of the computed A* path</w:t>
      </w:r>
    </w:p>
    <w:p>
      <w:pPr>
        <w:spacing w:after="80" w:before="120"/>
        <w:jc w:val="center"/>
      </w:pPr>
      <w:r>
        <w:drawing>
          <wp:inline distT="0" distB="0" distL="0" distR="0">
            <wp:extent cx="5943600" cy="2971800"/>
            <wp:effectExtent t="0" r="0" b="0" l="0"/>
            <wp:docPr id="1" name="Figure 20 — A* path overlaid on city grid with pickup and drop-off markers" descr="Figure 20 — A* path overlaid on city grid with pickup and drop-off markers" title="Figure 20 — A* path overlaid on city grid with pickup and drop-off mar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29718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20 — A* path overlaid on city grid with pickup and drop-off markers</w:t>
      </w:r>
    </w:p>
    <w:p>
      <w:pPr>
        <w:spacing w:after="80" w:before="120"/>
        <w:jc w:val="center"/>
      </w:pPr>
      <w:r>
        <w:drawing>
          <wp:inline distT="0" distB="0" distL="0" distR="0">
            <wp:extent cx="5943600" cy="2971800"/>
            <wp:effectExtent t="0" r="0" b="0" l="0"/>
            <wp:docPr id="1" name="Figure 21 — Path detail with no-fly cells blocked in red" descr="Figure 21 — Path detail with no-fly cells blocked in red" title="Figure 21 — Path detail with no-fly cells block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29718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21 — Path detail with no-fly cells blocked in red</w:t>
      </w:r>
    </w:p>
    <w:p>
      <w:pPr>
        <w:spacing w:after="80" w:before="120"/>
        <w:jc w:val="center"/>
      </w:pPr>
      <w:r>
        <w:drawing>
          <wp:inline distT="0" distB="0" distL="0" distR="0">
            <wp:extent cx="5943600" cy="2971800"/>
            <wp:effectExtent t="0" r="0" b="0" l="0"/>
            <wp:docPr id="1" name="Figure 22 — Full route segment breakdown with per-segment cost and step count" descr="Figure 22 — Full route segment breakdown with per-segment cost and step count" title="Figure 22 — Full route segment breakdown with per-segment cost and step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29718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22 — Full route segment breakdown with per-segment cost and step count</w:t>
      </w:r>
    </w:p>
    <w:p>
      <w:r>
        <w:br w:type="page"/>
      </w:r>
    </w:p>
    <w:p>
      <w:pPr>
        <w:pStyle w:val="Heading1"/>
        <w:pBdr>
          <w:bottom w:val="single" w:color="4B0082" w:sz="8" w:space="6"/>
        </w:pBdr>
        <w:spacing w:after="160" w:before="360"/>
      </w:pPr>
      <w:r>
        <w:rPr>
          <w:rFonts w:ascii="Arial" w:cs="Arial" w:eastAsia="Arial" w:hAnsi="Arial"/>
          <w:b/>
          <w:bCs/>
          <w:color w:val="4B0082"/>
          <w:sz w:val="36"/>
          <w:szCs w:val="36"/>
        </w:rPr>
        <w:t xml:space="preserve">5. Disruption Handler</w:t>
      </w:r>
    </w:p>
    <w:p>
      <w:pPr>
        <w:spacing w:after="80" w:before="60"/>
        <w:jc w:val="both"/>
      </w:pPr>
      <w:r>
        <w:rPr>
          <w:rFonts w:ascii="Arial" w:cs="Arial" w:eastAsia="Arial" w:hAnsi="Arial"/>
          <w:b w:val="false"/>
          <w:bCs w:val="false"/>
          <w:i w:val="false"/>
          <w:iCs w:val="false"/>
          <w:color w:val="212121"/>
          <w:sz w:val="22"/>
          <w:szCs w:val="22"/>
        </w:rPr>
        <w:t xml:space="preserve">Module 4 simulates real-time disruptions by activating no-fly zones mid-flight. When a cell is marked no-fly, any drone whose current route passes through that cell must immediately replan. The handler calls A* again from the drone's current position to its next waypoint using the updated grid, then reconstructs the remaining route. If no safe path can be found, the delivery is marked DELAYED.</w:t>
      </w:r>
    </w:p>
    <w:p>
      <w:pPr>
        <w:pStyle w:val="Heading2"/>
        <w:spacing w:after="120" w:before="280"/>
      </w:pPr>
      <w:r>
        <w:rPr>
          <w:rFonts w:ascii="Arial" w:cs="Arial" w:eastAsia="Arial" w:hAnsi="Arial"/>
          <w:b/>
          <w:bCs/>
          <w:color w:val="7B2FBE"/>
          <w:sz w:val="28"/>
          <w:szCs w:val="28"/>
        </w:rPr>
        <w:t xml:space="preserve">Event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C4E9" w:sz="4"/>
              <w:left w:val="single" w:color="D1C4E9" w:sz="4"/>
              <w:bottom w:val="single" w:color="D1C4E9" w:sz="4"/>
              <w:right w:val="single" w:color="D1C4E9" w:sz="4"/>
            </w:tcBorders>
            <w:shd w:fill="4B0082"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4680"/>
            <w:tcBorders>
              <w:top w:val="single" w:color="D1C4E9" w:sz="4"/>
              <w:left w:val="single" w:color="D1C4E9" w:sz="4"/>
              <w:bottom w:val="single" w:color="D1C4E9" w:sz="4"/>
              <w:right w:val="single" w:color="D1C4E9" w:sz="4"/>
            </w:tcBorders>
            <w:shd w:fill="4B0082" w:val="clear"/>
            <w:tcMar>
              <w:top w:type="dxa" w:w="80"/>
              <w:left w:type="dxa" w:w="120"/>
              <w:bottom w:type="dxa" w:w="80"/>
              <w:right w:type="dxa" w:w="120"/>
            </w:tcMar>
          </w:tcPr>
          <w:p>
            <w:r>
              <w:rPr>
                <w:rFonts w:ascii="Arial" w:cs="Arial" w:eastAsia="Arial" w:hAnsi="Arial"/>
                <w:b/>
                <w:bCs/>
                <w:color w:val="FFFFFF"/>
                <w:sz w:val="20"/>
                <w:szCs w:val="20"/>
              </w:rPr>
              <w:t xml:space="preserve">System Action</w:t>
            </w:r>
          </w:p>
        </w:tc>
      </w:tr>
      <w:tr>
        <w:trPr>
          <w:tblHeader w:val="false"/>
        </w:trPr>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No-fly cell activated</w:t>
            </w:r>
          </w:p>
        </w:tc>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grid[row][col].no_fly = True; all route checks re-run</w:t>
            </w:r>
          </w:p>
        </w:tc>
      </w:tr>
      <w:tr>
        <w:trPr>
          <w:tblHeader w:val="false"/>
        </w:trPr>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Route crosses no-fly cell</w:t>
            </w:r>
          </w:p>
        </w:tc>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 called again from current drone position</w:t>
            </w:r>
          </w:p>
        </w:tc>
      </w:tr>
      <w:tr>
        <w:trPr>
          <w:tblHeader w:val="false"/>
        </w:trPr>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 safe path exists</w:t>
            </w:r>
          </w:p>
        </w:tc>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Delivery marked DELAYED; drone idles at current cell</w:t>
            </w:r>
          </w:p>
        </w:tc>
      </w:tr>
      <w:tr>
        <w:trPr>
          <w:tblHeader w:val="false"/>
        </w:trPr>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Anomaly detected</w:t>
            </w:r>
          </w:p>
        </w:tc>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Optional: activate nearby no-fly cell or force hub return</w:t>
            </w:r>
          </w:p>
        </w:tc>
      </w:tr>
    </w:tbl>
    <w:p>
      <w:r>
        <w:rPr>
          <w:rFonts w:ascii="Arial" w:cs="Arial" w:eastAsia="Arial" w:hAnsi="Arial"/>
          <w:sz w:val="22"/>
          <w:szCs w:val="22"/>
        </w:rPr>
        <w:t xml:space="preserve"/>
      </w:r>
    </w:p>
    <w:p>
      <w:pPr>
        <w:pStyle w:val="Heading2"/>
        <w:spacing w:after="120" w:before="280"/>
      </w:pPr>
      <w:r>
        <w:rPr>
          <w:rFonts w:ascii="Arial" w:cs="Arial" w:eastAsia="Arial" w:hAnsi="Arial"/>
          <w:b/>
          <w:bCs/>
          <w:color w:val="7B2FBE"/>
          <w:sz w:val="28"/>
          <w:szCs w:val="28"/>
        </w:rPr>
        <w:t xml:space="preserve">Implementation</w:t>
      </w:r>
    </w:p>
    <w:p>
      <w:pPr>
        <w:spacing w:after="80" w:before="60"/>
        <w:jc w:val="both"/>
      </w:pPr>
      <w:r>
        <w:rPr>
          <w:rFonts w:ascii="Arial" w:cs="Arial" w:eastAsia="Arial" w:hAnsi="Arial"/>
          <w:b w:val="false"/>
          <w:bCs w:val="false"/>
          <w:i w:val="false"/>
          <w:iCs w:val="false"/>
          <w:color w:val="212121"/>
          <w:sz w:val="22"/>
          <w:szCs w:val="22"/>
        </w:rPr>
        <w:t xml:space="preserve">The Streamlit page reads the last route computed by the Path Planner (hub, pickup, drop-off coordinates). The user enters a row and column to activate as a new no-fly zone and presses Activate. The handler adds that cell to the extra_no_fly set, rebuilds the adapter grid, and re-runs plan_delivery_route. The page displays the original path with a dashed overlay, the rerouted path in a new colour, and a route comparison panel showing original cost, new cost, and steps change.</w:t>
      </w:r>
    </w:p>
    <w:p>
      <w:pPr>
        <w:spacing w:after="80" w:before="60"/>
        <w:jc w:val="both"/>
      </w:pPr>
      <w:r>
        <w:rPr>
          <w:rFonts w:ascii="Arial" w:cs="Arial" w:eastAsia="Arial" w:hAnsi="Arial"/>
          <w:b w:val="false"/>
          <w:bCs w:val="false"/>
          <w:i w:val="false"/>
          <w:iCs w:val="false"/>
          <w:color w:val="212121"/>
          <w:sz w:val="22"/>
          <w:szCs w:val="22"/>
        </w:rPr>
        <w:t xml:space="preserve">In the sample run shown, activating no-fly at (9,3) — which falls on the original drop-off corridor — caused the rerouting to fail: no alternative safe path existed between hub (0,2), pickup (0,0) and drop-off (9,9) avoiding all blocked cells. The system correctly reported the delivery as DELAYED with the original cost of 31.6 preserved in the comparison panel.</w:t>
      </w:r>
    </w:p>
    <w:p>
      <w:r>
        <w:rPr>
          <w:rFonts w:ascii="Arial" w:cs="Arial" w:eastAsia="Arial" w:hAnsi="Arial"/>
          <w:sz w:val="22"/>
          <w:szCs w:val="22"/>
        </w:rPr>
        <w:t xml:space="preserve"/>
      </w:r>
    </w:p>
    <w:p>
      <w:pPr>
        <w:spacing w:after="80" w:before="120"/>
        <w:jc w:val="center"/>
      </w:pPr>
      <w:r>
        <w:drawing>
          <wp:inline distT="0" distB="0" distL="0" distR="0">
            <wp:extent cx="5943600" cy="3086100"/>
            <wp:effectExtent t="0" r="0" b="0" l="0"/>
            <wp:docPr id="1" name="Figure 23 — Disruption Handler: route context and no-fly activation form" descr="Figure 23 — Disruption Handler: route context and no-fly activation form" title="Figure 23 — Disruption Handler: route context and no-fly activatio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30861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23 — Disruption Handler: route context and no-fly activation form</w:t>
      </w:r>
    </w:p>
    <w:p>
      <w:pPr>
        <w:spacing w:after="80" w:before="120"/>
        <w:jc w:val="center"/>
      </w:pPr>
      <w:r>
        <w:drawing>
          <wp:inline distT="0" distB="0" distL="0" distR="0">
            <wp:extent cx="5943600" cy="3086100"/>
            <wp:effectExtent t="0" r="0" b="0" l="0"/>
            <wp:docPr id="1" name="Figure 24 — Disruption triggered: rerouting A* re-runs from current position" descr="Figure 24 — Disruption triggered: rerouting A* re-runs from current position" title="Figure 24 — Disruption triggered: rerouting A* re-runs from current 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30861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24 — Disruption triggered: rerouting A* re-runs from current position</w:t>
      </w:r>
    </w:p>
    <w:p>
      <w:pPr>
        <w:spacing w:after="80" w:before="120"/>
        <w:jc w:val="center"/>
      </w:pPr>
      <w:r>
        <w:drawing>
          <wp:inline distT="0" distB="0" distL="0" distR="0">
            <wp:extent cx="5943600" cy="3086100"/>
            <wp:effectExtent t="0" r="0" b="0" l="0"/>
            <wp:docPr id="1" name="Figure 25 — Rerouted path vs original path on the grid" descr="Figure 25 — Rerouted path vs original path on the grid" title="Figure 25 — Rerouted path vs original path on the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43600" cy="30861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25 — Rerouted path vs original path on the grid</w:t>
      </w:r>
    </w:p>
    <w:p>
      <w:pPr>
        <w:spacing w:after="80" w:before="120"/>
        <w:jc w:val="center"/>
      </w:pPr>
      <w:r>
        <w:drawing>
          <wp:inline distT="0" distB="0" distL="0" distR="0">
            <wp:extent cx="5943600" cy="3086100"/>
            <wp:effectExtent t="0" r="0" b="0" l="0"/>
            <wp:docPr id="1" name="Figure 26 — Route comparison: original cost 31.6, delivery DELAYED — no safe path" descr="Figure 26 — Route comparison: original cost 31.6, delivery DELAYED — no safe path" title="Figure 26 — Route comparison: original cost 31.6, delivery DELAYED — no safe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30861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26 — Route comparison: original cost 31.6, delivery DELAYED — no safe path</w:t>
      </w:r>
    </w:p>
    <w:p>
      <w:r>
        <w:br w:type="page"/>
      </w:r>
    </w:p>
    <w:p>
      <w:pPr>
        <w:pStyle w:val="Heading1"/>
        <w:pBdr>
          <w:bottom w:val="single" w:color="4B0082" w:sz="8" w:space="6"/>
        </w:pBdr>
        <w:spacing w:after="160" w:before="360"/>
      </w:pPr>
      <w:r>
        <w:rPr>
          <w:rFonts w:ascii="Arial" w:cs="Arial" w:eastAsia="Arial" w:hAnsi="Arial"/>
          <w:b/>
          <w:bCs/>
          <w:color w:val="4B0082"/>
          <w:sz w:val="36"/>
          <w:szCs w:val="36"/>
        </w:rPr>
        <w:t xml:space="preserve">6. ML Pipeline</w:t>
      </w:r>
    </w:p>
    <w:p>
      <w:pPr>
        <w:spacing w:after="80" w:before="60"/>
        <w:jc w:val="both"/>
      </w:pPr>
      <w:r>
        <w:rPr>
          <w:rFonts w:ascii="Arial" w:cs="Arial" w:eastAsia="Arial" w:hAnsi="Arial"/>
          <w:b w:val="false"/>
          <w:bCs w:val="false"/>
          <w:i w:val="false"/>
          <w:iCs w:val="false"/>
          <w:color w:val="212121"/>
          <w:sz w:val="22"/>
          <w:szCs w:val="22"/>
        </w:rPr>
        <w:t xml:space="preserve">Module 5 provides the machine learning backbone of the project through two trained models loaded from serialised .pkl files. The demand forecasting model predicts delivery demand for any hour/season/weather combination and can sweep the entire 10×10 grid to produce a demand heatmap. The anomaly detection model classifies drone telemetry readings into four categories in real time.</w:t>
      </w:r>
    </w:p>
    <w:p>
      <w:pPr>
        <w:pStyle w:val="Heading2"/>
        <w:spacing w:after="120" w:before="280"/>
      </w:pPr>
      <w:r>
        <w:rPr>
          <w:rFonts w:ascii="Arial" w:cs="Arial" w:eastAsia="Arial" w:hAnsi="Arial"/>
          <w:b/>
          <w:bCs/>
          <w:color w:val="7B2FBE"/>
          <w:sz w:val="28"/>
          <w:szCs w:val="28"/>
        </w:rPr>
        <w:t xml:space="preserve">6.1  Demand Forecasting (Regression)</w:t>
      </w:r>
    </w:p>
    <w:p>
      <w:pPr>
        <w:spacing w:after="80" w:before="60"/>
        <w:jc w:val="both"/>
      </w:pPr>
      <w:r>
        <w:rPr>
          <w:rFonts w:ascii="Arial" w:cs="Arial" w:eastAsia="Arial" w:hAnsi="Arial"/>
          <w:b w:val="false"/>
          <w:bCs w:val="false"/>
          <w:i w:val="false"/>
          <w:iCs w:val="false"/>
          <w:color w:val="212121"/>
          <w:sz w:val="22"/>
          <w:szCs w:val="22"/>
        </w:rPr>
        <w:t xml:space="preserve">The demand model is trained on the Kaggle Bike Sharing Demand dataset. Features used are hour, season, holiday flag, working day flag, weather condition code, normalised temperature, humidity, and wind speed. A Random Forest Regressor was trained alongside Linear Regression, Ridge, and Gradient Boosting for comparison. The Random Forest produced the best R² score on the held-out test set.</w:t>
      </w:r>
    </w:p>
    <w:p>
      <w:pPr>
        <w:spacing w:after="80" w:before="60"/>
        <w:jc w:val="both"/>
      </w:pPr>
      <w:r>
        <w:rPr>
          <w:rFonts w:ascii="Arial" w:cs="Arial" w:eastAsia="Arial" w:hAnsi="Arial"/>
          <w:b w:val="false"/>
          <w:bCs w:val="false"/>
          <w:i w:val="false"/>
          <w:iCs w:val="false"/>
          <w:color w:val="212121"/>
          <w:sz w:val="22"/>
          <w:szCs w:val="22"/>
        </w:rPr>
        <w:t xml:space="preserve">The key feature driving demand is hour of day (importance ≈ 0.63 in the Random Forest), followed by temperature (≈ 0.15). Season, humidity, and weather contribute smaller but meaningful fractions. Demand peaks between 17:00–18:00 (evening rush), with a secondary peak at 08:00, and drops sharply after midnight — a pattern consistent with commuter-driven bike-sharing that the model uses as a proxy for drone delivery demand.</w:t>
      </w:r>
    </w:p>
    <w:p>
      <w:pPr>
        <w:pStyle w:val="Heading2"/>
        <w:spacing w:after="120" w:before="280"/>
      </w:pPr>
      <w:r>
        <w:rPr>
          <w:rFonts w:ascii="Arial" w:cs="Arial" w:eastAsia="Arial" w:hAnsi="Arial"/>
          <w:b/>
          <w:bCs/>
          <w:color w:val="7B2FBE"/>
          <w:sz w:val="28"/>
          <w:szCs w:val="28"/>
        </w:rPr>
        <w:t xml:space="preserve">6.2  Anomaly Detection (Classification)</w:t>
      </w:r>
    </w:p>
    <w:p>
      <w:pPr>
        <w:spacing w:after="80" w:before="60"/>
        <w:jc w:val="both"/>
      </w:pPr>
      <w:r>
        <w:rPr>
          <w:rFonts w:ascii="Arial" w:cs="Arial" w:eastAsia="Arial" w:hAnsi="Arial"/>
          <w:b w:val="false"/>
          <w:bCs w:val="false"/>
          <w:i w:val="false"/>
          <w:iCs w:val="false"/>
          <w:color w:val="212121"/>
          <w:sz w:val="22"/>
          <w:szCs w:val="22"/>
        </w:rPr>
        <w:t xml:space="preserve">The anomaly classifier is trained on synthetic drone telemetry with four classes: Normal, Battery Anomaly, Route Anomaly, and Sensor Spike. Each class is defined by a deterministic rule applied to features such as battery_drop, route_deviation, altitude_change, and speed_change. A Battery Anomaly is characterised by a sudden high battery_drop; a Route Anomaly by a high route_deviation; a Sensor Spike by abnormal altitude or speed changes.</w:t>
      </w:r>
    </w:p>
    <w:p>
      <w:pPr>
        <w:spacing w:after="80" w:before="60"/>
        <w:jc w:val="both"/>
      </w:pPr>
      <w:r>
        <w:rPr>
          <w:rFonts w:ascii="Arial" w:cs="Arial" w:eastAsia="Arial" w:hAnsi="Arial"/>
          <w:b w:val="false"/>
          <w:bCs w:val="false"/>
          <w:i w:val="false"/>
          <w:iCs w:val="false"/>
          <w:color w:val="212121"/>
          <w:sz w:val="22"/>
          <w:szCs w:val="22"/>
        </w:rPr>
        <w:t xml:space="preserve">Four classifiers were evaluated on a stratified 80/20 split: Random Forest, Decision Tree, KNN, and Naive Bayes. Random Forest, Decision Tree, and Naive Bayes all achieved 100% accuracy on the held-out test set. KNN achieved 99.8% (one Battery Anomaly misclassified as Route Anomaly, and one Route Anomaly missed). The confusion matrices confirm all four models can cleanly separate the synthetic classes, which is expected given the deterministic construction of the anomaly labels.</w:t>
      </w:r>
    </w:p>
    <w:p>
      <w:pPr>
        <w:spacing w:after="80" w:before="60"/>
        <w:jc w:val="both"/>
      </w:pPr>
      <w:r>
        <w:rPr>
          <w:rFonts w:ascii="Arial" w:cs="Arial" w:eastAsia="Arial" w:hAnsi="Arial"/>
          <w:b w:val="false"/>
          <w:bCs w:val="false"/>
          <w:i w:val="false"/>
          <w:iCs w:val="false"/>
          <w:color w:val="212121"/>
          <w:sz w:val="22"/>
          <w:szCs w:val="22"/>
        </w:rPr>
        <w:t xml:space="preserve">In the anomaly feature importance plot, battery_drop and route_deviation together account for over 70% of the Random Forest's decision power, with altitude_change and speed_change contributing the remaining 30%. This aligns with the synthetic rules used to generate the labels.</w:t>
      </w:r>
    </w:p>
    <w:p>
      <w:r>
        <w:rPr>
          <w:rFonts w:ascii="Arial" w:cs="Arial" w:eastAsia="Arial" w:hAnsi="Arial"/>
          <w:sz w:val="22"/>
          <w:szCs w:val="22"/>
        </w:rPr>
        <w:t xml:space="preserve"/>
      </w:r>
    </w:p>
    <w:p>
      <w:pPr>
        <w:spacing w:after="80" w:before="120"/>
        <w:jc w:val="center"/>
      </w:pPr>
      <w:r>
        <w:drawing>
          <wp:inline distT="0" distB="0" distL="0" distR="0">
            <wp:extent cx="5943600" cy="2857500"/>
            <wp:effectExtent t="0" r="0" b="0" l="0"/>
            <wp:docPr id="1" name="Figure 27 — ML Pipeline: demand forecasting input panel" descr="Figure 27 — ML Pipeline: demand forecasting input panel" title="Figure 27 — ML Pipeline: demand forecasting input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43600" cy="28575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27 — ML Pipeline: demand forecasting input panel</w:t>
      </w:r>
    </w:p>
    <w:p>
      <w:pPr>
        <w:spacing w:after="80" w:before="120"/>
        <w:jc w:val="center"/>
      </w:pPr>
      <w:r>
        <w:drawing>
          <wp:inline distT="0" distB="0" distL="0" distR="0">
            <wp:extent cx="5943600" cy="2857500"/>
            <wp:effectExtent t="0" r="0" b="0" l="0"/>
            <wp:docPr id="1" name="Figure 28 — Single-point demand forecast output" descr="Figure 28 — Single-point demand forecast output" title="Figure 28 — Single-point demand forecast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43600" cy="28575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28 — Single-point demand forecast output</w:t>
      </w:r>
    </w:p>
    <w:p>
      <w:pPr>
        <w:spacing w:after="80" w:before="120"/>
        <w:jc w:val="center"/>
      </w:pPr>
      <w:r>
        <w:drawing>
          <wp:inline distT="0" distB="0" distL="0" distR="0">
            <wp:extent cx="5943600" cy="2857500"/>
            <wp:effectExtent t="0" r="0" b="0" l="0"/>
            <wp:docPr id="1" name="Figure 29 — 10×10 demand heatmap: all grid cells predicted simultaneously" descr="Figure 29 — 10×10 demand heatmap: all grid cells predicted simultaneously" title="Figure 29 — 10×10 demand heatmap: all grid cells predicted simultaneous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43600" cy="28575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29 — 10×10 demand heatmap: all grid cells predicted simultaneously</w:t>
      </w:r>
    </w:p>
    <w:p>
      <w:pPr>
        <w:spacing w:after="80" w:before="120"/>
        <w:jc w:val="center"/>
      </w:pPr>
      <w:r>
        <w:drawing>
          <wp:inline distT="0" distB="0" distL="0" distR="0">
            <wp:extent cx="5943600" cy="2857500"/>
            <wp:effectExtent t="0" r="0" b="0" l="0"/>
            <wp:docPr id="1" name="Figure 30 — Anomaly detection input form with drone telemetry fields" descr="Figure 30 — Anomaly detection input form with drone telemetry fields" title="Figure 30 — Anomaly detection input form with drone telemetry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43600" cy="28575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30 — Anomaly detection input form with drone telemetry fields</w:t>
      </w:r>
    </w:p>
    <w:p>
      <w:pPr>
        <w:spacing w:after="80" w:before="120"/>
        <w:jc w:val="center"/>
      </w:pPr>
      <w:r>
        <w:drawing>
          <wp:inline distT="0" distB="0" distL="0" distR="0">
            <wp:extent cx="5943600" cy="2857500"/>
            <wp:effectExtent t="0" r="0" b="0" l="0"/>
            <wp:docPr id="1" name="Figure 31 — Anomaly classification result with prediction confidence" descr="Figure 31 — Anomaly classification result with prediction confidence" title="Figure 31 — Anomaly classification result with prediction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43600" cy="28575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31 — Anomaly classification result with prediction confidence</w:t>
      </w:r>
    </w:p>
    <w:p>
      <w:pPr>
        <w:spacing w:after="80" w:before="120"/>
        <w:jc w:val="center"/>
      </w:pPr>
      <w:r>
        <w:drawing>
          <wp:inline distT="0" distB="0" distL="0" distR="0">
            <wp:extent cx="5943600" cy="2857500"/>
            <wp:effectExtent t="0" r="0" b="0" l="0"/>
            <wp:docPr id="1" name="Figure 32 — Anomaly classifier performance: 100% accuracy, confusion matrix" descr="Figure 32 — Anomaly classifier performance: 100% accuracy, confusion matrix" title="Figure 32 — Anomaly classifier performance: 100% accuracy,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43600" cy="28575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32 — Anomaly classifier performance: 100% accuracy, confusion matrix</w:t>
      </w:r>
    </w:p>
    <w:p>
      <w:pPr>
        <w:spacing w:after="80" w:before="120"/>
        <w:jc w:val="center"/>
      </w:pPr>
      <w:r>
        <w:drawing>
          <wp:inline distT="0" distB="0" distL="0" distR="0">
            <wp:extent cx="5943600" cy="2857500"/>
            <wp:effectExtent t="0" r="0" b="0" l="0"/>
            <wp:docPr id="1" name="Figure 33 — Demand EDA tab: average demand by hour of day" descr="Figure 33 — Demand EDA tab: average demand by hour of day" title="Figure 33 — Demand EDA tab: average demand by hour of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43600" cy="28575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33 — Demand EDA tab: average demand by hour of day</w:t>
      </w:r>
    </w:p>
    <w:p>
      <w:pPr>
        <w:spacing w:after="80" w:before="120"/>
        <w:jc w:val="center"/>
      </w:pPr>
      <w:r>
        <w:drawing>
          <wp:inline distT="0" distB="0" distL="0" distR="0">
            <wp:extent cx="5943600" cy="2857500"/>
            <wp:effectExtent t="0" r="0" b="0" l="0"/>
            <wp:docPr id="1" name="Figure 34 — Demand EDA: demand by season and by weather condition" descr="Figure 34 — Demand EDA: demand by season and by weather condition" title="Figure 34 — Demand EDA: demand by season and by weather con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43600" cy="28575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34 — Demand EDA: demand by season and by weather condition</w:t>
      </w:r>
    </w:p>
    <w:p>
      <w:pPr>
        <w:spacing w:after="80" w:before="120"/>
        <w:jc w:val="center"/>
      </w:pPr>
      <w:r>
        <w:drawing>
          <wp:inline distT="0" distB="0" distL="0" distR="0">
            <wp:extent cx="5943600" cy="2857500"/>
            <wp:effectExtent t="0" r="0" b="0" l="0"/>
            <wp:docPr id="1" name="Figure 35 — Temperature vs demand scatter plot" descr="Figure 35 — Temperature vs demand scatter plot" title="Figure 35 — Temperature vs demand scatter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43600" cy="28575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35 — Temperature vs demand scatter plot</w:t>
      </w:r>
    </w:p>
    <w:p>
      <w:pPr>
        <w:spacing w:after="80" w:before="120"/>
        <w:jc w:val="center"/>
      </w:pPr>
      <w:r>
        <w:drawing>
          <wp:inline distT="0" distB="0" distL="0" distR="0">
            <wp:extent cx="5943600" cy="2857500"/>
            <wp:effectExtent t="0" r="0" b="0" l="0"/>
            <wp:docPr id="1" name="Figure 36 — Demand model comparison: RMSE and MAE across regressors" descr="Figure 36 — Demand model comparison: RMSE and MAE across regressors" title="Figure 36 — Demand model comparison: RMSE and MAE across regress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43600" cy="28575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36 — Demand model comparison: RMSE and MAE across regressors</w:t>
      </w:r>
    </w:p>
    <w:p>
      <w:pPr>
        <w:spacing w:after="80" w:before="120"/>
        <w:jc w:val="center"/>
      </w:pPr>
      <w:r>
        <w:drawing>
          <wp:inline distT="0" distB="0" distL="0" distR="0">
            <wp:extent cx="5943600" cy="2857500"/>
            <wp:effectExtent t="0" r="0" b="0" l="0"/>
            <wp:docPr id="1" name="Figure 37 — Demand model comparison: R² scores" descr="Figure 37 — Demand model comparison: R² scores" title="Figure 37 — Demand model comparison: R²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43600" cy="28575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37 — Demand model comparison: R² scores</w:t>
      </w:r>
    </w:p>
    <w:p>
      <w:pPr>
        <w:spacing w:after="80" w:before="120"/>
        <w:jc w:val="center"/>
      </w:pPr>
      <w:r>
        <w:drawing>
          <wp:inline distT="0" distB="0" distL="0" distR="0">
            <wp:extent cx="5943600" cy="2857500"/>
            <wp:effectExtent t="0" r="0" b="0" l="0"/>
            <wp:docPr id="1" name="Figure 38 — Anomaly model comparison: all four classifiers at 100% accuracy" descr="Figure 38 — Anomaly model comparison: all four classifiers at 100% accuracy" title="Figure 38 — Anomaly model comparison: all four classifiers at 100% 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43600" cy="28575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38 — Anomaly model comparison: all four classifiers at 100% accuracy</w:t>
      </w:r>
    </w:p>
    <w:p>
      <w:pPr>
        <w:spacing w:after="80" w:before="120"/>
        <w:jc w:val="center"/>
      </w:pPr>
      <w:r>
        <w:drawing>
          <wp:inline distT="0" distB="0" distL="0" distR="0">
            <wp:extent cx="5943600" cy="2857500"/>
            <wp:effectExtent t="0" r="0" b="0" l="0"/>
            <wp:docPr id="1" name="Figure 39 — Anomaly Analysis: feature boxplots by anomaly type" descr="Figure 39 — Anomaly Analysis: feature boxplots by anomaly type" title="Figure 39 — Anomaly Analysis: feature boxplots by anomaly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43600" cy="28575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39 — Anomaly Analysis: feature boxplots by anomaly type</w:t>
      </w:r>
    </w:p>
    <w:p>
      <w:pPr>
        <w:spacing w:after="80" w:before="120"/>
        <w:jc w:val="center"/>
      </w:pPr>
      <w:r>
        <w:drawing>
          <wp:inline distT="0" distB="0" distL="0" distR="0">
            <wp:extent cx="5943600" cy="2857500"/>
            <wp:effectExtent t="0" r="0" b="0" l="0"/>
            <wp:docPr id="1" name="Figure 40 — Feature distributions per anomaly class" descr="Figure 40 — Feature distributions per anomaly class" title="Figure 40 — Feature distributions per anomaly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43600" cy="28575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40 — Feature distributions per anomaly class</w:t>
      </w:r>
    </w:p>
    <w:p>
      <w:pPr>
        <w:spacing w:after="80" w:before="120"/>
        <w:jc w:val="center"/>
      </w:pPr>
      <w:r>
        <w:drawing>
          <wp:inline distT="0" distB="0" distL="0" distR="0">
            <wp:extent cx="5943600" cy="2857500"/>
            <wp:effectExtent t="0" r="0" b="0" l="0"/>
            <wp:docPr id="1" name="Figure 41 — Extended feature boxplots (altitude, battery, position)" descr="Figure 41 — Extended feature boxplots (altitude, battery, position)" title="Figure 41 — Extended feature boxplots (altitude, battery, 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43600" cy="28575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41 — Extended feature boxplots (altitude, battery, position)</w:t>
      </w:r>
    </w:p>
    <w:p>
      <w:pPr>
        <w:spacing w:after="80" w:before="120"/>
        <w:jc w:val="center"/>
      </w:pPr>
      <w:r>
        <w:drawing>
          <wp:inline distT="0" distB="0" distL="0" distR="0">
            <wp:extent cx="5943600" cy="2857500"/>
            <wp:effectExtent t="0" r="0" b="0" l="0"/>
            <wp:docPr id="1" name="Figure 42 — Confusion matrices for Decision Tree, Random Forest, KNN, Naive Bayes" descr="Figure 42 — Confusion matrices for Decision Tree, Random Forest, KNN, Naive Bayes" title="Figure 42 — Confusion matrices for Decision Tree, Random Forest, KNN, Naive Ba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43600" cy="28575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42 — Confusion matrices for Decision Tree, Random Forest, KNN, Naive Bayes</w:t>
      </w:r>
    </w:p>
    <w:p>
      <w:pPr>
        <w:spacing w:after="80" w:before="120"/>
        <w:jc w:val="center"/>
      </w:pPr>
      <w:r>
        <w:drawing>
          <wp:inline distT="0" distB="0" distL="0" distR="0">
            <wp:extent cx="5943600" cy="2857500"/>
            <wp:effectExtent t="0" r="0" b="0" l="0"/>
            <wp:docPr id="1" name="Figure 43 — Decision tree structure visualisation" descr="Figure 43 — Decision tree structure visualisation" title="Figure 43 — Decision tree structure visua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43600" cy="28575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43 — Decision tree structure visualisation</w:t>
      </w:r>
    </w:p>
    <w:p>
      <w:pPr>
        <w:spacing w:after="80" w:before="120"/>
        <w:jc w:val="center"/>
      </w:pPr>
      <w:r>
        <w:drawing>
          <wp:inline distT="0" distB="0" distL="0" distR="0">
            <wp:extent cx="5943600" cy="2857500"/>
            <wp:effectExtent t="0" r="0" b="0" l="0"/>
            <wp:docPr id="1" name="Figure 44 — Demand correlation matrix" descr="Figure 44 — Demand correlation matrix" title="Figure 44 — Demand correlat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943600" cy="28575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44 — Demand correlation matrix</w:t>
      </w:r>
    </w:p>
    <w:p>
      <w:pPr>
        <w:spacing w:after="80" w:before="120"/>
        <w:jc w:val="center"/>
      </w:pPr>
      <w:r>
        <w:drawing>
          <wp:inline distT="0" distB="0" distL="0" distR="0">
            <wp:extent cx="5943600" cy="2857500"/>
            <wp:effectExtent t="0" r="0" b="0" l="0"/>
            <wp:docPr id="1" name="Figure 45 — Demand residual plots: predicted vs actual and error distribution" descr="Figure 45 — Demand residual plots: predicted vs actual and error distribution" title="Figure 45 — Demand residual plots: predicted vs actual and error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43600" cy="28575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45 — Demand residual plots: predicted vs actual and error distribution</w:t>
      </w:r>
    </w:p>
    <w:p>
      <w:pPr>
        <w:spacing w:after="80" w:before="120"/>
        <w:jc w:val="center"/>
      </w:pPr>
      <w:r>
        <w:drawing>
          <wp:inline distT="0" distB="0" distL="0" distR="0">
            <wp:extent cx="5943600" cy="2857500"/>
            <wp:effectExtent t="0" r="0" b="0" l="0"/>
            <wp:docPr id="1" name="Figure 46 — Feature importance: Demand RF and Anomaly RF side by side" descr="Figure 46 — Feature importance: Demand RF and Anomaly RF side by side" title="Figure 46 — Feature importance: Demand RF and Anomaly RF side by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943600" cy="28575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46 — Feature importance: Demand RF and Anomaly RF side by side</w:t>
      </w:r>
    </w:p>
    <w:p>
      <w:r>
        <w:br w:type="page"/>
      </w:r>
    </w:p>
    <w:p>
      <w:pPr>
        <w:pStyle w:val="Heading1"/>
        <w:pBdr>
          <w:bottom w:val="single" w:color="4B0082" w:sz="8" w:space="6"/>
        </w:pBdr>
        <w:spacing w:after="160" w:before="360"/>
      </w:pPr>
      <w:r>
        <w:rPr>
          <w:rFonts w:ascii="Arial" w:cs="Arial" w:eastAsia="Arial" w:hAnsi="Arial"/>
          <w:b/>
          <w:bCs/>
          <w:color w:val="4B0082"/>
          <w:sz w:val="36"/>
          <w:szCs w:val="36"/>
        </w:rPr>
        <w:t xml:space="preserve">7. Simulation</w:t>
      </w:r>
    </w:p>
    <w:p>
      <w:pPr>
        <w:spacing w:after="80" w:before="60"/>
        <w:jc w:val="both"/>
      </w:pPr>
      <w:r>
        <w:rPr>
          <w:rFonts w:ascii="Arial" w:cs="Arial" w:eastAsia="Arial" w:hAnsi="Arial"/>
          <w:b w:val="false"/>
          <w:bCs w:val="false"/>
          <w:i w:val="false"/>
          <w:iCs w:val="false"/>
          <w:color w:val="212121"/>
          <w:sz w:val="22"/>
          <w:szCs w:val="22"/>
        </w:rPr>
        <w:t xml:space="preserve">The Simulation page ties all five modules together into a single 20-step integration run. The system readiness panel confirms the state of each module before launch: CSP violations count, fleet composition (e.g. 5L + 2H), demand forecast (e.g. 71 units), anomaly status (None), and route planning status (Planned). The user can tune the no-fly activation step, no-fly cell coordinates, and anomaly detection step before pressing Run.</w:t>
      </w:r>
    </w:p>
    <w:p>
      <w:pPr>
        <w:pStyle w:val="Heading2"/>
        <w:spacing w:after="120" w:before="280"/>
      </w:pPr>
      <w:r>
        <w:rPr>
          <w:rFonts w:ascii="Arial" w:cs="Arial" w:eastAsia="Arial" w:hAnsi="Arial"/>
          <w:b/>
          <w:bCs/>
          <w:color w:val="7B2FBE"/>
          <w:sz w:val="28"/>
          <w:szCs w:val="28"/>
        </w:rPr>
        <w:t xml:space="preserve">20-Step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C4E9" w:sz="4"/>
              <w:left w:val="single" w:color="D1C4E9" w:sz="4"/>
              <w:bottom w:val="single" w:color="D1C4E9" w:sz="4"/>
              <w:right w:val="single" w:color="D1C4E9" w:sz="4"/>
            </w:tcBorders>
            <w:shd w:fill="4B0082" w:val="clear"/>
            <w:tcMar>
              <w:top w:type="dxa" w:w="80"/>
              <w:left w:type="dxa" w:w="120"/>
              <w:bottom w:type="dxa" w:w="80"/>
              <w:right w:type="dxa" w:w="120"/>
            </w:tcMar>
          </w:tcPr>
          <w:p>
            <w:r>
              <w:rPr>
                <w:rFonts w:ascii="Arial" w:cs="Arial" w:eastAsia="Arial" w:hAnsi="Arial"/>
                <w:b/>
                <w:bCs/>
                <w:color w:val="FFFFFF"/>
                <w:sz w:val="20"/>
                <w:szCs w:val="20"/>
              </w:rPr>
              <w:t xml:space="preserve">Step Range</w:t>
            </w:r>
          </w:p>
        </w:tc>
        <w:tc>
          <w:tcPr>
            <w:tcW w:type="dxa" w:w="4680"/>
            <w:tcBorders>
              <w:top w:val="single" w:color="D1C4E9" w:sz="4"/>
              <w:left w:val="single" w:color="D1C4E9" w:sz="4"/>
              <w:bottom w:val="single" w:color="D1C4E9" w:sz="4"/>
              <w:right w:val="single" w:color="D1C4E9" w:sz="4"/>
            </w:tcBorders>
            <w:shd w:fill="4B0082" w:val="clear"/>
            <w:tcMar>
              <w:top w:type="dxa" w:w="80"/>
              <w:left w:type="dxa" w:w="120"/>
              <w:bottom w:type="dxa" w:w="80"/>
              <w:right w:type="dxa" w:w="120"/>
            </w:tcMar>
          </w:tcPr>
          <w:p>
            <w:r>
              <w:rPr>
                <w:rFonts w:ascii="Arial" w:cs="Arial" w:eastAsia="Arial" w:hAnsi="Arial"/>
                <w:b/>
                <w:bCs/>
                <w:color w:val="FFFFFF"/>
                <w:sz w:val="20"/>
                <w:szCs w:val="20"/>
              </w:rPr>
              <w:t xml:space="preserve">Event</w:t>
            </w:r>
          </w:p>
        </w:tc>
      </w:tr>
      <w:tr>
        <w:trPr>
          <w:tblHeader w:val="false"/>
        </w:trPr>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Steps 1–3</w:t>
            </w:r>
          </w:p>
        </w:tc>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Initialise grid, run CSP validator, select fleet</w:t>
            </w:r>
          </w:p>
        </w:tc>
      </w:tr>
      <w:tr>
        <w:trPr>
          <w:tblHeader w:val="false"/>
        </w:trPr>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Steps 4–6</w:t>
            </w:r>
          </w:p>
        </w:tc>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Generate deliveries, assign drones, compute A* routes</w:t>
            </w:r>
          </w:p>
        </w:tc>
      </w:tr>
      <w:tr>
        <w:trPr>
          <w:tblHeader w:val="false"/>
        </w:trPr>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Steps 7–10</w:t>
            </w:r>
          </w:p>
        </w:tc>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Move drones along planned paths; corridor updates</w:t>
            </w:r>
          </w:p>
        </w:tc>
      </w:tr>
      <w:tr>
        <w:trPr>
          <w:tblHeader w:val="false"/>
        </w:trPr>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Step 11</w:t>
            </w:r>
          </w:p>
        </w:tc>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Activate no-fly cell at (4,7); A* replanning engaged</w:t>
            </w:r>
          </w:p>
        </w:tc>
      </w:tr>
      <w:tr>
        <w:trPr>
          <w:tblHeader w:val="false"/>
        </w:trPr>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Steps 12–13</w:t>
            </w:r>
          </w:p>
        </w:tc>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Conflict sweep; stalled deliveries transitioned to DELAYED</w:t>
            </w:r>
          </w:p>
        </w:tc>
      </w:tr>
      <w:tr>
        <w:trPr>
          <w:tblHeader w:val="false"/>
        </w:trPr>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Step 14</w:t>
            </w:r>
          </w:p>
        </w:tc>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Sustainment pulse; telemetry nominal; holding pattern</w:t>
            </w:r>
          </w:p>
        </w:tc>
      </w:tr>
      <w:tr>
        <w:trPr>
          <w:tblHeader w:val="false"/>
        </w:trPr>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Step 15</w:t>
            </w:r>
          </w:p>
        </w:tc>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Demand forecast retrieved (71 units for active corridor)</w:t>
            </w:r>
          </w:p>
        </w:tc>
      </w:tr>
      <w:tr>
        <w:trPr>
          <w:tblHeader w:val="false"/>
        </w:trPr>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Steps 16–17</w:t>
            </w:r>
          </w:p>
        </w:tc>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Continue movement; delivery progress logged</w:t>
            </w:r>
          </w:p>
        </w:tc>
      </w:tr>
      <w:tr>
        <w:trPr>
          <w:tblHeader w:val="false"/>
        </w:trPr>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Step 18</w:t>
            </w:r>
          </w:p>
        </w:tc>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Anomaly detection step; drone telemetry checked</w:t>
            </w:r>
          </w:p>
        </w:tc>
      </w:tr>
      <w:tr>
        <w:trPr>
          <w:tblHeader w:val="false"/>
        </w:trPr>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Steps 19–20</w:t>
            </w:r>
          </w:p>
        </w:tc>
        <w:tc>
          <w:tcPr>
            <w:tcW w:type="dxa" w:w="4680"/>
            <w:tcBorders>
              <w:top w:val="single" w:color="D1C4E9" w:sz="4"/>
              <w:left w:val="single" w:color="D1C4E9" w:sz="4"/>
              <w:bottom w:val="single" w:color="D1C4E9" w:sz="4"/>
              <w:right w:val="single" w:color="D1C4E9" w:sz="4"/>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Final movement; simulation complete; summary printed</w:t>
            </w:r>
          </w:p>
        </w:tc>
      </w:tr>
    </w:tbl>
    <w:p>
      <w:r>
        <w:rPr>
          <w:rFonts w:ascii="Arial" w:cs="Arial" w:eastAsia="Arial" w:hAnsi="Arial"/>
          <w:sz w:val="22"/>
          <w:szCs w:val="22"/>
        </w:rPr>
        <w:t xml:space="preserve"/>
      </w:r>
    </w:p>
    <w:p>
      <w:pPr>
        <w:pStyle w:val="Heading2"/>
        <w:spacing w:after="120" w:before="280"/>
      </w:pPr>
      <w:r>
        <w:rPr>
          <w:rFonts w:ascii="Arial" w:cs="Arial" w:eastAsia="Arial" w:hAnsi="Arial"/>
          <w:b/>
          <w:bCs/>
          <w:color w:val="7B2FBE"/>
          <w:sz w:val="28"/>
          <w:szCs w:val="28"/>
        </w:rPr>
        <w:t xml:space="preserve">Integration Points</w:t>
      </w:r>
    </w:p>
    <w:p>
      <w:pPr>
        <w:spacing w:after="80" w:before="60"/>
        <w:jc w:val="both"/>
      </w:pPr>
      <w:r>
        <w:rPr>
          <w:rFonts w:ascii="Arial" w:cs="Arial" w:eastAsia="Arial" w:hAnsi="Arial"/>
          <w:b w:val="false"/>
          <w:bCs w:val="false"/>
          <w:i w:val="false"/>
          <w:iCs w:val="false"/>
          <w:color w:val="212121"/>
          <w:sz w:val="22"/>
          <w:szCs w:val="22"/>
        </w:rPr>
        <w:t xml:space="preserve">The DeliverySimulator class (delivery_simulator.py) holds the drone list, delivery list, and the set of extra no-fly cells accumulated during the run. Each step it calls _adapt() to rebuild the A* adapter grid with the latest no-fly geometry, moves drones one step along their paths, checks for route invalidation, and appends a human-readable event string to the log. The Streamlit page streams this log step by step and renders the final grid state with delivery drop-off markers.</w:t>
      </w:r>
    </w:p>
    <w:p>
      <w:pPr>
        <w:spacing w:after="80" w:before="60"/>
        <w:jc w:val="both"/>
      </w:pPr>
      <w:r>
        <w:rPr>
          <w:rFonts w:ascii="Arial" w:cs="Arial" w:eastAsia="Arial" w:hAnsi="Arial"/>
          <w:b w:val="false"/>
          <w:bCs w:val="false"/>
          <w:i w:val="false"/>
          <w:iCs w:val="false"/>
          <w:color w:val="212121"/>
          <w:sz w:val="22"/>
          <w:szCs w:val="22"/>
        </w:rPr>
        <w:t xml:space="preserve">In the sample run, DEL-1, DEL-2, and DEL-3 were all initiated successfully. The no-fly activation at step 11 triggered replanning. The final map shows drop-off positions for each delivery alongside the activated no-fly cell. The anomaly events panel confirmed no anomalies were detected in this run.</w:t>
      </w:r>
    </w:p>
    <w:p>
      <w:r>
        <w:rPr>
          <w:rFonts w:ascii="Arial" w:cs="Arial" w:eastAsia="Arial" w:hAnsi="Arial"/>
          <w:sz w:val="22"/>
          <w:szCs w:val="22"/>
        </w:rPr>
        <w:t xml:space="preserve"/>
      </w:r>
    </w:p>
    <w:p>
      <w:pPr>
        <w:spacing w:after="80" w:before="120"/>
        <w:jc w:val="center"/>
      </w:pPr>
      <w:r>
        <w:drawing>
          <wp:inline distT="0" distB="0" distL="0" distR="0">
            <wp:extent cx="5943600" cy="2857500"/>
            <wp:effectExtent t="0" r="0" b="0" l="0"/>
            <wp:docPr id="1" name="Figure 47 — Simulation page: system readiness panel and configuration" descr="Figure 47 — Simulation page: system readiness panel and configuration" title="Figure 47 — Simulation page: system readiness panel and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43600" cy="28575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47 — Simulation page: system readiness panel and configuration</w:t>
      </w:r>
    </w:p>
    <w:p>
      <w:pPr>
        <w:spacing w:after="80" w:before="120"/>
        <w:jc w:val="center"/>
      </w:pPr>
      <w:r>
        <w:drawing>
          <wp:inline distT="0" distB="0" distL="0" distR="0">
            <wp:extent cx="5943600" cy="2857500"/>
            <wp:effectExtent t="0" r="0" b="0" l="0"/>
            <wp:docPr id="1" name="Figure 48 — Simulation running: 20-step event log header" descr="Figure 48 — Simulation running: 20-step event log header" title="Figure 48 — Simulation running: 20-step event log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943600" cy="28575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48 — Simulation running: 20-step event log header</w:t>
      </w:r>
    </w:p>
    <w:p>
      <w:pPr>
        <w:spacing w:after="80" w:before="120"/>
        <w:jc w:val="center"/>
      </w:pPr>
      <w:r>
        <w:drawing>
          <wp:inline distT="0" distB="0" distL="0" distR="0">
            <wp:extent cx="5943600" cy="2857500"/>
            <wp:effectExtent t="0" r="0" b="0" l="0"/>
            <wp:docPr id="1" name="Figure 49 — Event log steps 5–15: disruption at (4,7), rerouting, demand forecast" descr="Figure 49 — Event log steps 5–15: disruption at (4,7), rerouting, demand forecast" title="Figure 49 — Event log steps 5–15: disruption at (4,7), rerouting, demand fore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943600" cy="28575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49 — Event log steps 5–15: disruption at (4,7), rerouting, demand forecast</w:t>
      </w:r>
    </w:p>
    <w:p>
      <w:pPr>
        <w:spacing w:after="80" w:before="120"/>
        <w:jc w:val="center"/>
      </w:pPr>
      <w:r>
        <w:drawing>
          <wp:inline distT="0" distB="0" distL="0" distR="0">
            <wp:extent cx="5943600" cy="2857500"/>
            <wp:effectExtent t="0" r="0" b="0" l="0"/>
            <wp:docPr id="1" name="Figure 50 — Steps 16–20: anomaly detection, final summary" descr="Figure 50 — Steps 16–20: anomaly detection, final summary" title="Figure 50 — Steps 16–20: anomaly detection, final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943600" cy="28575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50 — Steps 16–20: anomaly detection, final summary</w:t>
      </w:r>
    </w:p>
    <w:p>
      <w:pPr>
        <w:spacing w:after="80" w:before="120"/>
        <w:jc w:val="center"/>
      </w:pPr>
      <w:r>
        <w:drawing>
          <wp:inline distT="0" distB="0" distL="0" distR="0">
            <wp:extent cx="5943600" cy="2857500"/>
            <wp:effectExtent t="0" r="0" b="0" l="0"/>
            <wp:docPr id="1" name="Figure 51 — Final delivery map: drop-off positions and no-fly overlay" descr="Figure 51 — Final delivery map: drop-off positions and no-fly overlay" title="Figure 51 — Final delivery map: drop-off positions and no-fly 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943600" cy="28575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51 — Final delivery map: drop-off positions and no-fly overlay</w:t>
      </w:r>
    </w:p>
    <w:p>
      <w:pPr>
        <w:spacing w:after="80" w:before="120"/>
        <w:jc w:val="center"/>
      </w:pPr>
      <w:r>
        <w:drawing>
          <wp:inline distT="0" distB="0" distL="0" distR="0">
            <wp:extent cx="5943600" cy="2857500"/>
            <wp:effectExtent t="0" r="0" b="0" l="0"/>
            <wp:docPr id="1" name="Figure 52 — Delivery summary statistics: completed, delayed, failed" descr="Figure 52 — Delivery summary statistics: completed, delayed, failed" title="Figure 52 — Delivery summary statistics: completed, delayed, fai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943600" cy="28575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52 — Delivery summary statistics: completed, delayed, failed</w:t>
      </w:r>
    </w:p>
    <w:p>
      <w:pPr>
        <w:spacing w:after="80" w:before="120"/>
        <w:jc w:val="center"/>
      </w:pPr>
      <w:r>
        <w:drawing>
          <wp:inline distT="0" distB="0" distL="0" distR="0">
            <wp:extent cx="5943600" cy="2857500"/>
            <wp:effectExtent t="0" r="0" b="0" l="0"/>
            <wp:docPr id="1" name="Figure 53 — Anomaly events panel and drop-off grid at simulation end" descr="Figure 53 — Anomaly events panel and drop-off grid at simulation end" title="Figure 53 — Anomaly events panel and drop-off grid at simulation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943600" cy="28575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53 — Anomaly events panel and drop-off grid at simulation end</w:t>
      </w:r>
    </w:p>
    <w:p>
      <w:r>
        <w:br w:type="page"/>
      </w:r>
    </w:p>
    <w:p>
      <w:pPr>
        <w:pStyle w:val="Heading1"/>
        <w:pBdr>
          <w:bottom w:val="single" w:color="4B0082" w:sz="8" w:space="6"/>
        </w:pBdr>
        <w:spacing w:after="160" w:before="360"/>
      </w:pPr>
      <w:r>
        <w:rPr>
          <w:rFonts w:ascii="Arial" w:cs="Arial" w:eastAsia="Arial" w:hAnsi="Arial"/>
          <w:b/>
          <w:bCs/>
          <w:color w:val="4B0082"/>
          <w:sz w:val="36"/>
          <w:szCs w:val="36"/>
        </w:rPr>
        <w:t xml:space="preserve">8. Application Interface</w:t>
      </w:r>
    </w:p>
    <w:p>
      <w:pPr>
        <w:spacing w:after="80" w:before="60"/>
        <w:jc w:val="both"/>
      </w:pPr>
      <w:r>
        <w:rPr>
          <w:rFonts w:ascii="Arial" w:cs="Arial" w:eastAsia="Arial" w:hAnsi="Arial"/>
          <w:b w:val="false"/>
          <w:bCs w:val="false"/>
          <w:i w:val="false"/>
          <w:iCs w:val="false"/>
          <w:color w:val="212121"/>
          <w:sz w:val="22"/>
          <w:szCs w:val="22"/>
        </w:rPr>
        <w:t xml:space="preserve">The application is built with Streamlit and structured as a multi-page app. The left sidebar provides navigation to all six pages: App (home), CSP Validator, Fleet Selector, Path Planner, Disruption Handler, ML Pipeline, and Simulation. The colour scheme uses a deep purple sidebar with cream/lavender content area, matching the project's pink-purple theme throughout.</w:t>
      </w:r>
    </w:p>
    <w:p>
      <w:pPr>
        <w:pStyle w:val="Heading2"/>
        <w:spacing w:after="120" w:before="280"/>
      </w:pPr>
      <w:r>
        <w:rPr>
          <w:rFonts w:ascii="Arial" w:cs="Arial" w:eastAsia="Arial" w:hAnsi="Arial"/>
          <w:b/>
          <w:bCs/>
          <w:color w:val="7B2FBE"/>
          <w:sz w:val="28"/>
          <w:szCs w:val="28"/>
        </w:rPr>
        <w:t xml:space="preserve">Home Page</w:t>
      </w:r>
    </w:p>
    <w:p>
      <w:pPr>
        <w:spacing w:after="80" w:before="60"/>
        <w:jc w:val="both"/>
      </w:pPr>
      <w:r>
        <w:rPr>
          <w:rFonts w:ascii="Arial" w:cs="Arial" w:eastAsia="Arial" w:hAnsi="Arial"/>
          <w:b w:val="false"/>
          <w:bCs w:val="false"/>
          <w:i w:val="false"/>
          <w:iCs w:val="false"/>
          <w:color w:val="212121"/>
          <w:sz w:val="22"/>
          <w:szCs w:val="22"/>
        </w:rPr>
        <w:t xml:space="preserve">The home page provides a live view of the 10×10 city grid with interactive cell hover details. Zone colours distinguish Residential (pink), Industrial (slate), Commercial (gold), Hospital (teal), School (light blue), and Open Field (cream). Cell markers indicate Hubs (D), Charging pads (C), Medical pickups (M), and No-fly zones (N in red). Below the grid, a demand heatmap shows the live demand weight of every cell, updated whenever the ML Pipeline runs. A Reset System button clears all shared state for a fresh run.</w:t>
      </w:r>
    </w:p>
    <w:p>
      <w:r>
        <w:rPr>
          <w:rFonts w:ascii="Arial" w:cs="Arial" w:eastAsia="Arial" w:hAnsi="Arial"/>
          <w:sz w:val="22"/>
          <w:szCs w:val="22"/>
        </w:rPr>
        <w:t xml:space="preserve"/>
      </w:r>
    </w:p>
    <w:p>
      <w:pPr>
        <w:spacing w:after="80" w:before="120"/>
        <w:jc w:val="center"/>
      </w:pPr>
      <w:r>
        <w:drawing>
          <wp:inline distT="0" distB="0" distL="0" distR="0">
            <wp:extent cx="5943600" cy="3086100"/>
            <wp:effectExtent t="0" r="0" b="0" l="0"/>
            <wp:docPr id="1" name="Figure 54 — Home page: city grid with zone and cell marker legend" descr="Figure 54 — Home page: city grid with zone and cell marker legend" title="Figure 54 — Home page: city grid with zone and cell marker 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943600" cy="30861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54 — Home page: city grid with zone and cell marker legend</w:t>
      </w:r>
    </w:p>
    <w:p>
      <w:pPr>
        <w:spacing w:after="80" w:before="120"/>
        <w:jc w:val="center"/>
      </w:pPr>
      <w:r>
        <w:drawing>
          <wp:inline distT="0" distB="0" distL="0" distR="0">
            <wp:extent cx="5943600" cy="3086100"/>
            <wp:effectExtent t="0" r="0" b="0" l="0"/>
            <wp:docPr id="1" name="Figure 55 — Home page: demand heatmap showing live cell demand values" descr="Figure 55 — Home page: demand heatmap showing live cell demand values" title="Figure 55 — Home page: demand heatmap showing live cell demand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943600" cy="30861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55 — Home page: demand heatmap showing live cell demand values</w:t>
      </w:r>
    </w:p>
    <w:p>
      <w:pPr>
        <w:spacing w:after="80" w:before="120"/>
        <w:jc w:val="center"/>
      </w:pPr>
      <w:r>
        <w:drawing>
          <wp:inline distT="0" distB="0" distL="0" distR="0">
            <wp:extent cx="5943600" cy="3086100"/>
            <wp:effectExtent t="0" r="0" b="0" l="0"/>
            <wp:docPr id="1" name="Figure 56 — Home page: full demand heatmap with cream-to-mauve colormap" descr="Figure 56 — Home page: full demand heatmap with cream-to-mauve colormap" title="Figure 56 — Home page: full demand heatmap with cream-to-mauve color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943600" cy="30861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56 — Home page: full demand heatmap with cream-to-mauve colormap</w:t>
      </w:r>
    </w:p>
    <w:p>
      <w:pPr>
        <w:spacing w:after="80" w:before="120"/>
        <w:jc w:val="center"/>
      </w:pPr>
      <w:r>
        <w:drawing>
          <wp:inline distT="0" distB="0" distL="0" distR="0">
            <wp:extent cx="5943600" cy="3086100"/>
            <wp:effectExtent t="0" r="0" b="0" l="0"/>
            <wp:docPr id="1" name="Figure 57 — Home page: Reset System button and full navigation sidebar" descr="Figure 57 — Home page: Reset System button and full navigation sidebar" title="Figure 57 — Home page: Reset System button and full navigation side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943600" cy="3086100"/>
                    </a:xfrm>
                    <a:prstGeom prst="rect">
                      <a:avLst/>
                    </a:prstGeom>
                  </pic:spPr>
                </pic:pic>
              </a:graphicData>
            </a:graphic>
          </wp:inline>
        </w:drawing>
      </w:r>
    </w:p>
    <w:p>
      <w:pPr>
        <w:spacing w:after="200" w:before="60"/>
        <w:jc w:val="center"/>
      </w:pPr>
      <w:r>
        <w:rPr>
          <w:rFonts w:ascii="Arial" w:cs="Arial" w:eastAsia="Arial" w:hAnsi="Arial"/>
          <w:i/>
          <w:iCs/>
          <w:color w:val="757575"/>
          <w:sz w:val="18"/>
          <w:szCs w:val="18"/>
        </w:rPr>
        <w:t xml:space="preserve">Figure 57 — Home page: Reset System button and full navigation sidebar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C4E9" w:sz="4" w:space="4"/>
      </w:pBdr>
      <w:jc w:val="center"/>
    </w:pPr>
    <w:r>
      <w:rPr>
        <w:rFonts w:ascii="Arial" w:cs="Arial" w:eastAsia="Arial" w:hAnsi="Arial"/>
        <w:color w:val="757575"/>
        <w:sz w:val="18"/>
        <w:szCs w:val="18"/>
      </w:rPr>
      <w:t xml:space="preserve">BS Data Science — AI Semester Project SP2026  |  Page </w:t>
    </w:r>
    <w:r>
      <w:rPr>
        <w:rFonts w:ascii="Arial" w:cs="Arial" w:eastAsia="Arial" w:hAnsi="Arial"/>
        <w:color w:val="757575"/>
        <w:sz w:val="18"/>
        <w:szCs w:val="18"/>
      </w:rPr>
      <w:fldChar w:fldCharType="begin"/>
      <w:instrText xml:space="preserve">PAGE</w:instrText>
      <w:fldChar w:fldCharType="separate"/>
      <w:fldChar w:fldCharType="end"/>
    </w:r>
    <w:r>
      <w:rPr>
        <w:rFonts w:ascii="Arial" w:cs="Arial" w:eastAsia="Arial" w:hAnsi="Arial"/>
        <w:color w:val="757575"/>
        <w:sz w:val="18"/>
        <w:szCs w:val="18"/>
      </w:rPr>
      <w:t xml:space="preserve"> of </w:t>
    </w:r>
    <w:r>
      <w:rPr>
        <w:rFonts w:ascii="Arial" w:cs="Arial" w:eastAsia="Arial" w:hAnsi="Arial"/>
        <w:color w:val="7575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B0082" w:sz="4" w:space="4"/>
      </w:pBdr>
      <w:jc w:val="right"/>
    </w:pPr>
    <w:r>
      <w:rPr>
        <w:rFonts w:ascii="Arial" w:cs="Arial" w:eastAsia="Arial" w:hAnsi="Arial"/>
        <w:color w:val="757575"/>
        <w:sz w:val="18"/>
        <w:szCs w:val="18"/>
      </w:rPr>
      <w:t xml:space="preserve">AeroNet Lite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4B0082"/>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7B2FB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C218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0b2f99132308fdd9789d8456b319d5587d73fa6.jpg"/><Relationship Id="rId10" Type="http://schemas.openxmlformats.org/officeDocument/2006/relationships/image" Target="media/8e3956a846ad1a3bbb5fb7a7214ed7a891bc332b.jpg"/><Relationship Id="rId11" Type="http://schemas.openxmlformats.org/officeDocument/2006/relationships/image" Target="media/33430cfca7a1949a5ff33060d602cfd80f70b496.jpg"/><Relationship Id="rId12" Type="http://schemas.openxmlformats.org/officeDocument/2006/relationships/image" Target="media/360e2b02f650ec876a22aca948f58897b811785f.jpg"/><Relationship Id="rId13" Type="http://schemas.openxmlformats.org/officeDocument/2006/relationships/image" Target="media/c3d5dfb298a5686e07bcdfea0cd1539bdb0b3056.jpg"/><Relationship Id="rId14" Type="http://schemas.openxmlformats.org/officeDocument/2006/relationships/image" Target="media/3bfe50553ede12b8f702fd1585392df4e665c5fa.jpg"/><Relationship Id="rId15" Type="http://schemas.openxmlformats.org/officeDocument/2006/relationships/image" Target="media/9ba943356d7de119406a4999f5cccdbe40c400a6.jpg"/><Relationship Id="rId16" Type="http://schemas.openxmlformats.org/officeDocument/2006/relationships/image" Target="media/f629ce0fce3e4402d81b911aa72b04e147a3f2ad.jpg"/><Relationship Id="rId17" Type="http://schemas.openxmlformats.org/officeDocument/2006/relationships/image" Target="media/469ad3023a8adef5a1c1d4253edcb9cc62ef6064.jpg"/><Relationship Id="rId18" Type="http://schemas.openxmlformats.org/officeDocument/2006/relationships/image" Target="media/47ebfde5ee54da2f01e65b523ff1660363b987f3.jpg"/><Relationship Id="rId19" Type="http://schemas.openxmlformats.org/officeDocument/2006/relationships/image" Target="media/fe5093fd8b77440512aeaa25223b720611e045c1.jpg"/><Relationship Id="rId20" Type="http://schemas.openxmlformats.org/officeDocument/2006/relationships/image" Target="media/1c7af5f0fffcaae1bbb5f8ed7d786aa1171cb3f7.jpg"/><Relationship Id="rId21" Type="http://schemas.openxmlformats.org/officeDocument/2006/relationships/image" Target="media/3214c3fbbdb037cbeb68277fe92a75834f4cebb2.jpg"/><Relationship Id="rId22" Type="http://schemas.openxmlformats.org/officeDocument/2006/relationships/image" Target="media/14bd61963eb0e30b2a9cb4a16f8c07758023caf1.jpg"/><Relationship Id="rId23" Type="http://schemas.openxmlformats.org/officeDocument/2006/relationships/image" Target="media/e338d26758f372a5747d7539ecbe669494524433.jpg"/><Relationship Id="rId24" Type="http://schemas.openxmlformats.org/officeDocument/2006/relationships/image" Target="media/058facfad64b8bf38b42a09d1774eb7cfd18c118.jpg"/><Relationship Id="rId25" Type="http://schemas.openxmlformats.org/officeDocument/2006/relationships/image" Target="media/70906184b95066137d9d99089728edbcfc46c48f.jpg"/><Relationship Id="rId26" Type="http://schemas.openxmlformats.org/officeDocument/2006/relationships/image" Target="media/0adc3ce55c459425739cb386ca74f560c7d3072e.jpg"/><Relationship Id="rId27" Type="http://schemas.openxmlformats.org/officeDocument/2006/relationships/image" Target="media/4a6c56e56fc4cc049712e6d1a9dfdb15b46d3ec8.jpg"/><Relationship Id="rId28" Type="http://schemas.openxmlformats.org/officeDocument/2006/relationships/image" Target="media/ab55b9c33b40b28215fac2f676edaf0732061b02.jpg"/><Relationship Id="rId29" Type="http://schemas.openxmlformats.org/officeDocument/2006/relationships/image" Target="media/5c5fdd3b28d92842658cf082ed4a77cf4e07593e.jpg"/><Relationship Id="rId30" Type="http://schemas.openxmlformats.org/officeDocument/2006/relationships/image" Target="media/07f5bf69ff505504482ef6b1aec9fdf0eae1adb7.jpg"/><Relationship Id="rId31" Type="http://schemas.openxmlformats.org/officeDocument/2006/relationships/image" Target="media/d698475d34855aab3bb0986608d827f0c7b2c795.jpg"/><Relationship Id="rId32" Type="http://schemas.openxmlformats.org/officeDocument/2006/relationships/image" Target="media/7e3be30f6ae803b920d47c97597b246516c7d6b9.jpg"/><Relationship Id="rId33" Type="http://schemas.openxmlformats.org/officeDocument/2006/relationships/image" Target="media/38a4b424b42c7126002a09d23ca8feee7cec9d85.jpg"/><Relationship Id="rId34" Type="http://schemas.openxmlformats.org/officeDocument/2006/relationships/image" Target="media/8070df258af617536b4eded728ca9201e199d568.jpg"/><Relationship Id="rId35" Type="http://schemas.openxmlformats.org/officeDocument/2006/relationships/image" Target="media/6b30dfeed96210198343f2cee8257ab2a3d82a6b.jpg"/><Relationship Id="rId36" Type="http://schemas.openxmlformats.org/officeDocument/2006/relationships/image" Target="media/6c5595175a598c622c55ae2f11ad27f24ed08c79.jpg"/><Relationship Id="rId37" Type="http://schemas.openxmlformats.org/officeDocument/2006/relationships/image" Target="media/82b78f11f2703079c641109ae9016f667618e513.jpg"/><Relationship Id="rId38" Type="http://schemas.openxmlformats.org/officeDocument/2006/relationships/image" Target="media/3c824b92fb6f31b2af69625d348b8d7ea828ad17.jpg"/><Relationship Id="rId39" Type="http://schemas.openxmlformats.org/officeDocument/2006/relationships/image" Target="media/95f24a4ed10f5926452ce2b88c2c1d13dc37db1d.jpg"/><Relationship Id="rId40" Type="http://schemas.openxmlformats.org/officeDocument/2006/relationships/image" Target="media/9824a2e4e7bf4c715831645d22ba39bb41c531de.jpg"/><Relationship Id="rId41" Type="http://schemas.openxmlformats.org/officeDocument/2006/relationships/image" Target="media/e997c54e04ef9fb754615265d122432022cce557.jpg"/><Relationship Id="rId42" Type="http://schemas.openxmlformats.org/officeDocument/2006/relationships/image" Target="media/b61615349b2030e1898d57774d3eacdc4134a30b.jpg"/><Relationship Id="rId43" Type="http://schemas.openxmlformats.org/officeDocument/2006/relationships/image" Target="media/c338e1baf45086e91d7bd677d2a576c9756a4d2e.jpg"/><Relationship Id="rId44" Type="http://schemas.openxmlformats.org/officeDocument/2006/relationships/image" Target="media/835e97ebbb36c39e118e04cd56f49bcb4d87f623.jpg"/><Relationship Id="rId45" Type="http://schemas.openxmlformats.org/officeDocument/2006/relationships/image" Target="media/d95b557d1b180d902de1530a4fa808d99e1575c1.jpg"/><Relationship Id="rId46" Type="http://schemas.openxmlformats.org/officeDocument/2006/relationships/image" Target="media/a7ecf7cd4fb468ef445911af3a297086ae371a84.jpg"/><Relationship Id="rId47" Type="http://schemas.openxmlformats.org/officeDocument/2006/relationships/image" Target="media/dc1883b14f534ed45cbdb3fd820f07ecfcc4920a.jpg"/><Relationship Id="rId48" Type="http://schemas.openxmlformats.org/officeDocument/2006/relationships/image" Target="media/36a606faee2f49a7c2ca98753b0980c51a0f5571.jpg"/><Relationship Id="rId49" Type="http://schemas.openxmlformats.org/officeDocument/2006/relationships/image" Target="media/cba11f6e5c7ac1e862f8355b50d58fa7da4104dc.jpg"/><Relationship Id="rId50" Type="http://schemas.openxmlformats.org/officeDocument/2006/relationships/image" Target="media/d034bd4eff999fc043d7d6d38c17e9a768f524d7.jpg"/><Relationship Id="rId51" Type="http://schemas.openxmlformats.org/officeDocument/2006/relationships/image" Target="media/cd2eb0b6d3e367adeb1c22e4b8141395128e4436.jpg"/><Relationship Id="rId52" Type="http://schemas.openxmlformats.org/officeDocument/2006/relationships/image" Target="media/3f2eaa4dfd3fb9a5719a2ae3b6cb9adb3a4be1f9.jpg"/><Relationship Id="rId53" Type="http://schemas.openxmlformats.org/officeDocument/2006/relationships/image" Target="media/3f2324df4c7f003863f27c3cbe16c18ee10cd24b.jpg"/><Relationship Id="rId54" Type="http://schemas.openxmlformats.org/officeDocument/2006/relationships/image" Target="media/0a9fbdcd1230d63660ca76effe3dfcf1262c99f8.jpg"/><Relationship Id="rId55" Type="http://schemas.openxmlformats.org/officeDocument/2006/relationships/image" Target="media/670a1b1b0a27b4e916f607b0addd3f07f1e77337.jpg"/><Relationship Id="rId56" Type="http://schemas.openxmlformats.org/officeDocument/2006/relationships/image" Target="media/5e2da5adda361c47a4a4f2be05915e3b2260fa9c.jpg"/><Relationship Id="rId57" Type="http://schemas.openxmlformats.org/officeDocument/2006/relationships/image" Target="media/dba469b1b66e6b3f4cc76d641775faa816d4f658.jpg"/><Relationship Id="rId58" Type="http://schemas.openxmlformats.org/officeDocument/2006/relationships/image" Target="media/6c92ce6f704d41b086bda276563d81b5da8b1bd7.jpg"/><Relationship Id="rId59" Type="http://schemas.openxmlformats.org/officeDocument/2006/relationships/image" Target="media/f7af466f1f3fa4dc71b82fb90c0f9dd106636050.jpg"/><Relationship Id="rId60" Type="http://schemas.openxmlformats.org/officeDocument/2006/relationships/image" Target="media/6f3dbd69e416a52153e3b44f28109672b0e803a7.jpg"/><Relationship Id="rId61" Type="http://schemas.openxmlformats.org/officeDocument/2006/relationships/image" Target="media/551eaa28f36634317b7e57a7c7478468e0d720a5.jpg"/><Relationship Id="rId62" Type="http://schemas.openxmlformats.org/officeDocument/2006/relationships/image" Target="media/a55d0470b02c3f0a981915afa8ee0468ac5d885e.jpg"/><Relationship Id="rId63" Type="http://schemas.openxmlformats.org/officeDocument/2006/relationships/image" Target="media/3974176772c395500cd2e0a8f10407c52fbd86b4.jpg"/><Relationship Id="rId64" Type="http://schemas.openxmlformats.org/officeDocument/2006/relationships/image" Target="media/cf79c4cebb212edf000e9a7a4db4abdc8ad3cdfd.jpg"/><Relationship Id="rId65" Type="http://schemas.openxmlformats.org/officeDocument/2006/relationships/image" Target="media/a450f894481282c6258c64437084916870599941.jpg"/><Relationship Id="rId6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2026-05-10T15:41:50.345Z</dcterms:created>
  <dcterms:modified xsi:type="dcterms:W3CDTF">2026-05-10T15:41:50.346Z</dcterms:modified>
</cp:coreProperties>
</file>

<file path=docProps/custom.xml><?xml version="1.0" encoding="utf-8"?>
<Properties xmlns="http://schemas.openxmlformats.org/officeDocument/2006/custom-properties" xmlns:vt="http://schemas.openxmlformats.org/officeDocument/2006/docPropsVTypes"/>
</file>