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jc w:val="center"/>
      </w:pPr>
      <w:r>
        <w:rPr>
          <w:b/>
          <w:bCs/>
          <w:color w:val="1F2A44"/>
          <w:sz w:val="72"/>
          <w:szCs w:val="72"/>
        </w:rPr>
        <w:t xml:space="preserve">JAM</w:t>
      </w:r>
      <w:r>
        <w:rPr>
          <w:b/>
          <w:bCs/>
          <w:color w:val="19C37D"/>
          <w:sz w:val="72"/>
          <w:szCs w:val="72"/>
        </w:rPr>
        <w:t xml:space="preserve">SEC</w:t>
      </w:r>
    </w:p>
    <w:p>
      <w:pPr>
        <w:spacing w:after="1200"/>
        <w:jc w:val="center"/>
      </w:pPr>
      <w:r>
        <w:rPr>
          <w:i/>
          <w:iCs/>
          <w:color w:val="666666"/>
          <w:sz w:val="24"/>
          <w:szCs w:val="24"/>
        </w:rPr>
        <w:t xml:space="preserve">Servicios Gestionados de Ciberseguridad</w:t>
      </w:r>
    </w:p>
    <w:p>
      <w:pPr>
        <w:pBdr>
          <w:top w:val="single" w:color="16407A" w:sz="6" w:space="6"/>
          <w:bottom w:val="single" w:color="16407A" w:sz="6" w:space="6"/>
        </w:pBdr>
        <w:spacing w:after="200" w:before="200"/>
        <w:jc w:val="center"/>
      </w:pPr>
      <w:r>
        <w:rPr>
          <w:b/>
          <w:bCs/>
          <w:color w:val="16407A"/>
          <w:sz w:val="34"/>
          <w:szCs w:val="34"/>
        </w:rPr>
        <w:t xml:space="preserve">INFORME EJECUTIVO DE AUDITORÍA DE SEGURIDAD</w:t>
      </w:r>
    </w:p>
    <w:p>
      <w:pPr>
        <w:spacing w:after="60" w:before="200"/>
        <w:jc w:val="center"/>
      </w:pPr>
      <w:r>
        <w:rPr>
          <w:sz w:val="24"/>
          <w:szCs w:val="24"/>
        </w:rPr>
        <w:t xml:space="preserve">Resumen para la Dirección</w:t>
      </w:r>
    </w:p>
    <w:p>
      <w:pPr>
        <w:spacing w:after="1400"/>
        <w:jc w:val="center"/>
      </w:pPr>
      <w:r>
        <w:rPr>
          <w:b/>
          <w:bCs/>
          <w:color w:val="1F2A44"/>
          <w:sz w:val="28"/>
          <w:szCs w:val="28"/>
        </w:rPr>
        <w:t xml:space="preserve">Cliente: Apex Gestoría</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BBBBBB" w:sz="1"/>
              <w:left w:val="single" w:color="BBBBBB" w:sz="1"/>
              <w:bottom w:val="single" w:color="BBBBBB" w:sz="1"/>
              <w:right w:val="single" w:color="BBBBBB" w:sz="1"/>
            </w:tcBorders>
            <w:shd w:fill="1F2A44" w:val="clear"/>
            <w:tcMar>
              <w:top w:type="dxa" w:w="70"/>
              <w:left w:type="dxa" w:w="120"/>
              <w:bottom w:type="dxa" w:w="70"/>
              <w:right w:type="dxa" w:w="120"/>
            </w:tcMar>
            <w:vAlign w:val="center"/>
          </w:tcPr>
          <w:p>
            <w:pPr>
              <w:jc w:val="left"/>
            </w:pPr>
            <w:r>
              <w:rPr>
                <w:b/>
                <w:bCs/>
                <w:color w:val="FFFFFF"/>
              </w:rPr>
              <w:t xml:space="preserve">Referencia</w:t>
            </w:r>
          </w:p>
        </w:tc>
        <w:tc>
          <w:tcPr>
            <w:tcW w:type="dxa" w:w="3600"/>
            <w:tcBorders>
              <w:top w:val="single" w:color="BBBBBB" w:sz="1"/>
              <w:left w:val="single" w:color="BBBBBB" w:sz="1"/>
              <w:bottom w:val="single" w:color="BBBBBB" w:sz="1"/>
              <w:right w:val="single" w:color="BBBBBB" w:sz="1"/>
            </w:tcBorders>
            <w:shd w:fill="F4F6F9" w:val="clear"/>
            <w:tcMar>
              <w:top w:type="dxa" w:w="70"/>
              <w:left w:type="dxa" w:w="120"/>
              <w:bottom w:type="dxa" w:w="70"/>
              <w:right w:type="dxa" w:w="120"/>
            </w:tcMar>
            <w:vAlign w:val="center"/>
          </w:tcPr>
          <w:p>
            <w:pPr>
              <w:jc w:val="left"/>
            </w:pPr>
            <w:r>
              <w:rPr>
                <w:b w:val="false"/>
                <w:bCs w:val="false"/>
              </w:rPr>
              <w:t xml:space="preserve">JAMSEC-AUD-2026-001-EXE</w:t>
            </w:r>
          </w:p>
        </w:tc>
      </w:tr>
      <w:tr>
        <w:tc>
          <w:tcPr>
            <w:tcW w:type="dxa" w:w="2400"/>
            <w:tcBorders>
              <w:top w:val="single" w:color="BBBBBB" w:sz="1"/>
              <w:left w:val="single" w:color="BBBBBB" w:sz="1"/>
              <w:bottom w:val="single" w:color="BBBBBB" w:sz="1"/>
              <w:right w:val="single" w:color="BBBBBB" w:sz="1"/>
            </w:tcBorders>
            <w:shd w:fill="1F2A44" w:val="clear"/>
            <w:tcMar>
              <w:top w:type="dxa" w:w="70"/>
              <w:left w:type="dxa" w:w="120"/>
              <w:bottom w:type="dxa" w:w="70"/>
              <w:right w:type="dxa" w:w="120"/>
            </w:tcMar>
            <w:vAlign w:val="center"/>
          </w:tcPr>
          <w:p>
            <w:pPr>
              <w:jc w:val="left"/>
            </w:pPr>
            <w:r>
              <w:rPr>
                <w:b/>
                <w:bCs/>
                <w:color w:val="FFFFFF"/>
              </w:rPr>
              <w:t xml:space="preserve">Versión</w:t>
            </w:r>
          </w:p>
        </w:tc>
        <w:tc>
          <w:tcPr>
            <w:tcW w:type="dxa" w:w="3600"/>
            <w:tcBorders>
              <w:top w:val="single" w:color="BBBBBB" w:sz="1"/>
              <w:left w:val="single" w:color="BBBBBB" w:sz="1"/>
              <w:bottom w:val="single" w:color="BBBBBB" w:sz="1"/>
              <w:right w:val="single" w:color="BBBBBB" w:sz="1"/>
            </w:tcBorders>
            <w:shd w:fill="F4F6F9" w:val="clear"/>
            <w:tcMar>
              <w:top w:type="dxa" w:w="70"/>
              <w:left w:type="dxa" w:w="120"/>
              <w:bottom w:type="dxa" w:w="70"/>
              <w:right w:type="dxa" w:w="120"/>
            </w:tcMar>
            <w:vAlign w:val="center"/>
          </w:tcPr>
          <w:p>
            <w:pPr>
              <w:jc w:val="left"/>
            </w:pPr>
            <w:r>
              <w:rPr>
                <w:b w:val="false"/>
                <w:bCs w:val="false"/>
              </w:rPr>
              <w:t xml:space="preserve">1.0</w:t>
            </w:r>
          </w:p>
        </w:tc>
      </w:tr>
      <w:tr>
        <w:tc>
          <w:tcPr>
            <w:tcW w:type="dxa" w:w="2400"/>
            <w:tcBorders>
              <w:top w:val="single" w:color="BBBBBB" w:sz="1"/>
              <w:left w:val="single" w:color="BBBBBB" w:sz="1"/>
              <w:bottom w:val="single" w:color="BBBBBB" w:sz="1"/>
              <w:right w:val="single" w:color="BBBBBB" w:sz="1"/>
            </w:tcBorders>
            <w:shd w:fill="1F2A44" w:val="clear"/>
            <w:tcMar>
              <w:top w:type="dxa" w:w="70"/>
              <w:left w:type="dxa" w:w="120"/>
              <w:bottom w:type="dxa" w:w="70"/>
              <w:right w:type="dxa" w:w="120"/>
            </w:tcMar>
            <w:vAlign w:val="center"/>
          </w:tcPr>
          <w:p>
            <w:pPr>
              <w:jc w:val="left"/>
            </w:pPr>
            <w:r>
              <w:rPr>
                <w:b/>
                <w:bCs/>
                <w:color w:val="FFFFFF"/>
              </w:rPr>
              <w:t xml:space="preserve">Fecha</w:t>
            </w:r>
          </w:p>
        </w:tc>
        <w:tc>
          <w:tcPr>
            <w:tcW w:type="dxa" w:w="3600"/>
            <w:tcBorders>
              <w:top w:val="single" w:color="BBBBBB" w:sz="1"/>
              <w:left w:val="single" w:color="BBBBBB" w:sz="1"/>
              <w:bottom w:val="single" w:color="BBBBBB" w:sz="1"/>
              <w:right w:val="single" w:color="BBBBBB" w:sz="1"/>
            </w:tcBorders>
            <w:shd w:fill="F4F6F9" w:val="clear"/>
            <w:tcMar>
              <w:top w:type="dxa" w:w="70"/>
              <w:left w:type="dxa" w:w="120"/>
              <w:bottom w:type="dxa" w:w="70"/>
              <w:right w:type="dxa" w:w="120"/>
            </w:tcMar>
            <w:vAlign w:val="center"/>
          </w:tcPr>
          <w:p>
            <w:pPr>
              <w:jc w:val="left"/>
            </w:pPr>
            <w:r>
              <w:rPr>
                <w:b w:val="false"/>
                <w:bCs w:val="false"/>
              </w:rPr>
              <w:t xml:space="preserve">1 de junio de 2026</w:t>
            </w:r>
          </w:p>
        </w:tc>
      </w:tr>
      <w:tr>
        <w:tc>
          <w:tcPr>
            <w:tcW w:type="dxa" w:w="2400"/>
            <w:tcBorders>
              <w:top w:val="single" w:color="BBBBBB" w:sz="1"/>
              <w:left w:val="single" w:color="BBBBBB" w:sz="1"/>
              <w:bottom w:val="single" w:color="BBBBBB" w:sz="1"/>
              <w:right w:val="single" w:color="BBBBBB" w:sz="1"/>
            </w:tcBorders>
            <w:shd w:fill="1F2A44" w:val="clear"/>
            <w:tcMar>
              <w:top w:type="dxa" w:w="70"/>
              <w:left w:type="dxa" w:w="120"/>
              <w:bottom w:type="dxa" w:w="70"/>
              <w:right w:type="dxa" w:w="120"/>
            </w:tcMar>
            <w:vAlign w:val="center"/>
          </w:tcPr>
          <w:p>
            <w:pPr>
              <w:jc w:val="left"/>
            </w:pPr>
            <w:r>
              <w:rPr>
                <w:b/>
                <w:bCs/>
                <w:color w:val="FFFFFF"/>
              </w:rPr>
              <w:t xml:space="preserve">Dirigido a</w:t>
            </w:r>
          </w:p>
        </w:tc>
        <w:tc>
          <w:tcPr>
            <w:tcW w:type="dxa" w:w="3600"/>
            <w:tcBorders>
              <w:top w:val="single" w:color="BBBBBB" w:sz="1"/>
              <w:left w:val="single" w:color="BBBBBB" w:sz="1"/>
              <w:bottom w:val="single" w:color="BBBBBB" w:sz="1"/>
              <w:right w:val="single" w:color="BBBBBB" w:sz="1"/>
            </w:tcBorders>
            <w:shd w:fill="F4F6F9" w:val="clear"/>
            <w:tcMar>
              <w:top w:type="dxa" w:w="70"/>
              <w:left w:type="dxa" w:w="120"/>
              <w:bottom w:type="dxa" w:w="70"/>
              <w:right w:type="dxa" w:w="120"/>
            </w:tcMar>
            <w:vAlign w:val="center"/>
          </w:tcPr>
          <w:p>
            <w:pPr>
              <w:jc w:val="left"/>
            </w:pPr>
            <w:r>
              <w:rPr>
                <w:b w:val="false"/>
                <w:bCs w:val="false"/>
              </w:rPr>
              <w:t xml:space="preserve">Dirección de Apex Gestoría</w:t>
            </w:r>
          </w:p>
        </w:tc>
      </w:tr>
      <w:tr>
        <w:tc>
          <w:tcPr>
            <w:tcW w:type="dxa" w:w="2400"/>
            <w:tcBorders>
              <w:top w:val="single" w:color="BBBBBB" w:sz="1"/>
              <w:left w:val="single" w:color="BBBBBB" w:sz="1"/>
              <w:bottom w:val="single" w:color="BBBBBB" w:sz="1"/>
              <w:right w:val="single" w:color="BBBBBB" w:sz="1"/>
            </w:tcBorders>
            <w:shd w:fill="1F2A44" w:val="clear"/>
            <w:tcMar>
              <w:top w:type="dxa" w:w="70"/>
              <w:left w:type="dxa" w:w="120"/>
              <w:bottom w:type="dxa" w:w="70"/>
              <w:right w:type="dxa" w:w="120"/>
            </w:tcMar>
            <w:vAlign w:val="center"/>
          </w:tcPr>
          <w:p>
            <w:pPr>
              <w:jc w:val="left"/>
            </w:pPr>
            <w:r>
              <w:rPr>
                <w:b/>
                <w:bCs/>
                <w:color w:val="FFFFFF"/>
              </w:rPr>
              <w:t xml:space="preserve">Clasificación</w:t>
            </w:r>
          </w:p>
        </w:tc>
        <w:tc>
          <w:tcPr>
            <w:tcW w:type="dxa" w:w="3600"/>
            <w:tcBorders>
              <w:top w:val="single" w:color="BBBBBB" w:sz="1"/>
              <w:left w:val="single" w:color="BBBBBB" w:sz="1"/>
              <w:bottom w:val="single" w:color="BBBBBB" w:sz="1"/>
              <w:right w:val="single" w:color="BBBBBB" w:sz="1"/>
            </w:tcBorders>
            <w:shd w:fill="F4F6F9" w:val="clear"/>
            <w:tcMar>
              <w:top w:type="dxa" w:w="70"/>
              <w:left w:type="dxa" w:w="120"/>
              <w:bottom w:type="dxa" w:w="70"/>
              <w:right w:type="dxa" w:w="120"/>
            </w:tcMar>
            <w:vAlign w:val="center"/>
          </w:tcPr>
          <w:p>
            <w:pPr>
              <w:jc w:val="left"/>
            </w:pPr>
            <w:r>
              <w:rPr>
                <w:b w:val="false"/>
                <w:bCs w:val="false"/>
              </w:rPr>
              <w:t xml:space="preserve">CONFIDENCIAL</w:t>
            </w:r>
          </w:p>
        </w:tc>
      </w:tr>
    </w:tbl>
    <w:p>
      <w:pPr>
        <w:sectPr>
          <w:pgSz w:w="11906" w:h="16838" w:orient="portrait"/>
          <w:pgMar w:top="1440" w:right="1440" w:bottom="1440" w:left="1440" w:header="708" w:footer="708" w:gutter="0"/>
          <w:pgNumType/>
          <w:docGrid w:linePitch="360"/>
        </w:sectPr>
      </w:pPr>
    </w:p>
    <w:p>
      <w:pPr>
        <w:pStyle w:val="Heading1"/>
      </w:pPr>
      <w:r>
        <w:t xml:space="preserve">1. Propósito de este informe</w:t>
      </w:r>
    </w:p>
    <w:p>
      <w:pPr>
        <w:spacing w:after="140"/>
      </w:pPr>
      <w:r>
        <w:t xml:space="preserve">Este documento resume, en lenguaje no técnico y orientado a la toma de decisiones, los resultados de la auditoría de seguridad que JAMSEC ha realizado sobre los sistemas informáticos de Apex Gestoría. El detalle técnico se encuentra en el informe técnico que acompaña a este resumen.</w:t>
      </w:r>
    </w:p>
    <w:p>
      <w:pPr>
        <w:pStyle w:val="Heading1"/>
      </w:pPr>
      <w:r>
        <w:t xml:space="preserve">2. Veredicto general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1"/>
              <w:left w:val="single" w:color="BBBBBB" w:sz="1"/>
              <w:bottom w:val="single" w:color="BBBBBB" w:sz="1"/>
              <w:right w:val="single" w:color="BBBBBB" w:sz="1"/>
            </w:tcBorders>
            <w:shd w:fill="C0392B" w:val="clear"/>
            <w:tcMar>
              <w:top w:type="dxa" w:w="70"/>
              <w:left w:type="dxa" w:w="120"/>
              <w:bottom w:type="dxa" w:w="70"/>
              <w:right w:type="dxa" w:w="120"/>
            </w:tcMar>
            <w:vAlign w:val="center"/>
          </w:tcPr>
          <w:p>
            <w:pPr>
              <w:jc w:val="center"/>
            </w:pPr>
            <w:r>
              <w:rPr>
                <w:b/>
                <w:bCs/>
                <w:color w:val="FFFFFF"/>
              </w:rPr>
              <w:t xml:space="preserve">NIVEL DE RIESGO GLOBAL: CRÍTICO</w:t>
            </w:r>
          </w:p>
        </w:tc>
      </w:tr>
    </w:tbl>
    <w:p>
      <w:pPr>
        <w:spacing w:after="140"/>
      </w:pPr>
      <w:r>
        <w:t xml:space="preserve"/>
      </w:r>
    </w:p>
    <w:p>
      <w:pPr>
        <w:spacing w:after="140"/>
      </w:pPr>
      <w:r>
        <w:t xml:space="preserve">Durante la auditoría se logró tomar el control completo de los sistemas de la empresa y acceder a información confidencial de clientes y empleados (datos personales, bancarios y nóminas). Un atacante con conocimientos medios podría reproducir este ataque con poco esfuerzo y desde Internet.</w:t>
      </w:r>
    </w:p>
    <w:p>
      <w:pPr>
        <w:pStyle w:val="Heading1"/>
      </w:pPr>
      <w:r>
        <w:t xml:space="preserve">3. Qué significa para el negocio</w:t>
      </w:r>
    </w:p>
    <w:p>
      <w:pPr>
        <w:spacing w:after="140"/>
      </w:pPr>
      <w:r>
        <w:t xml:space="preserve">Las debilidades encontradas exponen a Apex Gestoría a riesgos directos:</w:t>
      </w:r>
    </w:p>
    <w:p>
      <w:pPr>
        <w:pStyle w:val="ListParagraph"/>
        <w:numPr>
          <w:ilvl w:val="0"/>
          <w:numId w:val="2"/>
        </w:numPr>
        <w:spacing w:after="60"/>
      </w:pPr>
      <w:r>
        <w:t xml:space="preserve">Robo de datos de clientes (NIF, cuentas bancarias, contactos) y de nóminas de empleados.</w:t>
      </w:r>
    </w:p>
    <w:p>
      <w:pPr>
        <w:pStyle w:val="ListParagraph"/>
        <w:numPr>
          <w:ilvl w:val="0"/>
          <w:numId w:val="2"/>
        </w:numPr>
        <w:spacing w:after="60"/>
      </w:pPr>
      <w:r>
        <w:t xml:space="preserve">Posibles sanciones por incumplimiento del Reglamento General de Protección de Datos (RGPD).</w:t>
      </w:r>
    </w:p>
    <w:p>
      <w:pPr>
        <w:pStyle w:val="ListParagraph"/>
        <w:numPr>
          <w:ilvl w:val="0"/>
          <w:numId w:val="2"/>
        </w:numPr>
        <w:spacing w:after="60"/>
      </w:pPr>
      <w:r>
        <w:t xml:space="preserve">Daño reputacional y pérdida de confianza de los clientes ante una fuga de información.</w:t>
      </w:r>
    </w:p>
    <w:p>
      <w:pPr>
        <w:pStyle w:val="ListParagraph"/>
        <w:numPr>
          <w:ilvl w:val="0"/>
          <w:numId w:val="2"/>
        </w:numPr>
        <w:spacing w:after="60"/>
      </w:pPr>
      <w:r>
        <w:t xml:space="preserve">Riesgo de fraude o manipulación de la información contable y financiera.</w:t>
      </w:r>
    </w:p>
    <w:p>
      <w:pPr>
        <w:pStyle w:val="ListParagraph"/>
        <w:numPr>
          <w:ilvl w:val="0"/>
          <w:numId w:val="2"/>
        </w:numPr>
        <w:spacing w:after="60"/>
      </w:pPr>
      <w:r>
        <w:t xml:space="preserve">Interrupción del servicio si un atacante decidiera cifrar o borrar los datos (ransomware).</w:t>
      </w:r>
    </w:p>
    <w:p>
      <w:pPr>
        <w:pStyle w:val="Heading1"/>
      </w:pPr>
      <w:r>
        <w:t xml:space="preserve">4. Resumen de hallazgos</w:t>
      </w:r>
    </w:p>
    <w:p>
      <w:pPr>
        <w:spacing w:after="140"/>
      </w:pPr>
      <w:r>
        <w:t xml:space="preserve">Se identificaron 9 problemas de seguridad, clasificados por su gravedad: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BBBBBB" w:sz="1"/>
              <w:left w:val="single" w:color="BBBBBB" w:sz="1"/>
              <w:bottom w:val="single" w:color="BBBBBB" w:sz="1"/>
              <w:right w:val="single" w:color="BBBBBB" w:sz="1"/>
            </w:tcBorders>
            <w:shd w:fill="C0392B" w:val="clear"/>
            <w:tcMar>
              <w:top w:type="dxa" w:w="70"/>
              <w:left w:type="dxa" w:w="120"/>
              <w:bottom w:type="dxa" w:w="70"/>
              <w:right w:type="dxa" w:w="120"/>
            </w:tcMar>
            <w:vAlign w:val="center"/>
          </w:tcPr>
          <w:p>
            <w:pPr>
              <w:jc w:val="center"/>
            </w:pPr>
            <w:r>
              <w:rPr>
                <w:b/>
                <w:bCs/>
                <w:color w:val="FFFFFF"/>
              </w:rPr>
              <w:t xml:space="preserve">Críticos</w:t>
            </w:r>
          </w:p>
        </w:tc>
        <w:tc>
          <w:tcPr>
            <w:tcW w:type="dxa" w:w="3009"/>
            <w:tcBorders>
              <w:top w:val="single" w:color="BBBBBB" w:sz="1"/>
              <w:left w:val="single" w:color="BBBBBB" w:sz="1"/>
              <w:bottom w:val="single" w:color="BBBBBB" w:sz="1"/>
              <w:right w:val="single" w:color="BBBBBB" w:sz="1"/>
            </w:tcBorders>
            <w:shd w:fill="E67E22" w:val="clear"/>
            <w:tcMar>
              <w:top w:type="dxa" w:w="70"/>
              <w:left w:type="dxa" w:w="120"/>
              <w:bottom w:type="dxa" w:w="70"/>
              <w:right w:type="dxa" w:w="120"/>
            </w:tcMar>
            <w:vAlign w:val="center"/>
          </w:tcPr>
          <w:p>
            <w:pPr>
              <w:jc w:val="center"/>
            </w:pPr>
            <w:r>
              <w:rPr>
                <w:b/>
                <w:bCs/>
                <w:color w:val="FFFFFF"/>
              </w:rPr>
              <w:t xml:space="preserve">Altos</w:t>
            </w:r>
          </w:p>
        </w:tc>
        <w:tc>
          <w:tcPr>
            <w:tcW w:type="dxa" w:w="3009"/>
            <w:tcBorders>
              <w:top w:val="single" w:color="BBBBBB" w:sz="1"/>
              <w:left w:val="single" w:color="BBBBBB" w:sz="1"/>
              <w:bottom w:val="single" w:color="BBBBBB" w:sz="1"/>
              <w:right w:val="single" w:color="BBBBBB" w:sz="1"/>
            </w:tcBorders>
            <w:shd w:fill="F1C40F" w:val="clear"/>
            <w:tcMar>
              <w:top w:type="dxa" w:w="70"/>
              <w:left w:type="dxa" w:w="120"/>
              <w:bottom w:type="dxa" w:w="70"/>
              <w:right w:type="dxa" w:w="120"/>
            </w:tcMar>
            <w:vAlign w:val="center"/>
          </w:tcPr>
          <w:p>
            <w:pPr>
              <w:jc w:val="center"/>
            </w:pPr>
            <w:r>
              <w:rPr>
                <w:b/>
                <w:bCs/>
                <w:color w:val="FFFFFF"/>
              </w:rPr>
              <w:t xml:space="preserve">Medios</w:t>
            </w:r>
          </w:p>
        </w:tc>
      </w:tr>
      <w:tr>
        <w:tc>
          <w:tcPr>
            <w:tcW w:type="dxa" w:w="3008"/>
            <w:tcBorders>
              <w:top w:val="single" w:color="BBBBBB" w:sz="1"/>
              <w:left w:val="single" w:color="BBBBBB" w:sz="1"/>
              <w:bottom w:val="single" w:color="BBBBBB" w:sz="1"/>
              <w:right w:val="single" w:color="BBBBBB" w:sz="1"/>
            </w:tcBorders>
            <w:tcMar>
              <w:top w:type="dxa" w:w="70"/>
              <w:left w:type="dxa" w:w="120"/>
              <w:bottom w:type="dxa" w:w="70"/>
              <w:right w:type="dxa" w:w="120"/>
            </w:tcMar>
            <w:vAlign w:val="center"/>
          </w:tcPr>
          <w:p>
            <w:pPr>
              <w:jc w:val="center"/>
            </w:pPr>
            <w:r>
              <w:rPr>
                <w:b/>
                <w:bCs/>
              </w:rPr>
              <w:t xml:space="preserve">3</w:t>
            </w:r>
          </w:p>
        </w:tc>
        <w:tc>
          <w:tcPr>
            <w:tcW w:type="dxa" w:w="3009"/>
            <w:tcBorders>
              <w:top w:val="single" w:color="BBBBBB" w:sz="1"/>
              <w:left w:val="single" w:color="BBBBBB" w:sz="1"/>
              <w:bottom w:val="single" w:color="BBBBBB" w:sz="1"/>
              <w:right w:val="single" w:color="BBBBBB" w:sz="1"/>
            </w:tcBorders>
            <w:tcMar>
              <w:top w:type="dxa" w:w="70"/>
              <w:left w:type="dxa" w:w="120"/>
              <w:bottom w:type="dxa" w:w="70"/>
              <w:right w:type="dxa" w:w="120"/>
            </w:tcMar>
            <w:vAlign w:val="center"/>
          </w:tcPr>
          <w:p>
            <w:pPr>
              <w:jc w:val="center"/>
            </w:pPr>
            <w:r>
              <w:rPr>
                <w:b/>
                <w:bCs/>
              </w:rPr>
              <w:t xml:space="preserve">4</w:t>
            </w:r>
          </w:p>
        </w:tc>
        <w:tc>
          <w:tcPr>
            <w:tcW w:type="dxa" w:w="3009"/>
            <w:tcBorders>
              <w:top w:val="single" w:color="BBBBBB" w:sz="1"/>
              <w:left w:val="single" w:color="BBBBBB" w:sz="1"/>
              <w:bottom w:val="single" w:color="BBBBBB" w:sz="1"/>
              <w:right w:val="single" w:color="BBBBBB" w:sz="1"/>
            </w:tcBorders>
            <w:tcMar>
              <w:top w:type="dxa" w:w="70"/>
              <w:left w:type="dxa" w:w="120"/>
              <w:bottom w:type="dxa" w:w="70"/>
              <w:right w:type="dxa" w:w="120"/>
            </w:tcMar>
            <w:vAlign w:val="center"/>
          </w:tcPr>
          <w:p>
            <w:pPr>
              <w:jc w:val="center"/>
            </w:pPr>
            <w:r>
              <w:rPr>
                <w:b/>
                <w:bCs/>
              </w:rPr>
              <w:t xml:space="preserve">2</w:t>
            </w:r>
          </w:p>
        </w:tc>
      </w:tr>
    </w:tbl>
    <w:p>
      <w:pPr>
        <w:spacing w:after="140"/>
      </w:pPr>
      <w:r>
        <w:t xml:space="preserve"/>
      </w:r>
    </w:p>
    <w:p>
      <w:pPr>
        <w:spacing w:after="140"/>
      </w:pPr>
      <w:r>
        <w:rPr>
          <w:b/>
          <w:bCs/>
        </w:rPr>
        <w:t xml:space="preserve">Los problemas más graves, explicados de forma sencilla:</w:t>
      </w:r>
    </w:p>
    <w:p>
      <w:pPr>
        <w:pStyle w:val="ListParagraph"/>
        <w:numPr>
          <w:ilvl w:val="0"/>
          <w:numId w:val="2"/>
        </w:numPr>
        <w:spacing w:after="60"/>
      </w:pPr>
      <w:r>
        <w:t xml:space="preserve">La página web de clientes permite saltarse el control de acceso y leer toda la base de datos (es la puerta de entrada principal).</w:t>
      </w:r>
    </w:p>
    <w:p>
      <w:pPr>
        <w:pStyle w:val="ListParagraph"/>
        <w:numPr>
          <w:ilvl w:val="0"/>
          <w:numId w:val="2"/>
        </w:numPr>
        <w:spacing w:after="60"/>
      </w:pPr>
      <w:r>
        <w:t xml:space="preserve">La base de datos donde se guarda la información está accesible con una contraseña muy débil y conocida.</w:t>
      </w:r>
    </w:p>
    <w:p>
      <w:pPr>
        <w:pStyle w:val="ListParagraph"/>
        <w:numPr>
          <w:ilvl w:val="0"/>
          <w:numId w:val="2"/>
        </w:numPr>
        <w:spacing w:after="60"/>
      </w:pPr>
      <w:r>
        <w:t xml:space="preserve">Un servicio de archivos permite descargar, sin contraseña, un documento que contiene las claves internas de la empresa.</w:t>
      </w:r>
    </w:p>
    <w:p>
      <w:pPr>
        <w:pStyle w:val="ListParagraph"/>
        <w:numPr>
          <w:ilvl w:val="0"/>
          <w:numId w:val="2"/>
        </w:numPr>
        <w:spacing w:after="60"/>
      </w:pPr>
      <w:r>
        <w:t xml:space="preserve">Las redes internas no están bien separadas: entrar por la web da acceso directo a los datos sensibles.</w:t>
      </w:r>
    </w:p>
    <w:p>
      <w:pPr>
        <w:pStyle w:val="Heading1"/>
      </w:pPr>
      <w:r>
        <w:t xml:space="preserve">5. Recomendaciones para la Dirección</w:t>
      </w:r>
    </w:p>
    <w:p>
      <w:pPr>
        <w:spacing w:after="140"/>
      </w:pPr>
      <w:r>
        <w:t xml:space="preserve">JAMSEC recomienda actuar de forma escalonada, priorizando lo urgente: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BBBBB" w:sz="1"/>
              <w:left w:val="single" w:color="BBBBBB" w:sz="1"/>
              <w:bottom w:val="single" w:color="BBBBBB" w:sz="1"/>
              <w:right w:val="single" w:color="BBBBBB" w:sz="1"/>
            </w:tcBorders>
            <w:shd w:fill="16407A" w:val="clear"/>
            <w:tcMar>
              <w:top w:type="dxa" w:w="70"/>
              <w:left w:type="dxa" w:w="120"/>
              <w:bottom w:type="dxa" w:w="70"/>
              <w:right w:type="dxa" w:w="120"/>
            </w:tcMar>
            <w:vAlign w:val="center"/>
          </w:tcPr>
          <w:p>
            <w:pPr>
              <w:jc w:val="left"/>
            </w:pPr>
            <w:r>
              <w:rPr>
                <w:b/>
                <w:bCs/>
                <w:color w:val="FFFFFF"/>
              </w:rPr>
              <w:t xml:space="preserve">Plazo</w:t>
            </w:r>
          </w:p>
        </w:tc>
        <w:tc>
          <w:tcPr>
            <w:tcW w:type="dxa" w:w="6826"/>
            <w:tcBorders>
              <w:top w:val="single" w:color="BBBBBB" w:sz="1"/>
              <w:left w:val="single" w:color="BBBBBB" w:sz="1"/>
              <w:bottom w:val="single" w:color="BBBBBB" w:sz="1"/>
              <w:right w:val="single" w:color="BBBBBB" w:sz="1"/>
            </w:tcBorders>
            <w:shd w:fill="16407A" w:val="clear"/>
            <w:tcMar>
              <w:top w:type="dxa" w:w="70"/>
              <w:left w:type="dxa" w:w="120"/>
              <w:bottom w:type="dxa" w:w="70"/>
              <w:right w:type="dxa" w:w="120"/>
            </w:tcMar>
            <w:vAlign w:val="center"/>
          </w:tcPr>
          <w:p>
            <w:pPr>
              <w:jc w:val="left"/>
            </w:pPr>
            <w:r>
              <w:rPr>
                <w:b/>
                <w:bCs/>
                <w:color w:val="FFFFFF"/>
              </w:rPr>
              <w:t xml:space="preserve">Acción recomendada</w:t>
            </w:r>
          </w:p>
        </w:tc>
      </w:tr>
      <w:tr>
        <w:tc>
          <w:tcPr>
            <w:tcW w:type="dxa" w:w="2200"/>
            <w:tcBorders>
              <w:top w:val="single" w:color="BBBBBB" w:sz="1"/>
              <w:left w:val="single" w:color="BBBBBB" w:sz="1"/>
              <w:bottom w:val="single" w:color="BBBBBB" w:sz="1"/>
              <w:right w:val="single" w:color="BBBBBB" w:sz="1"/>
            </w:tcBorders>
            <w:tcMar>
              <w:top w:type="dxa" w:w="70"/>
              <w:left w:type="dxa" w:w="120"/>
              <w:bottom w:type="dxa" w:w="70"/>
              <w:right w:type="dxa" w:w="120"/>
            </w:tcMar>
            <w:vAlign w:val="center"/>
          </w:tcPr>
          <w:p>
            <w:pPr>
              <w:jc w:val="left"/>
            </w:pPr>
            <w:r>
              <w:rPr>
                <w:b/>
                <w:bCs/>
              </w:rPr>
              <w:t xml:space="preserve">Inmediato (0-7 días)</w:t>
            </w:r>
          </w:p>
        </w:tc>
        <w:tc>
          <w:tcPr>
            <w:tcW w:type="dxa" w:w="6826"/>
            <w:tcBorders>
              <w:top w:val="single" w:color="BBBBBB" w:sz="1"/>
              <w:left w:val="single" w:color="BBBBBB" w:sz="1"/>
              <w:bottom w:val="single" w:color="BBBBBB" w:sz="1"/>
              <w:right w:val="single" w:color="BBBBBB" w:sz="1"/>
            </w:tcBorders>
            <w:tcMar>
              <w:top w:type="dxa" w:w="70"/>
              <w:left w:type="dxa" w:w="120"/>
              <w:bottom w:type="dxa" w:w="70"/>
              <w:right w:type="dxa" w:w="120"/>
            </w:tcMar>
            <w:vAlign w:val="center"/>
          </w:tcPr>
          <w:p>
            <w:pPr>
              <w:jc w:val="left"/>
            </w:pPr>
            <w:r>
              <w:rPr>
                <w:b w:val="false"/>
                <w:bCs w:val="false"/>
              </w:rPr>
              <w:t xml:space="preserve">Corregir la página web vulnerable y cambiar todas las contraseñas, especialmente la de la base de datos.</w:t>
            </w:r>
          </w:p>
        </w:tc>
      </w:tr>
      <w:tr>
        <w:tc>
          <w:tcPr>
            <w:tcW w:type="dxa" w:w="2200"/>
            <w:tcBorders>
              <w:top w:val="single" w:color="BBBBBB" w:sz="1"/>
              <w:left w:val="single" w:color="BBBBBB" w:sz="1"/>
              <w:bottom w:val="single" w:color="BBBBBB" w:sz="1"/>
              <w:right w:val="single" w:color="BBBBBB" w:sz="1"/>
            </w:tcBorders>
            <w:tcMar>
              <w:top w:type="dxa" w:w="70"/>
              <w:left w:type="dxa" w:w="120"/>
              <w:bottom w:type="dxa" w:w="70"/>
              <w:right w:type="dxa" w:w="120"/>
            </w:tcMar>
            <w:vAlign w:val="center"/>
          </w:tcPr>
          <w:p>
            <w:pPr>
              <w:jc w:val="left"/>
            </w:pPr>
            <w:r>
              <w:rPr>
                <w:b/>
                <w:bCs/>
              </w:rPr>
              <w:t xml:space="preserve">Corto plazo (2-4 sem.)</w:t>
            </w:r>
          </w:p>
        </w:tc>
        <w:tc>
          <w:tcPr>
            <w:tcW w:type="dxa" w:w="6826"/>
            <w:tcBorders>
              <w:top w:val="single" w:color="BBBBBB" w:sz="1"/>
              <w:left w:val="single" w:color="BBBBBB" w:sz="1"/>
              <w:bottom w:val="single" w:color="BBBBBB" w:sz="1"/>
              <w:right w:val="single" w:color="BBBBBB" w:sz="1"/>
            </w:tcBorders>
            <w:tcMar>
              <w:top w:type="dxa" w:w="70"/>
              <w:left w:type="dxa" w:w="120"/>
              <w:bottom w:type="dxa" w:w="70"/>
              <w:right w:type="dxa" w:w="120"/>
            </w:tcMar>
            <w:vAlign w:val="center"/>
          </w:tcPr>
          <w:p>
            <w:pPr>
              <w:jc w:val="left"/>
            </w:pPr>
            <w:r>
              <w:rPr>
                <w:b w:val="false"/>
                <w:bCs w:val="false"/>
              </w:rPr>
              <w:t xml:space="preserve">Cerrar los servicios expuestos a Internet, reforzar el acceso remoto y separar correctamente las redes internas.</w:t>
            </w:r>
          </w:p>
        </w:tc>
      </w:tr>
      <w:tr>
        <w:tc>
          <w:tcPr>
            <w:tcW w:type="dxa" w:w="2200"/>
            <w:tcBorders>
              <w:top w:val="single" w:color="BBBBBB" w:sz="1"/>
              <w:left w:val="single" w:color="BBBBBB" w:sz="1"/>
              <w:bottom w:val="single" w:color="BBBBBB" w:sz="1"/>
              <w:right w:val="single" w:color="BBBBBB" w:sz="1"/>
            </w:tcBorders>
            <w:tcMar>
              <w:top w:type="dxa" w:w="70"/>
              <w:left w:type="dxa" w:w="120"/>
              <w:bottom w:type="dxa" w:w="70"/>
              <w:right w:type="dxa" w:w="120"/>
            </w:tcMar>
            <w:vAlign w:val="center"/>
          </w:tcPr>
          <w:p>
            <w:pPr>
              <w:jc w:val="left"/>
            </w:pPr>
            <w:r>
              <w:rPr>
                <w:b/>
                <w:bCs/>
              </w:rPr>
              <w:t xml:space="preserve">Medio plazo (1-3 meses)</w:t>
            </w:r>
          </w:p>
        </w:tc>
        <w:tc>
          <w:tcPr>
            <w:tcW w:type="dxa" w:w="6826"/>
            <w:tcBorders>
              <w:top w:val="single" w:color="BBBBBB" w:sz="1"/>
              <w:left w:val="single" w:color="BBBBBB" w:sz="1"/>
              <w:bottom w:val="single" w:color="BBBBBB" w:sz="1"/>
              <w:right w:val="single" w:color="BBBBBB" w:sz="1"/>
            </w:tcBorders>
            <w:tcMar>
              <w:top w:type="dxa" w:w="70"/>
              <w:left w:type="dxa" w:w="120"/>
              <w:bottom w:type="dxa" w:w="70"/>
              <w:right w:type="dxa" w:w="120"/>
            </w:tcMar>
            <w:vAlign w:val="center"/>
          </w:tcPr>
          <w:p>
            <w:pPr>
              <w:jc w:val="left"/>
            </w:pPr>
            <w:r>
              <w:rPr>
                <w:b w:val="false"/>
                <w:bCs w:val="false"/>
              </w:rPr>
              <w:t xml:space="preserve">Cifrar todas las comunicaciones, implantar una política de contraseñas y formación básica de seguridad.</w:t>
            </w:r>
          </w:p>
        </w:tc>
      </w:tr>
      <w:tr>
        <w:tc>
          <w:tcPr>
            <w:tcW w:type="dxa" w:w="2200"/>
            <w:tcBorders>
              <w:top w:val="single" w:color="BBBBBB" w:sz="1"/>
              <w:left w:val="single" w:color="BBBBBB" w:sz="1"/>
              <w:bottom w:val="single" w:color="BBBBBB" w:sz="1"/>
              <w:right w:val="single" w:color="BBBBBB" w:sz="1"/>
            </w:tcBorders>
            <w:tcMar>
              <w:top w:type="dxa" w:w="70"/>
              <w:left w:type="dxa" w:w="120"/>
              <w:bottom w:type="dxa" w:w="70"/>
              <w:right w:type="dxa" w:w="120"/>
            </w:tcMar>
            <w:vAlign w:val="center"/>
          </w:tcPr>
          <w:p>
            <w:pPr>
              <w:jc w:val="left"/>
            </w:pPr>
            <w:r>
              <w:rPr>
                <w:b/>
                <w:bCs/>
              </w:rPr>
              <w:t xml:space="preserve">Continuo</w:t>
            </w:r>
          </w:p>
        </w:tc>
        <w:tc>
          <w:tcPr>
            <w:tcW w:type="dxa" w:w="6826"/>
            <w:tcBorders>
              <w:top w:val="single" w:color="BBBBBB" w:sz="1"/>
              <w:left w:val="single" w:color="BBBBBB" w:sz="1"/>
              <w:bottom w:val="single" w:color="BBBBBB" w:sz="1"/>
              <w:right w:val="single" w:color="BBBBBB" w:sz="1"/>
            </w:tcBorders>
            <w:tcMar>
              <w:top w:type="dxa" w:w="70"/>
              <w:left w:type="dxa" w:w="120"/>
              <w:bottom w:type="dxa" w:w="70"/>
              <w:right w:type="dxa" w:w="120"/>
            </w:tcMar>
            <w:vAlign w:val="center"/>
          </w:tcPr>
          <w:p>
            <w:pPr>
              <w:jc w:val="left"/>
            </w:pPr>
            <w:r>
              <w:rPr>
                <w:b w:val="false"/>
                <w:bCs w:val="false"/>
              </w:rPr>
              <w:t xml:space="preserve">Mantener la monitorización de seguridad (ya operativa) y repetir la auditoría periódicamente.</w:t>
            </w:r>
          </w:p>
        </w:tc>
      </w:tr>
    </w:tbl>
    <w:p>
      <w:pPr>
        <w:pStyle w:val="Heading1"/>
      </w:pPr>
      <w:r>
        <w:t xml:space="preserve">6. Aspecto positivo</w:t>
      </w:r>
    </w:p>
    <w:p>
      <w:pPr>
        <w:spacing w:after="140"/>
      </w:pPr>
      <w:r>
        <w:t xml:space="preserve">El sistema de monitorización de seguridad desplegado por JAMSEC (SIEM e IDS) detectó la actividad del ataque durante la auditoría: el escaneo de la red, los intentos de adivinar contraseñas y los accesos a los servicios. Esto demuestra que, una vez corregidas las vulnerabilidades, Apex Gestoría dispondrá de capacidad para detectar y reaccionar ante incidentes.</w:t>
      </w:r>
    </w:p>
    <w:p>
      <w:pPr>
        <w:pStyle w:val="Heading1"/>
      </w:pPr>
      <w:r>
        <w:t xml:space="preserve">7. Conclusión</w:t>
      </w:r>
    </w:p>
    <w:p>
      <w:pPr>
        <w:spacing w:after="140"/>
      </w:pPr>
      <w:r>
        <w:t xml:space="preserve">La situación actual es de riesgo crítico, pero subsanable. Aplicando las medidas recomendadas —especialmente las inmediatas— el nivel de exposición se reduciría drásticamente. JAMSEC queda a disposición de la Dirección para acompañar el proceso de corrección y verificar su eficacia mediante una nueva auditoría.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CONFIDENCIAL — Página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6407A" w:sz="4" w:space="4"/>
      </w:pBdr>
      <w:jc w:val="right"/>
    </w:pPr>
    <w:r>
      <w:rPr>
        <w:color w:val="888888"/>
        <w:sz w:val="16"/>
        <w:szCs w:val="16"/>
      </w:rPr>
      <w:t xml:space="preserve">JAMSEC · Informe Ejecutivo — Apex Gestoría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6407A"/>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1F2A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Ejecutivo de Auditoría de Seguridad - Apex Gestoría</dc:title>
  <dc:creator>JAMSEC</dc:creator>
  <cp:lastModifiedBy>Un-named</cp:lastModifiedBy>
  <cp:revision>1</cp:revision>
  <dcterms:created xsi:type="dcterms:W3CDTF">2026-06-01T18:32:42.051Z</dcterms:created>
  <dcterms:modified xsi:type="dcterms:W3CDTF">2026-06-01T18:32:42.052Z</dcterms:modified>
</cp:coreProperties>
</file>

<file path=docProps/custom.xml><?xml version="1.0" encoding="utf-8"?>
<Properties xmlns="http://schemas.openxmlformats.org/officeDocument/2006/custom-properties" xmlns:vt="http://schemas.openxmlformats.org/officeDocument/2006/docPropsVTypes"/>
</file>