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b/>
          <w:bCs/>
          <w:color w:val="1F2A44"/>
          <w:sz w:val="72"/>
          <w:szCs w:val="72"/>
        </w:rPr>
        <w:t xml:space="preserve">JAM</w:t>
      </w:r>
      <w:r>
        <w:rPr>
          <w:b/>
          <w:bCs/>
          <w:color w:val="19C37D"/>
          <w:sz w:val="72"/>
          <w:szCs w:val="72"/>
        </w:rPr>
        <w:t xml:space="preserve">SEC</w:t>
      </w:r>
    </w:p>
    <w:p>
      <w:pPr>
        <w:spacing w:after="1200"/>
        <w:jc w:val="center"/>
      </w:pPr>
      <w:r>
        <w:rPr>
          <w:i/>
          <w:iCs/>
          <w:color w:val="666666"/>
          <w:sz w:val="24"/>
          <w:szCs w:val="24"/>
        </w:rPr>
        <w:t xml:space="preserve">Servicios Gestionados de Ciberseguridad</w:t>
      </w:r>
    </w:p>
    <w:p>
      <w:pPr>
        <w:pBdr>
          <w:top w:val="single" w:color="16407A" w:sz="6" w:space="6"/>
          <w:bottom w:val="single" w:color="16407A" w:sz="6" w:space="6"/>
        </w:pBdr>
        <w:spacing w:after="200" w:before="200"/>
        <w:jc w:val="center"/>
      </w:pPr>
      <w:r>
        <w:rPr>
          <w:b/>
          <w:bCs/>
          <w:color w:val="16407A"/>
          <w:sz w:val="34"/>
          <w:szCs w:val="34"/>
        </w:rPr>
        <w:t xml:space="preserve">INFORME EJECUTIVO DE AUDITORÍA DE SEGURIDAD</w:t>
      </w:r>
    </w:p>
    <w:p>
      <w:pPr>
        <w:spacing w:after="60" w:before="200"/>
        <w:jc w:val="center"/>
      </w:pPr>
      <w:r>
        <w:rPr>
          <w:sz w:val="24"/>
          <w:szCs w:val="24"/>
        </w:rPr>
        <w:t xml:space="preserve">Resumen para la Dirección</w:t>
      </w:r>
    </w:p>
    <w:p>
      <w:pPr>
        <w:spacing w:after="1400"/>
        <w:jc w:val="center"/>
      </w:pPr>
      <w:r>
        <w:rPr>
          <w:b/>
          <w:bCs/>
          <w:color w:val="1F2A44"/>
          <w:sz w:val="28"/>
          <w:szCs w:val="28"/>
        </w:rPr>
        <w:t xml:space="preserve">Cliente: Apex Gestoría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Referencia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JAMSEC-AUD-2026-001-EXE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Junio de 2026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Dirigido 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Dirección de Apex Gestoría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Clasificación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CONFIDENCIAL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De qué va este informe</w:t>
      </w:r>
    </w:p>
    <w:p>
      <w:pPr>
        <w:spacing w:after="140"/>
        <w:jc w:val="both"/>
      </w:pPr>
      <w:r>
        <w:t xml:space="preserve">Apex Gestoría nos pidió que comprobáramos si sus sistemas informáticos son seguros. Para hacerlo, en JAMSEC simulamos un ataque real contra ellos, de forma controlada, y aquí resumimos lo que encontramos. Este documento está pensado para la dirección, así que va sin tecnicismos; el detalle técnico, con las pruebas y la forma de corregir cada problema, está en el informe técnico que entregamos aparte.</w:t>
      </w:r>
    </w:p>
    <w:p>
      <w:pPr>
        <w:pStyle w:val="Heading1"/>
      </w:pPr>
      <w:r>
        <w:t xml:space="preserve">2. Conclusión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NIVEL DE RIESGO GLOBAL: CRÍTICO</w:t>
            </w:r>
          </w:p>
        </w:tc>
      </w:tr>
    </w:tbl>
    <w:p>
      <w:pPr>
        <w:spacing w:after="140"/>
        <w:jc w:val="both"/>
      </w:pPr>
      <w:r>
        <w:t xml:space="preserve"/>
      </w:r>
    </w:p>
    <w:p>
      <w:pPr>
        <w:spacing w:after="140"/>
        <w:jc w:val="both"/>
      </w:pPr>
      <w:r>
        <w:t xml:space="preserve">Durante la prueba conseguimos hacernos con el control completo de los sistemas y acceder a información confidencial de clientes y empleados: datos personales, cuentas bancarias y nóminas. Y lo hicimos partiendo de cero, desde fuera, sin que nadie nos diera ninguna contraseña. Dicho de otro modo: hoy por hoy, alguien con conocimientos medios podría hacer lo mismo desde internet sin demasiado esfuerzo.</w:t>
      </w:r>
    </w:p>
    <w:p>
      <w:pPr>
        <w:pStyle w:val="Heading1"/>
      </w:pPr>
      <w:r>
        <w:t xml:space="preserve">3. Qué supone esto para el negocio</w:t>
      </w:r>
    </w:p>
    <w:p>
      <w:pPr>
        <w:spacing w:after="140"/>
        <w:jc w:val="both"/>
      </w:pPr>
      <w:r>
        <w:t xml:space="preserve">Más allá de lo técnico, lo que está en juego es el negocio. Estos son los riesgos concretos a los que se expone Apex con la situación actual: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se roben los datos de los clientes (NIF, cuentas bancarias, contactos) y las nóminas de los empleados.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Sanciones por incumplir la Ley de Protección de Datos (RGPD), que para este tipo de información pueden ser elevadas.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Pérdida de confianza y daño a la reputación: una gestoría vive de que sus clientes le confíen datos sensibles.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alguien manipule o falsee información contable y financiera.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un ataque tipo «ransomware» cifre o borre los datos y deje el negocio parado.</w:t>
      </w:r>
    </w:p>
    <w:p>
      <w:pPr>
        <w:pStyle w:val="Heading1"/>
      </w:pPr>
      <w:r>
        <w:t xml:space="preserve">4. Resumen de lo que encontramos</w:t>
      </w:r>
    </w:p>
    <w:p>
      <w:pPr>
        <w:spacing w:after="140"/>
        <w:jc w:val="both"/>
      </w:pPr>
      <w:r>
        <w:t xml:space="preserve">En total detectamos 9 problemas de seguridad. Los clasificamos según su gravedad: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Críticos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Altos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C40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Medios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pPr>
        <w:spacing w:after="140"/>
        <w:jc w:val="both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Sin entrar en tecnicismos, los problemas más graves son estos: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página web de clientes deja saltarse el control de acceso y, a través de ella, leer toda la base de datos. Es la puerta de entrada principal.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base de datos donde se guarda todo está accesible con una contraseña muy débil y muy conocida.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servicio para compartir archivos permite descargar, sin pedir ninguna contraseña, un documento que contiene las claves internas de la empresa.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redes internas no están bien separadas, así que entrar por la web da acceso directo a la información más sensible.</w:t>
      </w:r>
    </w:p>
    <w:p>
      <w:pPr>
        <w:spacing w:after="140"/>
        <w:jc w:val="both"/>
      </w:pPr>
      <w:r>
        <w:t xml:space="preserve">Lo importante es entender que estos fallos no actúan por separado: uno lleva al siguiente. Aprovechando esa cadena fue como llegamos desde la web hasta las nóminas.</w:t>
      </w:r>
    </w:p>
    <w:p>
      <w:pPr>
        <w:pStyle w:val="Heading1"/>
      </w:pPr>
      <w:r>
        <w:t xml:space="preserve">5. Qué recomendamos hacer</w:t>
      </w:r>
    </w:p>
    <w:p>
      <w:pPr>
        <w:spacing w:after="140"/>
        <w:jc w:val="both"/>
      </w:pPr>
      <w:r>
        <w:t xml:space="preserve">La buena noticia es que casi todo se arregla con configuración y buenas prácticas, no hace falta una gran inversión. Proponemos actuar por fases, empezando por lo más urgente: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640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Plazo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640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Acción recomendada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Inmediato (0-7 días)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Corregir la página web vulnerable y cambiar todas las contraseñas, sobre todo la de la base de datos.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Corto plazo (2-4 sem.)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Cerrar los servicios que están abiertos a internet sin necesidad, reforzar el acceso remoto y separar bien las redes internas.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Medio plazo (1-3 meses)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Cifrar todas las comunicaciones, establecer una política de contraseñas y dar una formación básica de seguridad al personal.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Continuo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Mantener la vigilancia de seguridad (que ya está funcionando) y repetir la auditoría de vez en cuando.</w:t>
            </w:r>
          </w:p>
        </w:tc>
      </w:tr>
    </w:tbl>
    <w:p>
      <w:pPr>
        <w:pStyle w:val="Heading1"/>
      </w:pPr>
      <w:r>
        <w:t xml:space="preserve">6. Lo que sí funciona</w:t>
      </w:r>
    </w:p>
    <w:p>
      <w:pPr>
        <w:spacing w:after="140"/>
        <w:jc w:val="both"/>
      </w:pPr>
      <w:r>
        <w:t xml:space="preserve">No todo son malas noticias. El sistema de vigilancia de seguridad que tiene desplegado JAMSEC detectó nuestro ataque mientras lo estábamos haciendo: vio el rastreo de la red, los intentos de adivinar contraseñas y los accesos. Esto es importante porque quiere decir que, una vez se corrijan los fallos, Apex no se queda «a ciegas»: dispone de la capacidad de darse cuenta de un ataque y reaccionar a tiempo.</w:t>
      </w:r>
    </w:p>
    <w:p>
      <w:pPr>
        <w:pStyle w:val="Heading1"/>
      </w:pPr>
      <w:r>
        <w:t xml:space="preserve">7. Conclusión</w:t>
      </w:r>
    </w:p>
    <w:p>
      <w:pPr>
        <w:spacing w:after="140"/>
        <w:jc w:val="both"/>
      </w:pPr>
      <w:r>
        <w:t xml:space="preserve">La situación de partida es de riesgo crítico, pero tiene arreglo y no es caro de solucionar. Si se aplican las medidas que proponemos, empezando por las urgentes, el nivel de exposición baja muchísimo en poco tiempo. Desde JAMSEC quedamos a disposición de la dirección para ayudar en la corrección y, cuando esté hecha, volver a comprobar que todo ha quedado bien cerrado.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CONFIDENCIAL —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407A" w:sz="4" w:space="4"/>
      </w:pBdr>
      <w:jc w:val="right"/>
    </w:pPr>
    <w:r>
      <w:rPr>
        <w:color w:val="888888"/>
        <w:sz w:val="16"/>
        <w:szCs w:val="16"/>
      </w:rPr>
      <w:t xml:space="preserve">JAMSEC · Informe Ejecutivo — Apex Gestoría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640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Ejecutivo de Auditoría de Seguridad - Apex Gestoría</dc:title>
  <dc:creator>JAMSEC</dc:creator>
  <cp:lastModifiedBy>Un-named</cp:lastModifiedBy>
  <cp:revision>1</cp:revision>
  <dcterms:created xsi:type="dcterms:W3CDTF">2026-06-01T19:15:13.726Z</dcterms:created>
  <dcterms:modified xsi:type="dcterms:W3CDTF">2026-06-01T19:15:13.726Z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