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B9A" w14:textId="029ED59F" w:rsidR="00D639D7" w:rsidRPr="0069644B" w:rsidRDefault="00A7139B" w:rsidP="00D02CFE">
      <w:pPr>
        <w:spacing w:after="60"/>
        <w:rPr>
          <w:rFonts w:ascii="Oracle Sans" w:hAnsi="Oracle Sans" w:cstheme="minorHAnsi"/>
        </w:rPr>
      </w:pPr>
      <w:r w:rsidRPr="0069644B">
        <w:rPr>
          <w:rFonts w:ascii="Oracle Sans" w:hAnsi="Oracle Sans" w:cstheme="minorHAnsi"/>
          <w:noProof/>
        </w:rPr>
        <w:drawing>
          <wp:anchor distT="0" distB="0" distL="114300" distR="114300" simplePos="0" relativeHeight="251658240" behindDoc="1" locked="0" layoutInCell="1" allowOverlap="1" wp14:anchorId="2F3A4932" wp14:editId="5EA116FF">
            <wp:simplePos x="0" y="0"/>
            <wp:positionH relativeFrom="margin">
              <wp:posOffset>-60960</wp:posOffset>
            </wp:positionH>
            <wp:positionV relativeFrom="paragraph">
              <wp:posOffset>88900</wp:posOffset>
            </wp:positionV>
            <wp:extent cx="7155815" cy="1073150"/>
            <wp:effectExtent l="0" t="0" r="6985" b="0"/>
            <wp:wrapNone/>
            <wp:docPr id="1" name="Picture 1" descr="https://www.oracle.com/a/ocom/img/ch12-cloud-platform-bench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racle.com/a/ocom/img/ch12-cloud-platform-benchmar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33337" w14:textId="6F9AC648" w:rsidR="00D639D7" w:rsidRPr="0069644B" w:rsidRDefault="0063085F" w:rsidP="00AA6D92">
      <w:pPr>
        <w:spacing w:after="0"/>
        <w:rPr>
          <w:rFonts w:ascii="Oracle Sans" w:hAnsi="Oracle Sans" w:cstheme="minorHAnsi"/>
          <w:b/>
          <w:color w:val="FFFFFF" w:themeColor="background1"/>
          <w:sz w:val="48"/>
          <w:szCs w:val="48"/>
        </w:rPr>
      </w:pPr>
      <w:r w:rsidRPr="0063085F">
        <w:rPr>
          <w:rFonts w:ascii="Oracle Sans" w:hAnsi="Oracle Sans" w:cstheme="minorHAnsi"/>
          <w:b/>
          <w:color w:val="FFFFFF" w:themeColor="background1"/>
          <w:sz w:val="44"/>
          <w:szCs w:val="44"/>
        </w:rPr>
        <w:t>Oracle Observability and Management Key Differentiators</w:t>
      </w:r>
    </w:p>
    <w:p w14:paraId="06A21263" w14:textId="77777777" w:rsidR="00332BC0" w:rsidRPr="00D02CFE" w:rsidRDefault="00332BC0" w:rsidP="0053036C">
      <w:pPr>
        <w:spacing w:after="0"/>
        <w:rPr>
          <w:rFonts w:ascii="Oracle Sans" w:hAnsi="Oracle Sans" w:cstheme="minorHAnsi"/>
          <w:noProof/>
          <w:color w:val="FFFFFF" w:themeColor="background1"/>
          <w:sz w:val="36"/>
          <w:szCs w:val="36"/>
        </w:rPr>
      </w:pPr>
    </w:p>
    <w:p w14:paraId="45C7F40F" w14:textId="2BE2624A" w:rsidR="00F2762D" w:rsidRPr="001C2C92" w:rsidRDefault="001C2C92" w:rsidP="0054037C">
      <w:pPr>
        <w:spacing w:after="0" w:line="240" w:lineRule="auto"/>
        <w:jc w:val="both"/>
        <w:rPr>
          <w:rFonts w:ascii="Oracle Sans" w:hAnsi="Oracle Sans" w:cstheme="minorHAnsi"/>
          <w:bCs/>
          <w:color w:val="000000" w:themeColor="text1"/>
        </w:rPr>
      </w:pPr>
      <w:r w:rsidRPr="001C2C92">
        <w:rPr>
          <w:rFonts w:ascii="Oracle Sans" w:hAnsi="Oracle Sans" w:cstheme="minorHAnsi"/>
          <w:bCs/>
          <w:color w:val="000000" w:themeColor="text1"/>
        </w:rPr>
        <w:t xml:space="preserve">Oracle </w:t>
      </w:r>
      <w:r w:rsidR="004D2D1D" w:rsidRPr="001C2C92">
        <w:rPr>
          <w:rFonts w:ascii="Oracle Sans" w:hAnsi="Oracle Sans" w:cstheme="minorHAnsi"/>
          <w:bCs/>
          <w:color w:val="000000" w:themeColor="text1"/>
        </w:rPr>
        <w:t xml:space="preserve">OCI Observability and Management </w:t>
      </w:r>
      <w:r w:rsidR="000C1454" w:rsidRPr="001C2C92">
        <w:rPr>
          <w:rFonts w:ascii="Oracle Sans" w:hAnsi="Oracle Sans" w:cstheme="minorHAnsi"/>
          <w:bCs/>
          <w:color w:val="000000" w:themeColor="text1"/>
        </w:rPr>
        <w:t xml:space="preserve">(O&amp;M) </w:t>
      </w:r>
      <w:r w:rsidR="004D2D1D" w:rsidRPr="001C2C92">
        <w:rPr>
          <w:rFonts w:ascii="Oracle Sans" w:hAnsi="Oracle Sans" w:cstheme="minorHAnsi"/>
          <w:bCs/>
          <w:color w:val="000000" w:themeColor="text1"/>
        </w:rPr>
        <w:t xml:space="preserve">Platform is a comprehensive set of </w:t>
      </w:r>
      <w:r w:rsidR="006C2068" w:rsidRPr="001C2C92">
        <w:rPr>
          <w:rFonts w:ascii="Oracle Sans" w:hAnsi="Oracle Sans" w:cstheme="minorHAnsi"/>
          <w:bCs/>
          <w:color w:val="000000" w:themeColor="text1"/>
        </w:rPr>
        <w:t>cloud</w:t>
      </w:r>
      <w:r w:rsidR="004D2D1D" w:rsidRPr="001C2C92">
        <w:rPr>
          <w:rFonts w:ascii="Oracle Sans" w:hAnsi="Oracle Sans" w:cstheme="minorHAnsi"/>
          <w:bCs/>
          <w:color w:val="000000" w:themeColor="text1"/>
        </w:rPr>
        <w:t xml:space="preserve"> services that </w:t>
      </w:r>
      <w:r w:rsidR="001E40CB" w:rsidRPr="001C2C92">
        <w:rPr>
          <w:rFonts w:ascii="Oracle Sans" w:hAnsi="Oracle Sans" w:cstheme="minorHAnsi"/>
          <w:bCs/>
          <w:color w:val="000000" w:themeColor="text1"/>
        </w:rPr>
        <w:t>provide</w:t>
      </w:r>
      <w:r w:rsidR="004D2D1D" w:rsidRPr="001C2C92">
        <w:rPr>
          <w:rFonts w:ascii="Oracle Sans" w:hAnsi="Oracle Sans" w:cstheme="minorHAnsi"/>
          <w:bCs/>
          <w:color w:val="000000" w:themeColor="text1"/>
        </w:rPr>
        <w:t xml:space="preserve"> visibility and insight across multi-platform cloud-native and traditional technology, whether deployed in multi-cloud (OCI, AWS or Azure) or on-premises environments, with broad, standards-based ecosystem support. </w:t>
      </w:r>
      <w:r w:rsidR="007E3232" w:rsidRPr="001C2C92">
        <w:rPr>
          <w:rFonts w:ascii="Oracle Sans" w:hAnsi="Oracle Sans" w:cstheme="minorHAnsi"/>
          <w:bCs/>
          <w:color w:val="000000" w:themeColor="text1"/>
        </w:rPr>
        <w:t xml:space="preserve">The following are the advantages of </w:t>
      </w:r>
      <w:r w:rsidR="0054037C" w:rsidRPr="001C2C92">
        <w:rPr>
          <w:rFonts w:ascii="Oracle Sans" w:hAnsi="Oracle Sans" w:cstheme="minorHAnsi"/>
          <w:bCs/>
          <w:color w:val="000000" w:themeColor="text1"/>
        </w:rPr>
        <w:t xml:space="preserve">Oracle </w:t>
      </w:r>
      <w:r w:rsidR="004D2D1D" w:rsidRPr="001C2C92">
        <w:rPr>
          <w:rFonts w:ascii="Oracle Sans" w:hAnsi="Oracle Sans" w:cstheme="minorHAnsi"/>
          <w:bCs/>
          <w:color w:val="000000" w:themeColor="text1"/>
        </w:rPr>
        <w:t>O</w:t>
      </w:r>
      <w:r w:rsidR="001E40CB" w:rsidRPr="001C2C92">
        <w:rPr>
          <w:rFonts w:ascii="Oracle Sans" w:hAnsi="Oracle Sans" w:cstheme="minorHAnsi"/>
          <w:bCs/>
          <w:color w:val="000000" w:themeColor="text1"/>
        </w:rPr>
        <w:t xml:space="preserve">&amp;M </w:t>
      </w:r>
      <w:r w:rsidR="004D2D1D" w:rsidRPr="001C2C92">
        <w:rPr>
          <w:rFonts w:ascii="Oracle Sans" w:hAnsi="Oracle Sans" w:cstheme="minorHAnsi"/>
          <w:bCs/>
          <w:color w:val="000000" w:themeColor="text1"/>
        </w:rPr>
        <w:t>over competitors</w:t>
      </w:r>
      <w:r w:rsidR="0054037C" w:rsidRPr="001C2C92">
        <w:rPr>
          <w:rFonts w:ascii="Oracle Sans" w:hAnsi="Oracle Sans" w:cstheme="minorHAnsi"/>
          <w:bCs/>
          <w:color w:val="000000" w:themeColor="text1"/>
        </w:rPr>
        <w:t>:</w:t>
      </w:r>
    </w:p>
    <w:p w14:paraId="7AC6CDD6" w14:textId="6668A70D" w:rsidR="006C2068" w:rsidRPr="001C2C92" w:rsidRDefault="001E40CB" w:rsidP="002075BD">
      <w:pPr>
        <w:numPr>
          <w:ilvl w:val="0"/>
          <w:numId w:val="25"/>
        </w:numPr>
        <w:spacing w:before="60" w:after="0" w:line="240" w:lineRule="auto"/>
        <w:ind w:left="360"/>
        <w:jc w:val="both"/>
        <w:rPr>
          <w:rFonts w:ascii="Oracle Sans" w:hAnsi="Oracle Sans"/>
        </w:rPr>
      </w:pPr>
      <w:r w:rsidRPr="001C2C92">
        <w:rPr>
          <w:rFonts w:ascii="Oracle Sans" w:hAnsi="Oracle Sans"/>
          <w:b/>
          <w:bCs/>
        </w:rPr>
        <w:t>Rich i</w:t>
      </w:r>
      <w:r w:rsidR="006C2068" w:rsidRPr="001C2C92">
        <w:rPr>
          <w:rFonts w:ascii="Oracle Sans" w:hAnsi="Oracle Sans"/>
          <w:b/>
          <w:bCs/>
        </w:rPr>
        <w:t>ntegrated suite for multi-cloud, on-premises and hybrid cloud IT deployments.</w:t>
      </w:r>
      <w:r w:rsidR="006C2068" w:rsidRPr="001C2C92">
        <w:rPr>
          <w:rFonts w:ascii="Oracle Sans" w:hAnsi="Oracle Sans"/>
          <w:bCs/>
        </w:rPr>
        <w:t xml:space="preserve"> Oracle O&amp;M consists of industry’s broadest management solution portfolio </w:t>
      </w:r>
      <w:r w:rsidRPr="001C2C92">
        <w:rPr>
          <w:rFonts w:ascii="Oracle Sans" w:hAnsi="Oracle Sans"/>
          <w:bCs/>
        </w:rPr>
        <w:t xml:space="preserve">consisting </w:t>
      </w:r>
      <w:r w:rsidR="006C2068" w:rsidRPr="001C2C92">
        <w:rPr>
          <w:rFonts w:ascii="Oracle Sans" w:hAnsi="Oracle Sans"/>
          <w:bCs/>
        </w:rPr>
        <w:t xml:space="preserve">of Logging, Logging Analytics, Application Performance Monitoring (APM), Infrastructure Monitoring, Database Management, Operations Insights and Service Connector Hub as a single vendor offering. </w:t>
      </w:r>
      <w:r w:rsidR="006C2068" w:rsidRPr="001C2C92">
        <w:rPr>
          <w:rFonts w:ascii="Oracle Sans" w:hAnsi="Oracle Sans"/>
        </w:rPr>
        <w:t xml:space="preserve">These are provided on top of capabilities that </w:t>
      </w:r>
      <w:r w:rsidRPr="001C2C92">
        <w:rPr>
          <w:rFonts w:ascii="Oracle Sans" w:hAnsi="Oracle Sans"/>
        </w:rPr>
        <w:t>support</w:t>
      </w:r>
      <w:r w:rsidR="006C2068" w:rsidRPr="001C2C92">
        <w:rPr>
          <w:rFonts w:ascii="Oracle Sans" w:hAnsi="Oracle Sans"/>
        </w:rPr>
        <w:t xml:space="preserve"> key DevOps processes such as monitoring, notifications, events, functions, streaming and OS management. </w:t>
      </w:r>
      <w:r w:rsidR="006C2068" w:rsidRPr="001C2C92">
        <w:rPr>
          <w:rFonts w:ascii="Oracle Sans" w:hAnsi="Oracle Sans"/>
          <w:bCs/>
        </w:rPr>
        <w:t xml:space="preserve">Oracle O&amp;M is available for deployment on </w:t>
      </w:r>
      <w:r w:rsidRPr="001C2C92">
        <w:rPr>
          <w:rFonts w:ascii="Oracle Sans" w:hAnsi="Oracle Sans"/>
          <w:bCs/>
        </w:rPr>
        <w:t xml:space="preserve">Oracle </w:t>
      </w:r>
      <w:r w:rsidRPr="001C2C92">
        <w:rPr>
          <w:rFonts w:ascii="Oracle Sans" w:hAnsi="Oracle Sans"/>
        </w:rPr>
        <w:t>C</w:t>
      </w:r>
      <w:r w:rsidR="006C2068" w:rsidRPr="001C2C92">
        <w:rPr>
          <w:rFonts w:ascii="Oracle Sans" w:hAnsi="Oracle Sans"/>
        </w:rPr>
        <w:t>loud or on-premises on Oracle Dedicated Region Cloud@Customer. O</w:t>
      </w:r>
      <w:r w:rsidRPr="001C2C92">
        <w:rPr>
          <w:rFonts w:ascii="Oracle Sans" w:hAnsi="Oracle Sans"/>
        </w:rPr>
        <w:t>racle O</w:t>
      </w:r>
      <w:r w:rsidR="006C2068" w:rsidRPr="001C2C92">
        <w:rPr>
          <w:rFonts w:ascii="Oracle Sans" w:hAnsi="Oracle Sans"/>
        </w:rPr>
        <w:t xml:space="preserve">&amp;M covers Oracle and non-Oracle workloads running on OCI, AWS, Azure, and on-premises. Unlike some competitors who focus primarily on the infrastructure layer, </w:t>
      </w:r>
      <w:r w:rsidRPr="001C2C92">
        <w:rPr>
          <w:rFonts w:ascii="Oracle Sans" w:hAnsi="Oracle Sans"/>
        </w:rPr>
        <w:t xml:space="preserve">the breadth of Oracle O&amp;M includes </w:t>
      </w:r>
      <w:r w:rsidR="006C2068" w:rsidRPr="001C2C92">
        <w:rPr>
          <w:rFonts w:ascii="Oracle Sans" w:hAnsi="Oracle Sans"/>
        </w:rPr>
        <w:t>support</w:t>
      </w:r>
      <w:r w:rsidRPr="001C2C92">
        <w:rPr>
          <w:rFonts w:ascii="Oracle Sans" w:hAnsi="Oracle Sans"/>
        </w:rPr>
        <w:t xml:space="preserve"> for</w:t>
      </w:r>
      <w:r w:rsidR="006C2068" w:rsidRPr="001C2C92">
        <w:rPr>
          <w:rFonts w:ascii="Oracle Sans" w:hAnsi="Oracle Sans"/>
        </w:rPr>
        <w:t xml:space="preserve"> the full stack, which </w:t>
      </w:r>
      <w:hyperlink r:id="rId9" w:history="1">
        <w:r w:rsidR="006C2068" w:rsidRPr="001C2C92">
          <w:rPr>
            <w:rStyle w:val="Hyperlink"/>
            <w:rFonts w:ascii="Oracle Sans" w:hAnsi="Oracle Sans"/>
          </w:rPr>
          <w:t>Constellation Research</w:t>
        </w:r>
      </w:hyperlink>
      <w:r w:rsidR="006C2068" w:rsidRPr="001C2C92">
        <w:rPr>
          <w:rFonts w:ascii="Oracle Sans" w:hAnsi="Oracle Sans"/>
        </w:rPr>
        <w:t xml:space="preserve"> calls “chip to click”, across all </w:t>
      </w:r>
      <w:r w:rsidRPr="001C2C92">
        <w:rPr>
          <w:rFonts w:ascii="Oracle Sans" w:hAnsi="Oracle Sans"/>
        </w:rPr>
        <w:t>layers of technology,</w:t>
      </w:r>
      <w:r w:rsidR="006C2068" w:rsidRPr="001C2C92">
        <w:rPr>
          <w:rFonts w:ascii="Oracle Sans" w:hAnsi="Oracle Sans"/>
        </w:rPr>
        <w:t xml:space="preserve"> 250+ out-of-the-box parsers for heterogeneous logs</w:t>
      </w:r>
      <w:r w:rsidRPr="001C2C92">
        <w:rPr>
          <w:rFonts w:ascii="Oracle Sans" w:hAnsi="Oracle Sans"/>
        </w:rPr>
        <w:t>, and more</w:t>
      </w:r>
      <w:r w:rsidR="006C2068" w:rsidRPr="001C2C92">
        <w:rPr>
          <w:rFonts w:ascii="Oracle Sans" w:hAnsi="Oracle Sans"/>
        </w:rPr>
        <w:t>.</w:t>
      </w:r>
    </w:p>
    <w:p w14:paraId="37D392E3" w14:textId="34370D40" w:rsidR="006C2068" w:rsidRPr="001C2C92" w:rsidRDefault="002075BD" w:rsidP="002075BD">
      <w:pPr>
        <w:pStyle w:val="ListParagraph"/>
        <w:numPr>
          <w:ilvl w:val="0"/>
          <w:numId w:val="25"/>
        </w:numPr>
        <w:spacing w:before="60" w:after="0" w:line="240" w:lineRule="auto"/>
        <w:ind w:left="360"/>
        <w:jc w:val="both"/>
        <w:rPr>
          <w:rFonts w:ascii="Oracle Sans" w:hAnsi="Oracle Sans"/>
        </w:rPr>
      </w:pPr>
      <w:r>
        <w:rPr>
          <w:rFonts w:ascii="Oracle Sans" w:hAnsi="Oracle Sans"/>
          <w:b/>
          <w:bCs/>
        </w:rPr>
        <w:t>Unified data platform, no silos and</w:t>
      </w:r>
      <w:r w:rsidR="006C2068" w:rsidRPr="001C2C92">
        <w:rPr>
          <w:rFonts w:ascii="Oracle Sans" w:hAnsi="Oracle Sans"/>
          <w:b/>
          <w:bCs/>
        </w:rPr>
        <w:t xml:space="preserve"> single source of truth.</w:t>
      </w:r>
      <w:r w:rsidR="006C2068" w:rsidRPr="001C2C92">
        <w:rPr>
          <w:rFonts w:ascii="Oracle Sans" w:hAnsi="Oracle Sans"/>
          <w:bCs/>
        </w:rPr>
        <w:t xml:space="preserve"> </w:t>
      </w:r>
      <w:r w:rsidR="00F76CC8">
        <w:rPr>
          <w:rFonts w:ascii="Oracle Sans" w:hAnsi="Oracle Sans"/>
          <w:bCs/>
        </w:rPr>
        <w:t>Oracle O&amp;M stores a</w:t>
      </w:r>
      <w:r w:rsidR="006C2068" w:rsidRPr="001C2C92">
        <w:rPr>
          <w:rFonts w:ascii="Oracle Sans" w:hAnsi="Oracle Sans"/>
          <w:bCs/>
        </w:rPr>
        <w:t xml:space="preserve">ll the collected data in a unified data platform in real time, with universal time stamp, making it very conducive </w:t>
      </w:r>
      <w:r w:rsidR="00F76CC8">
        <w:rPr>
          <w:rFonts w:ascii="Oracle Sans" w:hAnsi="Oracle Sans"/>
          <w:bCs/>
        </w:rPr>
        <w:t xml:space="preserve">to </w:t>
      </w:r>
      <w:r w:rsidR="006C2068" w:rsidRPr="001C2C92">
        <w:rPr>
          <w:rFonts w:ascii="Oracle Sans" w:hAnsi="Oracle Sans"/>
          <w:bCs/>
        </w:rPr>
        <w:t>real time machine learning analy</w:t>
      </w:r>
      <w:r w:rsidR="00F76CC8">
        <w:rPr>
          <w:rFonts w:ascii="Oracle Sans" w:hAnsi="Oracle Sans"/>
          <w:bCs/>
        </w:rPr>
        <w:t>tic</w:t>
      </w:r>
      <w:r w:rsidR="006C2068" w:rsidRPr="001C2C92">
        <w:rPr>
          <w:rFonts w:ascii="Oracle Sans" w:hAnsi="Oracle Sans"/>
          <w:bCs/>
        </w:rPr>
        <w:t xml:space="preserve">s, faster fault isolation and lower MTTR (mean time to repair). Competitor offerings require multi-vendor point solutions for broad </w:t>
      </w:r>
      <w:r w:rsidR="00F76CC8">
        <w:rPr>
          <w:rFonts w:ascii="Oracle Sans" w:hAnsi="Oracle Sans"/>
          <w:bCs/>
        </w:rPr>
        <w:t xml:space="preserve">functional </w:t>
      </w:r>
      <w:r w:rsidR="006C2068" w:rsidRPr="001C2C92">
        <w:rPr>
          <w:rFonts w:ascii="Oracle Sans" w:hAnsi="Oracle Sans"/>
          <w:bCs/>
        </w:rPr>
        <w:t xml:space="preserve">coverage, resulting in duplicate data from multiple tools </w:t>
      </w:r>
      <w:r w:rsidR="00F76CC8">
        <w:rPr>
          <w:rFonts w:ascii="Oracle Sans" w:hAnsi="Oracle Sans"/>
          <w:bCs/>
        </w:rPr>
        <w:t>necessitating</w:t>
      </w:r>
      <w:r w:rsidR="006C2068" w:rsidRPr="001C2C92">
        <w:rPr>
          <w:rFonts w:ascii="Oracle Sans" w:hAnsi="Oracle Sans"/>
          <w:bCs/>
        </w:rPr>
        <w:t xml:space="preserve"> real time data consolidation, correlation and </w:t>
      </w:r>
      <w:r w:rsidR="00F76CC8" w:rsidRPr="001C2C92">
        <w:rPr>
          <w:rFonts w:ascii="Oracle Sans" w:hAnsi="Oracle Sans"/>
          <w:bCs/>
        </w:rPr>
        <w:t xml:space="preserve">data </w:t>
      </w:r>
      <w:r w:rsidR="00F76CC8">
        <w:rPr>
          <w:rFonts w:ascii="Oracle Sans" w:hAnsi="Oracle Sans"/>
          <w:bCs/>
        </w:rPr>
        <w:t>de-duplication</w:t>
      </w:r>
      <w:r w:rsidR="006C2068" w:rsidRPr="001C2C92">
        <w:rPr>
          <w:rFonts w:ascii="Oracle Sans" w:hAnsi="Oracle Sans"/>
          <w:bCs/>
        </w:rPr>
        <w:t xml:space="preserve"> for effective machine learning. </w:t>
      </w:r>
    </w:p>
    <w:p w14:paraId="4AB6E9F4" w14:textId="4BD5B63C" w:rsidR="006C2068" w:rsidRPr="001C2C92" w:rsidRDefault="006C2068" w:rsidP="002075BD">
      <w:pPr>
        <w:numPr>
          <w:ilvl w:val="0"/>
          <w:numId w:val="25"/>
        </w:numPr>
        <w:spacing w:before="60" w:after="0" w:line="240" w:lineRule="auto"/>
        <w:ind w:left="360"/>
        <w:jc w:val="both"/>
        <w:rPr>
          <w:rFonts w:ascii="Oracle Sans" w:hAnsi="Oracle Sans"/>
        </w:rPr>
      </w:pPr>
      <w:r w:rsidRPr="001C2C92">
        <w:rPr>
          <w:rFonts w:ascii="Oracle Sans" w:hAnsi="Oracle Sans"/>
          <w:b/>
          <w:bCs/>
        </w:rPr>
        <w:t>Built-in Machine Learning Analytics</w:t>
      </w:r>
      <w:r w:rsidR="002075BD">
        <w:rPr>
          <w:rFonts w:ascii="Oracle Sans" w:hAnsi="Oracle Sans"/>
          <w:b/>
          <w:bCs/>
        </w:rPr>
        <w:t xml:space="preserve"> and</w:t>
      </w:r>
      <w:r w:rsidRPr="001C2C92">
        <w:rPr>
          <w:rFonts w:ascii="Oracle Sans" w:hAnsi="Oracle Sans"/>
          <w:b/>
          <w:bCs/>
        </w:rPr>
        <w:t xml:space="preserve"> no Data Scientists needed.</w:t>
      </w:r>
      <w:r w:rsidRPr="001C2C92">
        <w:rPr>
          <w:rFonts w:ascii="Oracle Sans" w:hAnsi="Oracle Sans"/>
          <w:bCs/>
        </w:rPr>
        <w:t xml:space="preserve"> Already consolidated data </w:t>
      </w:r>
      <w:r w:rsidR="00F76CC8">
        <w:rPr>
          <w:rFonts w:ascii="Oracle Sans" w:hAnsi="Oracle Sans"/>
          <w:bCs/>
        </w:rPr>
        <w:t xml:space="preserve">from Oracle O&amp;M </w:t>
      </w:r>
      <w:r w:rsidRPr="001C2C92">
        <w:rPr>
          <w:rFonts w:ascii="Oracle Sans" w:hAnsi="Oracle Sans"/>
          <w:bCs/>
        </w:rPr>
        <w:t xml:space="preserve">and out-of-the-box self-learning machine learning analytics eliminate the need for expensive Data Scientists, thus reducing the Total Cost of Ownership (lower TCO). Competitors typically provide </w:t>
      </w:r>
      <w:r w:rsidR="00F76CC8">
        <w:rPr>
          <w:rFonts w:ascii="Oracle Sans" w:hAnsi="Oracle Sans"/>
          <w:bCs/>
        </w:rPr>
        <w:t xml:space="preserve">data in silos and </w:t>
      </w:r>
      <w:r w:rsidRPr="001C2C92">
        <w:rPr>
          <w:rFonts w:ascii="Oracle Sans" w:hAnsi="Oracle Sans"/>
          <w:bCs/>
        </w:rPr>
        <w:t>machine learning tool kits which require expe</w:t>
      </w:r>
      <w:r w:rsidR="00F76CC8">
        <w:rPr>
          <w:rFonts w:ascii="Oracle Sans" w:hAnsi="Oracle Sans"/>
          <w:bCs/>
        </w:rPr>
        <w:t xml:space="preserve">nsive Data Scientists </w:t>
      </w:r>
      <w:r w:rsidRPr="001C2C92">
        <w:rPr>
          <w:rFonts w:ascii="Oracle Sans" w:hAnsi="Oracle Sans"/>
          <w:bCs/>
        </w:rPr>
        <w:t xml:space="preserve">to </w:t>
      </w:r>
      <w:r w:rsidR="00F76CC8">
        <w:rPr>
          <w:rFonts w:ascii="Oracle Sans" w:hAnsi="Oracle Sans"/>
          <w:bCs/>
        </w:rPr>
        <w:t>use</w:t>
      </w:r>
      <w:r w:rsidRPr="001C2C92">
        <w:rPr>
          <w:rFonts w:ascii="Oracle Sans" w:hAnsi="Oracle Sans"/>
          <w:bCs/>
        </w:rPr>
        <w:t xml:space="preserve"> them</w:t>
      </w:r>
      <w:r w:rsidR="00F76CC8">
        <w:rPr>
          <w:rFonts w:ascii="Oracle Sans" w:hAnsi="Oracle Sans"/>
          <w:bCs/>
        </w:rPr>
        <w:t xml:space="preserve"> on an ongoing basis</w:t>
      </w:r>
      <w:r w:rsidRPr="001C2C92">
        <w:rPr>
          <w:rFonts w:ascii="Oracle Sans" w:hAnsi="Oracle Sans"/>
          <w:bCs/>
        </w:rPr>
        <w:t>.</w:t>
      </w:r>
    </w:p>
    <w:p w14:paraId="663A0729" w14:textId="3A04CB7F" w:rsidR="006C2068" w:rsidRPr="001C2C92" w:rsidRDefault="006C2068" w:rsidP="002075BD">
      <w:pPr>
        <w:numPr>
          <w:ilvl w:val="0"/>
          <w:numId w:val="25"/>
        </w:numPr>
        <w:spacing w:before="60" w:after="60" w:line="240" w:lineRule="auto"/>
        <w:ind w:left="360"/>
        <w:jc w:val="both"/>
        <w:rPr>
          <w:rFonts w:ascii="Oracle Sans" w:hAnsi="Oracle Sans"/>
        </w:rPr>
      </w:pPr>
      <w:r w:rsidRPr="001C2C92">
        <w:rPr>
          <w:rFonts w:ascii="Oracle Sans" w:hAnsi="Oracle Sans"/>
          <w:b/>
          <w:bCs/>
        </w:rPr>
        <w:t xml:space="preserve"> “Oracle-on-Oracle” advantages.</w:t>
      </w:r>
      <w:r w:rsidRPr="001C2C92">
        <w:rPr>
          <w:rFonts w:ascii="Oracle Sans" w:hAnsi="Oracle Sans"/>
          <w:bCs/>
        </w:rPr>
        <w:t xml:space="preserve"> </w:t>
      </w:r>
      <w:r w:rsidR="002075BD">
        <w:rPr>
          <w:rFonts w:ascii="Oracle Sans" w:hAnsi="Oracle Sans"/>
          <w:bCs/>
        </w:rPr>
        <w:t xml:space="preserve">With Oracle O&amp;M, </w:t>
      </w:r>
      <w:r w:rsidRPr="001C2C92">
        <w:rPr>
          <w:rFonts w:ascii="Oracle Sans" w:hAnsi="Oracle Sans"/>
          <w:bCs/>
        </w:rPr>
        <w:t xml:space="preserve">Oracle Database, Exadata and </w:t>
      </w:r>
      <w:r w:rsidR="00F76CC8">
        <w:rPr>
          <w:rFonts w:ascii="Oracle Sans" w:hAnsi="Oracle Sans"/>
          <w:bCs/>
        </w:rPr>
        <w:t xml:space="preserve">Oracle </w:t>
      </w:r>
      <w:r w:rsidRPr="001C2C92">
        <w:rPr>
          <w:rFonts w:ascii="Oracle Sans" w:hAnsi="Oracle Sans"/>
          <w:bCs/>
        </w:rPr>
        <w:t>Applications</w:t>
      </w:r>
      <w:r w:rsidR="002075BD">
        <w:rPr>
          <w:rFonts w:ascii="Oracle Sans" w:hAnsi="Oracle Sans"/>
          <w:bCs/>
        </w:rPr>
        <w:t xml:space="preserve"> customers can realize the following</w:t>
      </w:r>
      <w:r w:rsidRPr="001C2C92">
        <w:rPr>
          <w:rFonts w:ascii="Oracle Sans" w:hAnsi="Oracle Sans"/>
          <w:bCs/>
        </w:rPr>
        <w:t xml:space="preserve"> advantages that </w:t>
      </w:r>
      <w:r w:rsidR="002075BD">
        <w:rPr>
          <w:rFonts w:ascii="Oracle Sans" w:hAnsi="Oracle Sans"/>
          <w:bCs/>
        </w:rPr>
        <w:t>are unmatched my any competitor:</w:t>
      </w:r>
    </w:p>
    <w:tbl>
      <w:tblPr>
        <w:tblStyle w:val="TableGrid"/>
        <w:tblW w:w="10209" w:type="dxa"/>
        <w:jc w:val="center"/>
        <w:tblLook w:val="04A0" w:firstRow="1" w:lastRow="0" w:firstColumn="1" w:lastColumn="0" w:noHBand="0" w:noVBand="1"/>
      </w:tblPr>
      <w:tblGrid>
        <w:gridCol w:w="7792"/>
        <w:gridCol w:w="897"/>
        <w:gridCol w:w="1520"/>
      </w:tblGrid>
      <w:tr w:rsidR="006C2068" w:rsidRPr="001C2C92" w14:paraId="47180D28" w14:textId="77777777" w:rsidTr="00F76CC8">
        <w:trPr>
          <w:jc w:val="center"/>
        </w:trPr>
        <w:tc>
          <w:tcPr>
            <w:tcW w:w="7792" w:type="dxa"/>
            <w:shd w:val="clear" w:color="auto" w:fill="ED7D31" w:themeFill="accent2"/>
          </w:tcPr>
          <w:p w14:paraId="5B31A1B6" w14:textId="77777777" w:rsidR="006C2068" w:rsidRPr="001C2C92" w:rsidRDefault="006C2068" w:rsidP="001A4DA4">
            <w:pPr>
              <w:jc w:val="both"/>
              <w:rPr>
                <w:rFonts w:ascii="Oracle Sans" w:hAnsi="Oracle Sans"/>
                <w:b/>
                <w:color w:val="FFFFFF" w:themeColor="background1"/>
              </w:rPr>
            </w:pPr>
            <w:r w:rsidRPr="001C2C92">
              <w:rPr>
                <w:rFonts w:ascii="Oracle Sans" w:hAnsi="Oracle Sans"/>
                <w:b/>
                <w:color w:val="FFFFFF" w:themeColor="background1"/>
              </w:rPr>
              <w:t>“Oracle on Oracle” Advantages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A159996" w14:textId="77777777" w:rsidR="006C2068" w:rsidRPr="001C2C92" w:rsidRDefault="006C2068" w:rsidP="001A4DA4">
            <w:pPr>
              <w:jc w:val="both"/>
              <w:rPr>
                <w:rFonts w:ascii="Oracle Sans" w:hAnsi="Oracle Sans"/>
                <w:b/>
                <w:color w:val="FFFFFF" w:themeColor="background1"/>
              </w:rPr>
            </w:pPr>
            <w:r w:rsidRPr="001C2C92">
              <w:rPr>
                <w:rFonts w:ascii="Oracle Sans" w:hAnsi="Oracle Sans"/>
                <w:b/>
                <w:color w:val="FFFFFF" w:themeColor="background1"/>
              </w:rPr>
              <w:t>Oracle</w:t>
            </w:r>
          </w:p>
        </w:tc>
        <w:tc>
          <w:tcPr>
            <w:tcW w:w="1520" w:type="dxa"/>
            <w:shd w:val="clear" w:color="auto" w:fill="ED7D31" w:themeFill="accent2"/>
          </w:tcPr>
          <w:p w14:paraId="49B1DA7F" w14:textId="77777777" w:rsidR="006C2068" w:rsidRPr="001C2C92" w:rsidRDefault="006C2068" w:rsidP="001A4DA4">
            <w:pPr>
              <w:jc w:val="both"/>
              <w:rPr>
                <w:rFonts w:ascii="Oracle Sans" w:hAnsi="Oracle Sans"/>
                <w:b/>
                <w:color w:val="FFFFFF" w:themeColor="background1"/>
              </w:rPr>
            </w:pPr>
            <w:r w:rsidRPr="001C2C92">
              <w:rPr>
                <w:rFonts w:ascii="Oracle Sans" w:hAnsi="Oracle Sans"/>
                <w:b/>
                <w:color w:val="FFFFFF" w:themeColor="background1"/>
              </w:rPr>
              <w:t>Competitors</w:t>
            </w:r>
          </w:p>
        </w:tc>
      </w:tr>
      <w:tr w:rsidR="006C2068" w:rsidRPr="001C2C92" w14:paraId="6C19B0B7" w14:textId="77777777" w:rsidTr="00F76CC8">
        <w:trPr>
          <w:jc w:val="center"/>
        </w:trPr>
        <w:tc>
          <w:tcPr>
            <w:tcW w:w="7792" w:type="dxa"/>
          </w:tcPr>
          <w:p w14:paraId="00BD9B44" w14:textId="3114B080" w:rsidR="006C2068" w:rsidRPr="001C2C92" w:rsidRDefault="006C2068" w:rsidP="001A4DA4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 w:rsidRPr="001C2C92">
              <w:rPr>
                <w:rFonts w:ascii="Oracle Sans" w:hAnsi="Oracle Sans"/>
                <w:sz w:val="20"/>
                <w:szCs w:val="20"/>
              </w:rPr>
              <w:t>Deep visibility and insight into OCI, Database</w:t>
            </w:r>
            <w:r w:rsidR="00F76CC8">
              <w:rPr>
                <w:rFonts w:ascii="Oracle Sans" w:hAnsi="Oracle Sans"/>
                <w:sz w:val="20"/>
                <w:szCs w:val="20"/>
              </w:rPr>
              <w:t>, Autonomous, Exadata and</w:t>
            </w:r>
            <w:r w:rsidRPr="001C2C92">
              <w:rPr>
                <w:rFonts w:ascii="Oracle Sans" w:hAnsi="Oracle Sans"/>
                <w:sz w:val="20"/>
                <w:szCs w:val="20"/>
              </w:rPr>
              <w:t xml:space="preserve"> Oracle Apps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04FA2A1E" w14:textId="77777777" w:rsidR="006C2068" w:rsidRPr="001C2C92" w:rsidRDefault="006C2068" w:rsidP="001A4DA4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0C2E6D09" w14:textId="77777777" w:rsidR="006C2068" w:rsidRPr="001C2C92" w:rsidRDefault="006C2068" w:rsidP="001A4DA4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  <w:tr w:rsidR="006C2068" w:rsidRPr="001C2C92" w14:paraId="50BC0A37" w14:textId="77777777" w:rsidTr="00F76CC8">
        <w:trPr>
          <w:jc w:val="center"/>
        </w:trPr>
        <w:tc>
          <w:tcPr>
            <w:tcW w:w="7792" w:type="dxa"/>
          </w:tcPr>
          <w:p w14:paraId="309D5120" w14:textId="2F7B4816" w:rsidR="006C2068" w:rsidRPr="001C2C92" w:rsidRDefault="006C2068" w:rsidP="00F76CC8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 w:rsidRPr="001C2C92">
              <w:rPr>
                <w:rFonts w:ascii="Oracle Sans" w:hAnsi="Oracle Sans"/>
                <w:sz w:val="20"/>
                <w:szCs w:val="20"/>
              </w:rPr>
              <w:t>Out-of-the-box parsers for Oracle logs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1E3E1337" w14:textId="77777777" w:rsidR="006C2068" w:rsidRPr="001C2C92" w:rsidRDefault="006C2068" w:rsidP="001A4DA4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4E73EF9C" w14:textId="77777777" w:rsidR="006C2068" w:rsidRPr="001C2C92" w:rsidRDefault="006C2068" w:rsidP="001A4DA4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  <w:tr w:rsidR="006C2068" w:rsidRPr="001C2C92" w14:paraId="49860769" w14:textId="77777777" w:rsidTr="00F76CC8">
        <w:trPr>
          <w:jc w:val="center"/>
        </w:trPr>
        <w:tc>
          <w:tcPr>
            <w:tcW w:w="7792" w:type="dxa"/>
          </w:tcPr>
          <w:p w14:paraId="58E0B1F3" w14:textId="77777777" w:rsidR="006C2068" w:rsidRPr="001C2C92" w:rsidRDefault="006C2068" w:rsidP="001A4DA4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 w:rsidRPr="001C2C92">
              <w:rPr>
                <w:rFonts w:ascii="Oracle Sans" w:hAnsi="Oracle Sans"/>
                <w:sz w:val="20"/>
                <w:szCs w:val="20"/>
              </w:rPr>
              <w:t>Timely support for the latest releases of Oracle products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3F17AC8A" w14:textId="77777777" w:rsidR="006C2068" w:rsidRPr="001C2C92" w:rsidRDefault="006C2068" w:rsidP="001A4DA4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0A430E3E" w14:textId="77777777" w:rsidR="006C2068" w:rsidRPr="001C2C92" w:rsidRDefault="006C2068" w:rsidP="001A4DA4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  <w:tr w:rsidR="006C2068" w:rsidRPr="001C2C92" w14:paraId="3F494CB5" w14:textId="77777777" w:rsidTr="00F76CC8">
        <w:trPr>
          <w:jc w:val="center"/>
        </w:trPr>
        <w:tc>
          <w:tcPr>
            <w:tcW w:w="7792" w:type="dxa"/>
          </w:tcPr>
          <w:p w14:paraId="35D72B66" w14:textId="77777777" w:rsidR="006C2068" w:rsidRPr="001C2C92" w:rsidRDefault="006C2068" w:rsidP="001A4DA4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 w:rsidRPr="001C2C92">
              <w:rPr>
                <w:rFonts w:ascii="Oracle Sans" w:hAnsi="Oracle Sans"/>
                <w:sz w:val="20"/>
                <w:szCs w:val="20"/>
              </w:rPr>
              <w:t>Ability to harvest Oracle Enterprise Manager data for analysis (ASH, AWR)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1AA8C33F" w14:textId="77777777" w:rsidR="006C2068" w:rsidRPr="001C2C92" w:rsidRDefault="006C2068" w:rsidP="001A4DA4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5756FD89" w14:textId="77777777" w:rsidR="006C2068" w:rsidRPr="001C2C92" w:rsidRDefault="006C2068" w:rsidP="001A4DA4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  <w:tr w:rsidR="006C2068" w:rsidRPr="001C2C92" w14:paraId="43496A43" w14:textId="77777777" w:rsidTr="00F76CC8">
        <w:trPr>
          <w:jc w:val="center"/>
        </w:trPr>
        <w:tc>
          <w:tcPr>
            <w:tcW w:w="7792" w:type="dxa"/>
          </w:tcPr>
          <w:p w14:paraId="7A1090B8" w14:textId="77777777" w:rsidR="006C2068" w:rsidRPr="001C2C92" w:rsidRDefault="006C2068" w:rsidP="001A4DA4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 w:rsidRPr="001C2C92">
              <w:rPr>
                <w:rFonts w:ascii="Oracle Sans" w:hAnsi="Oracle Sans"/>
                <w:sz w:val="20"/>
                <w:szCs w:val="20"/>
              </w:rPr>
              <w:t>Trend analysis, forecasting &amp; capacity planning for Oracle Database and Exadata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688CE24B" w14:textId="77777777" w:rsidR="006C2068" w:rsidRPr="001C2C92" w:rsidRDefault="006C2068" w:rsidP="001A4DA4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7FD25665" w14:textId="77777777" w:rsidR="006C2068" w:rsidRPr="001C2C92" w:rsidRDefault="006C2068" w:rsidP="001A4DA4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  <w:tr w:rsidR="006C2068" w:rsidRPr="001C2C92" w14:paraId="58E77598" w14:textId="77777777" w:rsidTr="00F76CC8">
        <w:trPr>
          <w:jc w:val="center"/>
        </w:trPr>
        <w:tc>
          <w:tcPr>
            <w:tcW w:w="7792" w:type="dxa"/>
          </w:tcPr>
          <w:p w14:paraId="727E52B2" w14:textId="2888169D" w:rsidR="006C2068" w:rsidRPr="001C2C92" w:rsidRDefault="006C2068" w:rsidP="001A4DA4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 w:rsidRPr="001C2C92">
              <w:rPr>
                <w:rFonts w:ascii="Oracle Sans" w:hAnsi="Oracle Sans"/>
                <w:sz w:val="20"/>
                <w:szCs w:val="20"/>
              </w:rPr>
              <w:t xml:space="preserve">Oracle database management </w:t>
            </w:r>
            <w:r w:rsidR="00F76CC8">
              <w:rPr>
                <w:rFonts w:ascii="Oracle Sans" w:hAnsi="Oracle Sans"/>
                <w:sz w:val="20"/>
                <w:szCs w:val="20"/>
              </w:rPr>
              <w:t xml:space="preserve">beyond Monitoring - </w:t>
            </w:r>
            <w:r w:rsidRPr="001C2C92">
              <w:rPr>
                <w:rFonts w:ascii="Oracle Sans" w:hAnsi="Oracle Sans"/>
                <w:sz w:val="20"/>
                <w:szCs w:val="20"/>
              </w:rPr>
              <w:t>Diagnos</w:t>
            </w:r>
            <w:r w:rsidR="00F76CC8">
              <w:rPr>
                <w:rFonts w:ascii="Oracle Sans" w:hAnsi="Oracle Sans"/>
                <w:sz w:val="20"/>
                <w:szCs w:val="20"/>
              </w:rPr>
              <w:t>tic</w:t>
            </w:r>
            <w:r w:rsidRPr="001C2C92">
              <w:rPr>
                <w:rFonts w:ascii="Oracle Sans" w:hAnsi="Oracle Sans"/>
                <w:sz w:val="20"/>
                <w:szCs w:val="20"/>
              </w:rPr>
              <w:t>s, Tuning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73376601" w14:textId="77777777" w:rsidR="006C2068" w:rsidRPr="001C2C92" w:rsidRDefault="006C2068" w:rsidP="001A4DA4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2F513192" w14:textId="77777777" w:rsidR="006C2068" w:rsidRPr="001C2C92" w:rsidRDefault="006C2068" w:rsidP="001A4DA4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  <w:tr w:rsidR="006C2068" w:rsidRPr="001C2C92" w14:paraId="10587E5C" w14:textId="77777777" w:rsidTr="00F76CC8">
        <w:trPr>
          <w:jc w:val="center"/>
        </w:trPr>
        <w:tc>
          <w:tcPr>
            <w:tcW w:w="7792" w:type="dxa"/>
          </w:tcPr>
          <w:p w14:paraId="429733F7" w14:textId="1FA145AB" w:rsidR="006C2068" w:rsidRPr="001C2C92" w:rsidRDefault="006C2068" w:rsidP="001A4DA4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 w:rsidRPr="001C2C92">
              <w:rPr>
                <w:rFonts w:ascii="Oracle Sans" w:hAnsi="Oracle Sans"/>
                <w:sz w:val="20"/>
                <w:szCs w:val="20"/>
              </w:rPr>
              <w:t xml:space="preserve">Tighter integration with OCI - </w:t>
            </w:r>
            <w:r w:rsidR="00F76CC8">
              <w:rPr>
                <w:rFonts w:ascii="Oracle Sans" w:hAnsi="Oracle Sans"/>
                <w:sz w:val="20"/>
                <w:szCs w:val="20"/>
              </w:rPr>
              <w:t>u</w:t>
            </w:r>
            <w:r w:rsidRPr="001C2C92">
              <w:rPr>
                <w:rFonts w:ascii="Oracle Sans" w:hAnsi="Oracle Sans"/>
                <w:sz w:val="20"/>
                <w:szCs w:val="20"/>
              </w:rPr>
              <w:t>nified billing, budget management, IAM (RBAC)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3DB16C36" w14:textId="77777777" w:rsidR="006C2068" w:rsidRPr="001C2C92" w:rsidRDefault="006C2068" w:rsidP="001A4DA4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5A913985" w14:textId="77777777" w:rsidR="006C2068" w:rsidRPr="001C2C92" w:rsidRDefault="006C2068" w:rsidP="001A4DA4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  <w:tr w:rsidR="00F76CC8" w:rsidRPr="001C2C92" w14:paraId="7C7E1386" w14:textId="77777777" w:rsidTr="00F76CC8">
        <w:trPr>
          <w:jc w:val="center"/>
        </w:trPr>
        <w:tc>
          <w:tcPr>
            <w:tcW w:w="7792" w:type="dxa"/>
          </w:tcPr>
          <w:p w14:paraId="30359068" w14:textId="0D50E7A4" w:rsidR="00F76CC8" w:rsidRPr="001C2C92" w:rsidRDefault="00F76CC8" w:rsidP="00F76CC8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>
              <w:rPr>
                <w:rFonts w:ascii="Oracle Sans" w:hAnsi="Oracle Sans"/>
                <w:sz w:val="20"/>
                <w:szCs w:val="20"/>
              </w:rPr>
              <w:t>Flexibility of Universal Credits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11F1A03A" w14:textId="36BBE035" w:rsidR="00F76CC8" w:rsidRPr="001C2C92" w:rsidRDefault="00F76CC8" w:rsidP="00F76CC8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7D9C9E9E" w14:textId="60951A3B" w:rsidR="00F76CC8" w:rsidRPr="001C2C92" w:rsidRDefault="00F76CC8" w:rsidP="00F76CC8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  <w:tr w:rsidR="00F76CC8" w:rsidRPr="001C2C92" w14:paraId="75FB0A41" w14:textId="77777777" w:rsidTr="00F76CC8">
        <w:trPr>
          <w:jc w:val="center"/>
        </w:trPr>
        <w:tc>
          <w:tcPr>
            <w:tcW w:w="7792" w:type="dxa"/>
          </w:tcPr>
          <w:p w14:paraId="2DF43723" w14:textId="0F4A677C" w:rsidR="00F76CC8" w:rsidRPr="001C2C92" w:rsidRDefault="00F76CC8" w:rsidP="00F76CC8">
            <w:pPr>
              <w:jc w:val="both"/>
              <w:rPr>
                <w:rFonts w:ascii="Oracle Sans" w:hAnsi="Oracle Sans"/>
                <w:sz w:val="20"/>
                <w:szCs w:val="20"/>
              </w:rPr>
            </w:pPr>
            <w:r w:rsidRPr="001C2C92">
              <w:rPr>
                <w:rFonts w:ascii="Oracle Sans" w:hAnsi="Oracle Sans"/>
                <w:sz w:val="20"/>
                <w:szCs w:val="20"/>
              </w:rPr>
              <w:t>Single vendor accountability for Oracle stack and management</w:t>
            </w:r>
          </w:p>
        </w:tc>
        <w:tc>
          <w:tcPr>
            <w:tcW w:w="897" w:type="dxa"/>
            <w:shd w:val="clear" w:color="auto" w:fill="C5E0B3"/>
            <w:vAlign w:val="center"/>
          </w:tcPr>
          <w:p w14:paraId="0CF3F789" w14:textId="77777777" w:rsidR="00F76CC8" w:rsidRPr="001C2C92" w:rsidRDefault="00F76CC8" w:rsidP="00F76CC8">
            <w:pPr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sym w:font="Wingdings" w:char="F0FC"/>
            </w:r>
          </w:p>
        </w:tc>
        <w:tc>
          <w:tcPr>
            <w:tcW w:w="1520" w:type="dxa"/>
            <w:shd w:val="clear" w:color="auto" w:fill="F9A49B"/>
            <w:vAlign w:val="center"/>
          </w:tcPr>
          <w:p w14:paraId="066BF0A1" w14:textId="77777777" w:rsidR="00F76CC8" w:rsidRPr="001C2C92" w:rsidRDefault="00F76CC8" w:rsidP="00F76CC8">
            <w:pPr>
              <w:ind w:left="174"/>
              <w:jc w:val="center"/>
              <w:rPr>
                <w:rFonts w:ascii="Oracle Sans" w:hAnsi="Oracle Sans"/>
                <w:color w:val="000000" w:themeColor="text1"/>
                <w:sz w:val="20"/>
                <w:szCs w:val="20"/>
              </w:rPr>
            </w:pPr>
            <w:r w:rsidRPr="001C2C92">
              <w:rPr>
                <w:rFonts w:ascii="Oracle Sans" w:hAnsi="Oracle Sans"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35930440" w14:textId="05308644" w:rsidR="00B0078B" w:rsidRPr="000E5A57" w:rsidRDefault="006C2068" w:rsidP="006F0E6E">
      <w:pPr>
        <w:numPr>
          <w:ilvl w:val="0"/>
          <w:numId w:val="25"/>
        </w:numPr>
        <w:spacing w:before="60" w:after="0" w:line="240" w:lineRule="auto"/>
        <w:ind w:left="360"/>
        <w:jc w:val="both"/>
        <w:rPr>
          <w:rFonts w:ascii="Oracle Sans" w:hAnsi="Oracle Sans"/>
        </w:rPr>
      </w:pPr>
      <w:r w:rsidRPr="001C2C92">
        <w:rPr>
          <w:rFonts w:ascii="Oracle Sans" w:hAnsi="Oracle Sans"/>
          <w:b/>
          <w:bCs/>
        </w:rPr>
        <w:t xml:space="preserve">Built on open standards and </w:t>
      </w:r>
      <w:r w:rsidR="002075BD">
        <w:rPr>
          <w:rFonts w:ascii="Oracle Sans" w:hAnsi="Oracle Sans"/>
          <w:b/>
          <w:bCs/>
        </w:rPr>
        <w:t>easy</w:t>
      </w:r>
      <w:r w:rsidRPr="001C2C92">
        <w:rPr>
          <w:rFonts w:ascii="Oracle Sans" w:hAnsi="Oracle Sans"/>
          <w:b/>
          <w:bCs/>
        </w:rPr>
        <w:t xml:space="preserve"> co-existence and integration.</w:t>
      </w:r>
      <w:r w:rsidRPr="001C2C92">
        <w:rPr>
          <w:rFonts w:ascii="Oracle Sans" w:hAnsi="Oracle Sans"/>
          <w:bCs/>
        </w:rPr>
        <w:t xml:space="preserve"> Oracle O&amp;M support</w:t>
      </w:r>
      <w:r w:rsidR="00F76CC8">
        <w:rPr>
          <w:rFonts w:ascii="Oracle Sans" w:hAnsi="Oracle Sans"/>
          <w:bCs/>
        </w:rPr>
        <w:t>s</w:t>
      </w:r>
      <w:r w:rsidRPr="001C2C92">
        <w:rPr>
          <w:rFonts w:ascii="Oracle Sans" w:hAnsi="Oracle Sans"/>
          <w:bCs/>
        </w:rPr>
        <w:t xml:space="preserve"> open standards and open source technologies such as </w:t>
      </w:r>
      <w:r w:rsidRPr="001C2C92">
        <w:rPr>
          <w:rFonts w:ascii="Oracle Sans" w:hAnsi="Oracle Sans"/>
        </w:rPr>
        <w:t xml:space="preserve">CNCF, Fluentd, Kafka compatible Streaming service, </w:t>
      </w:r>
      <w:proofErr w:type="spellStart"/>
      <w:r w:rsidRPr="001C2C92">
        <w:rPr>
          <w:rFonts w:ascii="Oracle Sans" w:hAnsi="Oracle Sans"/>
        </w:rPr>
        <w:t>OpenTracing</w:t>
      </w:r>
      <w:proofErr w:type="spellEnd"/>
      <w:r w:rsidRPr="001C2C92">
        <w:rPr>
          <w:rFonts w:ascii="Oracle Sans" w:hAnsi="Oracle Sans"/>
        </w:rPr>
        <w:t xml:space="preserve">, </w:t>
      </w:r>
      <w:proofErr w:type="spellStart"/>
      <w:r w:rsidRPr="001C2C92">
        <w:rPr>
          <w:rFonts w:ascii="Oracle Sans" w:hAnsi="Oracle Sans"/>
        </w:rPr>
        <w:t>OpenTelemetry</w:t>
      </w:r>
      <w:proofErr w:type="spellEnd"/>
      <w:r w:rsidRPr="001C2C92">
        <w:rPr>
          <w:rFonts w:ascii="Oracle Sans" w:hAnsi="Oracle Sans"/>
        </w:rPr>
        <w:t xml:space="preserve"> and </w:t>
      </w:r>
      <w:proofErr w:type="spellStart"/>
      <w:r w:rsidRPr="001C2C92">
        <w:rPr>
          <w:rFonts w:ascii="Oracle Sans" w:hAnsi="Oracle Sans"/>
        </w:rPr>
        <w:t>cloudevents</w:t>
      </w:r>
      <w:proofErr w:type="spellEnd"/>
      <w:r w:rsidRPr="001C2C92">
        <w:rPr>
          <w:rFonts w:ascii="Oracle Sans" w:hAnsi="Oracle Sans"/>
          <w:bCs/>
        </w:rPr>
        <w:t xml:space="preserve"> as well as REST APIs, making it easy to co-exist and integrate with the 3</w:t>
      </w:r>
      <w:r w:rsidRPr="001C2C92">
        <w:rPr>
          <w:rFonts w:ascii="Oracle Sans" w:hAnsi="Oracle Sans"/>
          <w:bCs/>
          <w:vertAlign w:val="superscript"/>
        </w:rPr>
        <w:t>rd</w:t>
      </w:r>
      <w:r w:rsidRPr="001C2C92">
        <w:rPr>
          <w:rFonts w:ascii="Oracle Sans" w:hAnsi="Oracle Sans"/>
          <w:bCs/>
        </w:rPr>
        <w:t xml:space="preserve"> party tools and technologies which customers may have already deployed in their enterprises. This eliminates the risk of disruptive rip-and-replace </w:t>
      </w:r>
      <w:r w:rsidR="00F76CC8">
        <w:rPr>
          <w:rFonts w:ascii="Oracle Sans" w:hAnsi="Oracle Sans"/>
          <w:bCs/>
        </w:rPr>
        <w:t>of</w:t>
      </w:r>
      <w:r w:rsidRPr="001C2C92">
        <w:rPr>
          <w:rFonts w:ascii="Oracle Sans" w:hAnsi="Oracle Sans"/>
          <w:bCs/>
        </w:rPr>
        <w:t xml:space="preserve"> existing tools. In addition, Oracle O&amp;M also provides free out-of-the-box integrations with many third-party tools from vendors such as PagerDuty, Twilio and Grafana.</w:t>
      </w:r>
    </w:p>
    <w:sectPr w:rsidR="00B0078B" w:rsidRPr="000E5A57" w:rsidSect="00D02CFE">
      <w:headerReference w:type="default" r:id="rId10"/>
      <w:footerReference w:type="default" r:id="rId11"/>
      <w:pgSz w:w="12240" w:h="15840"/>
      <w:pgMar w:top="990" w:right="576" w:bottom="720" w:left="576" w:header="540" w:footer="0" w:gutter="0"/>
      <w:pgBorders w:offsetFrom="page">
        <w:top w:val="single" w:sz="8" w:space="24" w:color="006666"/>
        <w:left w:val="single" w:sz="8" w:space="24" w:color="006666"/>
        <w:bottom w:val="single" w:sz="8" w:space="24" w:color="006666"/>
        <w:right w:val="single" w:sz="8" w:space="24" w:color="0066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8816" w14:textId="77777777" w:rsidR="000940FC" w:rsidRDefault="000940FC" w:rsidP="00D639D7">
      <w:pPr>
        <w:spacing w:after="0" w:line="240" w:lineRule="auto"/>
      </w:pPr>
      <w:r>
        <w:separator/>
      </w:r>
    </w:p>
  </w:endnote>
  <w:endnote w:type="continuationSeparator" w:id="0">
    <w:p w14:paraId="42501C63" w14:textId="77777777" w:rsidR="000940FC" w:rsidRDefault="000940FC" w:rsidP="00D6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06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2C588" w14:textId="3E4B4A8E" w:rsidR="001327BF" w:rsidRDefault="001327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A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935C65" w14:textId="77777777" w:rsidR="001327BF" w:rsidRDefault="001327BF" w:rsidP="001327B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3084" w14:textId="77777777" w:rsidR="000940FC" w:rsidRDefault="000940FC" w:rsidP="00D639D7">
      <w:pPr>
        <w:spacing w:after="0" w:line="240" w:lineRule="auto"/>
      </w:pPr>
      <w:r>
        <w:separator/>
      </w:r>
    </w:p>
  </w:footnote>
  <w:footnote w:type="continuationSeparator" w:id="0">
    <w:p w14:paraId="5BF6177A" w14:textId="77777777" w:rsidR="000940FC" w:rsidRDefault="000940FC" w:rsidP="00D6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5C70" w14:textId="3EF51505" w:rsidR="00A7139B" w:rsidRPr="00FB0F55" w:rsidRDefault="00EC1C34" w:rsidP="00FB0F55">
    <w:pPr>
      <w:pStyle w:val="Header"/>
      <w:tabs>
        <w:tab w:val="clear" w:pos="4680"/>
        <w:tab w:val="clear" w:pos="9360"/>
        <w:tab w:val="center" w:pos="1800"/>
      </w:tabs>
      <w:rPr>
        <w:rFonts w:ascii="Oracle Sans" w:hAnsi="Oracle Sans"/>
        <w:sz w:val="18"/>
        <w:szCs w:val="18"/>
      </w:rPr>
    </w:pPr>
    <w:r w:rsidRPr="00FB0F55">
      <w:rPr>
        <w:rFonts w:ascii="Calibri" w:eastAsia="Times New Roman" w:hAnsi="Calibri" w:cs="Calibri"/>
        <w:b/>
        <w:noProof/>
        <w:color w:val="000000" w:themeColor="text1"/>
        <w:sz w:val="18"/>
        <w:szCs w:val="18"/>
      </w:rPr>
      <w:drawing>
        <wp:inline distT="0" distB="0" distL="0" distR="0" wp14:anchorId="4337D625" wp14:editId="1E82D200">
          <wp:extent cx="1257301" cy="165100"/>
          <wp:effectExtent l="0" t="0" r="0" b="6350"/>
          <wp:docPr id="2" name="Graphic 21">
            <a:extLst xmlns:a="http://schemas.openxmlformats.org/drawingml/2006/main">
              <a:ext uri="{FF2B5EF4-FFF2-40B4-BE49-F238E27FC236}">
                <a16:creationId xmlns:a16="http://schemas.microsoft.com/office/drawing/2014/main" id="{61CE04F3-8912-47E4-834D-89C2BAF9EEB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phic 21">
                    <a:extLst>
                      <a:ext uri="{FF2B5EF4-FFF2-40B4-BE49-F238E27FC236}">
                        <a16:creationId xmlns:a16="http://schemas.microsoft.com/office/drawing/2014/main" id="{61CE04F3-8912-47E4-834D-89C2BAF9EEB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316" cy="171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C2937">
      <w:rPr>
        <w:rFonts w:ascii="Calibri" w:eastAsia="Times New Roman" w:hAnsi="Calibri" w:cs="Calibri"/>
        <w:b/>
        <w:color w:val="000000" w:themeColor="text1"/>
        <w:sz w:val="18"/>
        <w:szCs w:val="18"/>
      </w:rPr>
      <w:t xml:space="preserve">  </w:t>
    </w:r>
    <w:r w:rsidR="004E4F35">
      <w:rPr>
        <w:rFonts w:ascii="Calibri" w:eastAsia="Times New Roman" w:hAnsi="Calibri" w:cs="Calibri"/>
        <w:b/>
        <w:color w:val="000000" w:themeColor="text1"/>
        <w:sz w:val="18"/>
        <w:szCs w:val="18"/>
      </w:rPr>
      <w:t xml:space="preserve">            </w:t>
    </w:r>
    <w:r w:rsidR="00A7139B" w:rsidRPr="00B14E86">
      <w:rPr>
        <w:rFonts w:ascii="Oracle Sans" w:eastAsia="Times New Roman" w:hAnsi="Oracle Sans" w:cs="Calibri"/>
        <w:b/>
        <w:color w:val="000000" w:themeColor="text1"/>
        <w:sz w:val="16"/>
        <w:szCs w:val="16"/>
      </w:rPr>
      <w:t xml:space="preserve">Oracle Confidential. For </w:t>
    </w:r>
    <w:r w:rsidR="004D2D1D">
      <w:rPr>
        <w:rFonts w:ascii="Oracle Sans" w:eastAsia="Times New Roman" w:hAnsi="Oracle Sans" w:cs="Calibri"/>
        <w:b/>
        <w:color w:val="000000" w:themeColor="text1"/>
        <w:sz w:val="16"/>
        <w:szCs w:val="16"/>
      </w:rPr>
      <w:t xml:space="preserve">Oracle Internal and </w:t>
    </w:r>
    <w:r w:rsidR="00C80C47" w:rsidRPr="00B14E86">
      <w:rPr>
        <w:rFonts w:ascii="Oracle Sans" w:eastAsia="Times New Roman" w:hAnsi="Oracle Sans" w:cs="Calibri"/>
        <w:b/>
        <w:color w:val="000000" w:themeColor="text1"/>
        <w:sz w:val="16"/>
        <w:szCs w:val="16"/>
      </w:rPr>
      <w:t xml:space="preserve">Authorized </w:t>
    </w:r>
    <w:r w:rsidR="00B14E86" w:rsidRPr="00B14E86">
      <w:rPr>
        <w:rFonts w:ascii="Oracle Sans" w:eastAsia="Times New Roman" w:hAnsi="Oracle Sans" w:cs="Calibri"/>
        <w:b/>
        <w:color w:val="000000" w:themeColor="text1"/>
        <w:sz w:val="16"/>
        <w:szCs w:val="16"/>
      </w:rPr>
      <w:t xml:space="preserve">Partner </w:t>
    </w:r>
    <w:r w:rsidR="00A7139B" w:rsidRPr="00B14E86">
      <w:rPr>
        <w:rFonts w:ascii="Oracle Sans" w:eastAsia="Times New Roman" w:hAnsi="Oracle Sans" w:cs="Calibri"/>
        <w:b/>
        <w:color w:val="000000" w:themeColor="text1"/>
        <w:sz w:val="16"/>
        <w:szCs w:val="16"/>
      </w:rPr>
      <w:t>Use Only. Do Not Distribute To Third Parties</w:t>
    </w:r>
    <w:r w:rsidR="00391F8B" w:rsidRPr="00B14E86">
      <w:rPr>
        <w:rFonts w:ascii="Oracle Sans" w:eastAsia="Times New Roman" w:hAnsi="Oracle Sans" w:cs="Calibri"/>
        <w:b/>
        <w:color w:val="000000" w:themeColor="text1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500"/>
    <w:multiLevelType w:val="hybridMultilevel"/>
    <w:tmpl w:val="55F072AA"/>
    <w:lvl w:ilvl="0" w:tplc="FB4E7B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60571"/>
    <w:multiLevelType w:val="hybridMultilevel"/>
    <w:tmpl w:val="F740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A3C76"/>
    <w:multiLevelType w:val="hybridMultilevel"/>
    <w:tmpl w:val="AE7437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C4012A6"/>
    <w:multiLevelType w:val="hybridMultilevel"/>
    <w:tmpl w:val="552877DA"/>
    <w:lvl w:ilvl="0" w:tplc="8B329F6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F4D82"/>
    <w:multiLevelType w:val="hybridMultilevel"/>
    <w:tmpl w:val="977A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43869"/>
    <w:multiLevelType w:val="hybridMultilevel"/>
    <w:tmpl w:val="B8E6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B0C85A">
      <w:start w:val="1607"/>
      <w:numFmt w:val="bullet"/>
      <w:lvlText w:val="‒"/>
      <w:lvlJc w:val="left"/>
      <w:pPr>
        <w:ind w:left="1440" w:hanging="360"/>
      </w:pPr>
      <w:rPr>
        <w:rFonts w:ascii="Calibri" w:hAnsi="Calibri" w:hint="default"/>
        <w:b/>
        <w:bCs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F1A74"/>
    <w:multiLevelType w:val="hybridMultilevel"/>
    <w:tmpl w:val="14B4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C303C"/>
    <w:multiLevelType w:val="hybridMultilevel"/>
    <w:tmpl w:val="49D28A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75977C3"/>
    <w:multiLevelType w:val="hybridMultilevel"/>
    <w:tmpl w:val="AF32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16F2"/>
    <w:multiLevelType w:val="hybridMultilevel"/>
    <w:tmpl w:val="FD2AE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638CE"/>
    <w:multiLevelType w:val="hybridMultilevel"/>
    <w:tmpl w:val="1F5EA944"/>
    <w:lvl w:ilvl="0" w:tplc="55224E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463A3"/>
    <w:multiLevelType w:val="hybridMultilevel"/>
    <w:tmpl w:val="D4708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9B1FFA"/>
    <w:multiLevelType w:val="hybridMultilevel"/>
    <w:tmpl w:val="F7D44A66"/>
    <w:lvl w:ilvl="0" w:tplc="A0F8B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E06CF"/>
    <w:multiLevelType w:val="hybridMultilevel"/>
    <w:tmpl w:val="36C8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07C5"/>
    <w:multiLevelType w:val="hybridMultilevel"/>
    <w:tmpl w:val="FA427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CC8A74">
      <w:start w:val="1607"/>
      <w:numFmt w:val="bullet"/>
      <w:lvlText w:val="‒"/>
      <w:lvlJc w:val="left"/>
      <w:pPr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B75F92"/>
    <w:multiLevelType w:val="hybridMultilevel"/>
    <w:tmpl w:val="40B0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07D74"/>
    <w:multiLevelType w:val="hybridMultilevel"/>
    <w:tmpl w:val="BE64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B0C85A">
      <w:start w:val="1607"/>
      <w:numFmt w:val="bullet"/>
      <w:lvlText w:val="‒"/>
      <w:lvlJc w:val="left"/>
      <w:pPr>
        <w:ind w:left="1440" w:hanging="360"/>
      </w:pPr>
      <w:rPr>
        <w:rFonts w:ascii="Calibri" w:hAnsi="Calibri" w:hint="default"/>
        <w:b/>
        <w:bCs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257E4"/>
    <w:multiLevelType w:val="hybridMultilevel"/>
    <w:tmpl w:val="38407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329F6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7E01E0"/>
    <w:multiLevelType w:val="hybridMultilevel"/>
    <w:tmpl w:val="42CA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65358"/>
    <w:multiLevelType w:val="hybridMultilevel"/>
    <w:tmpl w:val="7DCA0BBE"/>
    <w:lvl w:ilvl="0" w:tplc="A8683E3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5C3576"/>
    <w:multiLevelType w:val="hybridMultilevel"/>
    <w:tmpl w:val="E700A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EB74B9"/>
    <w:multiLevelType w:val="hybridMultilevel"/>
    <w:tmpl w:val="54B0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B134F"/>
    <w:multiLevelType w:val="hybridMultilevel"/>
    <w:tmpl w:val="F1A0301C"/>
    <w:lvl w:ilvl="0" w:tplc="1FEC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6ED6A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C4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CD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04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A9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20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CF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8A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987BF2"/>
    <w:multiLevelType w:val="hybridMultilevel"/>
    <w:tmpl w:val="8B70A7AE"/>
    <w:lvl w:ilvl="0" w:tplc="8B329F6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B85342"/>
    <w:multiLevelType w:val="hybridMultilevel"/>
    <w:tmpl w:val="6C927848"/>
    <w:lvl w:ilvl="0" w:tplc="F09636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1350F"/>
      </w:rPr>
    </w:lvl>
    <w:lvl w:ilvl="1" w:tplc="F3FA88C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  <w:color w:val="D1350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65431">
    <w:abstractNumId w:val="7"/>
  </w:num>
  <w:num w:numId="2" w16cid:durableId="1720737150">
    <w:abstractNumId w:val="2"/>
  </w:num>
  <w:num w:numId="3" w16cid:durableId="356200804">
    <w:abstractNumId w:val="24"/>
  </w:num>
  <w:num w:numId="4" w16cid:durableId="482358373">
    <w:abstractNumId w:val="4"/>
  </w:num>
  <w:num w:numId="5" w16cid:durableId="1421756615">
    <w:abstractNumId w:val="21"/>
  </w:num>
  <w:num w:numId="6" w16cid:durableId="722221357">
    <w:abstractNumId w:val="10"/>
  </w:num>
  <w:num w:numId="7" w16cid:durableId="568157591">
    <w:abstractNumId w:val="8"/>
  </w:num>
  <w:num w:numId="8" w16cid:durableId="1628393784">
    <w:abstractNumId w:val="12"/>
  </w:num>
  <w:num w:numId="9" w16cid:durableId="856189013">
    <w:abstractNumId w:val="13"/>
  </w:num>
  <w:num w:numId="10" w16cid:durableId="275255920">
    <w:abstractNumId w:val="9"/>
  </w:num>
  <w:num w:numId="11" w16cid:durableId="2048330003">
    <w:abstractNumId w:val="11"/>
  </w:num>
  <w:num w:numId="12" w16cid:durableId="1138768423">
    <w:abstractNumId w:val="18"/>
  </w:num>
  <w:num w:numId="13" w16cid:durableId="2070685600">
    <w:abstractNumId w:val="20"/>
  </w:num>
  <w:num w:numId="14" w16cid:durableId="1481576516">
    <w:abstractNumId w:val="17"/>
  </w:num>
  <w:num w:numId="15" w16cid:durableId="1599364275">
    <w:abstractNumId w:val="3"/>
  </w:num>
  <w:num w:numId="16" w16cid:durableId="488138526">
    <w:abstractNumId w:val="23"/>
  </w:num>
  <w:num w:numId="17" w16cid:durableId="535894104">
    <w:abstractNumId w:val="14"/>
  </w:num>
  <w:num w:numId="18" w16cid:durableId="1393968219">
    <w:abstractNumId w:val="19"/>
  </w:num>
  <w:num w:numId="19" w16cid:durableId="1967277837">
    <w:abstractNumId w:val="16"/>
  </w:num>
  <w:num w:numId="20" w16cid:durableId="1726686623">
    <w:abstractNumId w:val="6"/>
  </w:num>
  <w:num w:numId="21" w16cid:durableId="604192906">
    <w:abstractNumId w:val="15"/>
  </w:num>
  <w:num w:numId="22" w16cid:durableId="1279290715">
    <w:abstractNumId w:val="0"/>
  </w:num>
  <w:num w:numId="23" w16cid:durableId="1454396305">
    <w:abstractNumId w:val="5"/>
  </w:num>
  <w:num w:numId="24" w16cid:durableId="1128547453">
    <w:abstractNumId w:val="1"/>
  </w:num>
  <w:num w:numId="25" w16cid:durableId="2338991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9D7"/>
    <w:rsid w:val="000022D4"/>
    <w:rsid w:val="000027DF"/>
    <w:rsid w:val="00003583"/>
    <w:rsid w:val="00003750"/>
    <w:rsid w:val="00006F43"/>
    <w:rsid w:val="000157F0"/>
    <w:rsid w:val="00020131"/>
    <w:rsid w:val="00025EB8"/>
    <w:rsid w:val="00040943"/>
    <w:rsid w:val="000414DE"/>
    <w:rsid w:val="000414E8"/>
    <w:rsid w:val="00042F2D"/>
    <w:rsid w:val="000443A6"/>
    <w:rsid w:val="00044AC8"/>
    <w:rsid w:val="00044F72"/>
    <w:rsid w:val="000460F7"/>
    <w:rsid w:val="00052B87"/>
    <w:rsid w:val="00070434"/>
    <w:rsid w:val="000704DC"/>
    <w:rsid w:val="000733D2"/>
    <w:rsid w:val="00073454"/>
    <w:rsid w:val="000801A6"/>
    <w:rsid w:val="00081750"/>
    <w:rsid w:val="00082E02"/>
    <w:rsid w:val="000862FC"/>
    <w:rsid w:val="0009158F"/>
    <w:rsid w:val="000915AD"/>
    <w:rsid w:val="000940FC"/>
    <w:rsid w:val="000A1DDE"/>
    <w:rsid w:val="000A2475"/>
    <w:rsid w:val="000A5020"/>
    <w:rsid w:val="000A7201"/>
    <w:rsid w:val="000B41F8"/>
    <w:rsid w:val="000B4D7E"/>
    <w:rsid w:val="000B5BFC"/>
    <w:rsid w:val="000B6400"/>
    <w:rsid w:val="000C1454"/>
    <w:rsid w:val="000C1AE4"/>
    <w:rsid w:val="000C2490"/>
    <w:rsid w:val="000C36BE"/>
    <w:rsid w:val="000C3F29"/>
    <w:rsid w:val="000C7063"/>
    <w:rsid w:val="000D167A"/>
    <w:rsid w:val="000E024D"/>
    <w:rsid w:val="000E2CBF"/>
    <w:rsid w:val="000E5A57"/>
    <w:rsid w:val="000E63AA"/>
    <w:rsid w:val="000F3ABC"/>
    <w:rsid w:val="0010069D"/>
    <w:rsid w:val="00101386"/>
    <w:rsid w:val="00104051"/>
    <w:rsid w:val="00105129"/>
    <w:rsid w:val="001113A1"/>
    <w:rsid w:val="00113009"/>
    <w:rsid w:val="00113E9E"/>
    <w:rsid w:val="00116975"/>
    <w:rsid w:val="001326AA"/>
    <w:rsid w:val="001327BF"/>
    <w:rsid w:val="0013321F"/>
    <w:rsid w:val="001408C6"/>
    <w:rsid w:val="001412B3"/>
    <w:rsid w:val="00147A06"/>
    <w:rsid w:val="00152A86"/>
    <w:rsid w:val="001615C1"/>
    <w:rsid w:val="001678CB"/>
    <w:rsid w:val="00170DEF"/>
    <w:rsid w:val="00171F78"/>
    <w:rsid w:val="00180A59"/>
    <w:rsid w:val="00184354"/>
    <w:rsid w:val="001931CC"/>
    <w:rsid w:val="001A09F1"/>
    <w:rsid w:val="001A250A"/>
    <w:rsid w:val="001B3620"/>
    <w:rsid w:val="001C1ADC"/>
    <w:rsid w:val="001C2937"/>
    <w:rsid w:val="001C2C92"/>
    <w:rsid w:val="001C7B0E"/>
    <w:rsid w:val="001D00C5"/>
    <w:rsid w:val="001D1C81"/>
    <w:rsid w:val="001D2139"/>
    <w:rsid w:val="001E33ED"/>
    <w:rsid w:val="001E40CB"/>
    <w:rsid w:val="001E5CB6"/>
    <w:rsid w:val="001E5D4A"/>
    <w:rsid w:val="001F0D46"/>
    <w:rsid w:val="001F1C51"/>
    <w:rsid w:val="001F4828"/>
    <w:rsid w:val="001F6B66"/>
    <w:rsid w:val="00202660"/>
    <w:rsid w:val="00207257"/>
    <w:rsid w:val="002075BD"/>
    <w:rsid w:val="00222D3A"/>
    <w:rsid w:val="0022521A"/>
    <w:rsid w:val="0023439C"/>
    <w:rsid w:val="0023529C"/>
    <w:rsid w:val="00245A59"/>
    <w:rsid w:val="002466E0"/>
    <w:rsid w:val="002476C3"/>
    <w:rsid w:val="002535A2"/>
    <w:rsid w:val="002544B0"/>
    <w:rsid w:val="002563DB"/>
    <w:rsid w:val="00257981"/>
    <w:rsid w:val="00265436"/>
    <w:rsid w:val="0026589D"/>
    <w:rsid w:val="00271D40"/>
    <w:rsid w:val="0027254B"/>
    <w:rsid w:val="00274CF3"/>
    <w:rsid w:val="00282058"/>
    <w:rsid w:val="002833C0"/>
    <w:rsid w:val="00283BB0"/>
    <w:rsid w:val="002860A2"/>
    <w:rsid w:val="00292D40"/>
    <w:rsid w:val="00295889"/>
    <w:rsid w:val="002A0C56"/>
    <w:rsid w:val="002A1C42"/>
    <w:rsid w:val="002A26A0"/>
    <w:rsid w:val="002A3902"/>
    <w:rsid w:val="002A5938"/>
    <w:rsid w:val="002B088E"/>
    <w:rsid w:val="002B4BD4"/>
    <w:rsid w:val="002B4CE2"/>
    <w:rsid w:val="002B59C8"/>
    <w:rsid w:val="002C3397"/>
    <w:rsid w:val="002C33AD"/>
    <w:rsid w:val="002C61FD"/>
    <w:rsid w:val="002E0381"/>
    <w:rsid w:val="002E0473"/>
    <w:rsid w:val="002E04C5"/>
    <w:rsid w:val="002E1900"/>
    <w:rsid w:val="002E5BDD"/>
    <w:rsid w:val="002F3BC5"/>
    <w:rsid w:val="002F50CF"/>
    <w:rsid w:val="002F61E4"/>
    <w:rsid w:val="00300938"/>
    <w:rsid w:val="00301F2E"/>
    <w:rsid w:val="00311E2E"/>
    <w:rsid w:val="00315737"/>
    <w:rsid w:val="00321975"/>
    <w:rsid w:val="00321C22"/>
    <w:rsid w:val="00325811"/>
    <w:rsid w:val="00325D33"/>
    <w:rsid w:val="003316BF"/>
    <w:rsid w:val="0033182F"/>
    <w:rsid w:val="00332BC0"/>
    <w:rsid w:val="003334D5"/>
    <w:rsid w:val="00334BBD"/>
    <w:rsid w:val="00335F0B"/>
    <w:rsid w:val="003437FA"/>
    <w:rsid w:val="003452A8"/>
    <w:rsid w:val="00351192"/>
    <w:rsid w:val="00351CA2"/>
    <w:rsid w:val="003548F3"/>
    <w:rsid w:val="00360B75"/>
    <w:rsid w:val="0036233E"/>
    <w:rsid w:val="00366ABD"/>
    <w:rsid w:val="00373950"/>
    <w:rsid w:val="00374340"/>
    <w:rsid w:val="00375835"/>
    <w:rsid w:val="00382E73"/>
    <w:rsid w:val="003844A6"/>
    <w:rsid w:val="00391F8B"/>
    <w:rsid w:val="00394D4D"/>
    <w:rsid w:val="003A2423"/>
    <w:rsid w:val="003A2A15"/>
    <w:rsid w:val="003A2D7D"/>
    <w:rsid w:val="003A6A72"/>
    <w:rsid w:val="003B6287"/>
    <w:rsid w:val="003C3F6E"/>
    <w:rsid w:val="003C7DB8"/>
    <w:rsid w:val="003C7FC7"/>
    <w:rsid w:val="003D0B59"/>
    <w:rsid w:val="003D2BA1"/>
    <w:rsid w:val="003D6685"/>
    <w:rsid w:val="003D6A42"/>
    <w:rsid w:val="003D74CC"/>
    <w:rsid w:val="003F6489"/>
    <w:rsid w:val="00404DB4"/>
    <w:rsid w:val="004056C3"/>
    <w:rsid w:val="004272BF"/>
    <w:rsid w:val="00427741"/>
    <w:rsid w:val="00442145"/>
    <w:rsid w:val="00442489"/>
    <w:rsid w:val="00444C8F"/>
    <w:rsid w:val="0045398C"/>
    <w:rsid w:val="0045520B"/>
    <w:rsid w:val="004570E1"/>
    <w:rsid w:val="0047161E"/>
    <w:rsid w:val="00473B43"/>
    <w:rsid w:val="004756AF"/>
    <w:rsid w:val="004770B4"/>
    <w:rsid w:val="00481A4D"/>
    <w:rsid w:val="00487C87"/>
    <w:rsid w:val="004928CC"/>
    <w:rsid w:val="00496F24"/>
    <w:rsid w:val="004978DA"/>
    <w:rsid w:val="004A42F0"/>
    <w:rsid w:val="004A76B3"/>
    <w:rsid w:val="004B6049"/>
    <w:rsid w:val="004C09AE"/>
    <w:rsid w:val="004C5E8F"/>
    <w:rsid w:val="004D04DA"/>
    <w:rsid w:val="004D2D1D"/>
    <w:rsid w:val="004E1905"/>
    <w:rsid w:val="004E4F35"/>
    <w:rsid w:val="004F276D"/>
    <w:rsid w:val="004F50B0"/>
    <w:rsid w:val="00503E16"/>
    <w:rsid w:val="00503F96"/>
    <w:rsid w:val="00506C2F"/>
    <w:rsid w:val="005124AA"/>
    <w:rsid w:val="005177A9"/>
    <w:rsid w:val="005231AF"/>
    <w:rsid w:val="0053036C"/>
    <w:rsid w:val="0053297A"/>
    <w:rsid w:val="005344DB"/>
    <w:rsid w:val="0054037C"/>
    <w:rsid w:val="0054198B"/>
    <w:rsid w:val="0054200B"/>
    <w:rsid w:val="005517ED"/>
    <w:rsid w:val="00554AC4"/>
    <w:rsid w:val="0056066A"/>
    <w:rsid w:val="00560E82"/>
    <w:rsid w:val="0056307E"/>
    <w:rsid w:val="00565B9D"/>
    <w:rsid w:val="0056674F"/>
    <w:rsid w:val="00572ECB"/>
    <w:rsid w:val="00584D9A"/>
    <w:rsid w:val="0058567E"/>
    <w:rsid w:val="005861BF"/>
    <w:rsid w:val="005934FA"/>
    <w:rsid w:val="005948C5"/>
    <w:rsid w:val="005954C1"/>
    <w:rsid w:val="00596A76"/>
    <w:rsid w:val="00596E0D"/>
    <w:rsid w:val="005A4CA9"/>
    <w:rsid w:val="005A6751"/>
    <w:rsid w:val="005B01EB"/>
    <w:rsid w:val="005B143D"/>
    <w:rsid w:val="005B16F1"/>
    <w:rsid w:val="005B42CB"/>
    <w:rsid w:val="005B4F75"/>
    <w:rsid w:val="005B70CF"/>
    <w:rsid w:val="005C038D"/>
    <w:rsid w:val="005C0477"/>
    <w:rsid w:val="005C3F40"/>
    <w:rsid w:val="005D0D68"/>
    <w:rsid w:val="005D0DB2"/>
    <w:rsid w:val="005D3B6A"/>
    <w:rsid w:val="005D50E1"/>
    <w:rsid w:val="005D66BC"/>
    <w:rsid w:val="005F0F0F"/>
    <w:rsid w:val="005F1AB7"/>
    <w:rsid w:val="005F63DA"/>
    <w:rsid w:val="0060029B"/>
    <w:rsid w:val="00605DA8"/>
    <w:rsid w:val="006126E3"/>
    <w:rsid w:val="0063085F"/>
    <w:rsid w:val="006358C5"/>
    <w:rsid w:val="0064046E"/>
    <w:rsid w:val="00640DD5"/>
    <w:rsid w:val="00644F0C"/>
    <w:rsid w:val="00653C8C"/>
    <w:rsid w:val="006576DF"/>
    <w:rsid w:val="00660CC4"/>
    <w:rsid w:val="00665975"/>
    <w:rsid w:val="0066737A"/>
    <w:rsid w:val="006708FF"/>
    <w:rsid w:val="0067335A"/>
    <w:rsid w:val="0068249F"/>
    <w:rsid w:val="006851D4"/>
    <w:rsid w:val="00691AC9"/>
    <w:rsid w:val="00691C4B"/>
    <w:rsid w:val="0069644B"/>
    <w:rsid w:val="006A281A"/>
    <w:rsid w:val="006A3C54"/>
    <w:rsid w:val="006B0ED2"/>
    <w:rsid w:val="006C2068"/>
    <w:rsid w:val="006C28D3"/>
    <w:rsid w:val="006C4D7F"/>
    <w:rsid w:val="006C6DF3"/>
    <w:rsid w:val="006D0855"/>
    <w:rsid w:val="006D1A50"/>
    <w:rsid w:val="006D3546"/>
    <w:rsid w:val="006E0F09"/>
    <w:rsid w:val="006E57D9"/>
    <w:rsid w:val="006E720F"/>
    <w:rsid w:val="006F0E6E"/>
    <w:rsid w:val="006F1D6D"/>
    <w:rsid w:val="00706DD9"/>
    <w:rsid w:val="00706F43"/>
    <w:rsid w:val="00707CDB"/>
    <w:rsid w:val="0071557C"/>
    <w:rsid w:val="007214C4"/>
    <w:rsid w:val="00721DCC"/>
    <w:rsid w:val="0072464A"/>
    <w:rsid w:val="0072574C"/>
    <w:rsid w:val="00741BB7"/>
    <w:rsid w:val="00744CCF"/>
    <w:rsid w:val="00752913"/>
    <w:rsid w:val="007532E4"/>
    <w:rsid w:val="00755A55"/>
    <w:rsid w:val="00760788"/>
    <w:rsid w:val="00761606"/>
    <w:rsid w:val="00763135"/>
    <w:rsid w:val="00766E26"/>
    <w:rsid w:val="00770FAB"/>
    <w:rsid w:val="00777791"/>
    <w:rsid w:val="00783B85"/>
    <w:rsid w:val="0078451F"/>
    <w:rsid w:val="0078623C"/>
    <w:rsid w:val="00787F87"/>
    <w:rsid w:val="007928A8"/>
    <w:rsid w:val="00796725"/>
    <w:rsid w:val="007A2CE9"/>
    <w:rsid w:val="007A4033"/>
    <w:rsid w:val="007A6F97"/>
    <w:rsid w:val="007A7B8F"/>
    <w:rsid w:val="007C2D14"/>
    <w:rsid w:val="007C7CD6"/>
    <w:rsid w:val="007E3232"/>
    <w:rsid w:val="007E35AF"/>
    <w:rsid w:val="00803D36"/>
    <w:rsid w:val="008059DF"/>
    <w:rsid w:val="0080659B"/>
    <w:rsid w:val="008115E5"/>
    <w:rsid w:val="00820483"/>
    <w:rsid w:val="00820A63"/>
    <w:rsid w:val="00833EF4"/>
    <w:rsid w:val="00834CF9"/>
    <w:rsid w:val="00836CE4"/>
    <w:rsid w:val="00837CD0"/>
    <w:rsid w:val="008422D1"/>
    <w:rsid w:val="00842821"/>
    <w:rsid w:val="008430B6"/>
    <w:rsid w:val="00843695"/>
    <w:rsid w:val="0084517E"/>
    <w:rsid w:val="00850209"/>
    <w:rsid w:val="008600A7"/>
    <w:rsid w:val="008657D5"/>
    <w:rsid w:val="00867FE9"/>
    <w:rsid w:val="00872C27"/>
    <w:rsid w:val="0087343D"/>
    <w:rsid w:val="00873F48"/>
    <w:rsid w:val="0087453A"/>
    <w:rsid w:val="00875798"/>
    <w:rsid w:val="00875C16"/>
    <w:rsid w:val="0087604F"/>
    <w:rsid w:val="00881CC9"/>
    <w:rsid w:val="0088562B"/>
    <w:rsid w:val="00887EC2"/>
    <w:rsid w:val="00887EC5"/>
    <w:rsid w:val="008944A4"/>
    <w:rsid w:val="008A05A4"/>
    <w:rsid w:val="008A0C26"/>
    <w:rsid w:val="008B065C"/>
    <w:rsid w:val="008B35E1"/>
    <w:rsid w:val="008B4E15"/>
    <w:rsid w:val="008B78A6"/>
    <w:rsid w:val="008B78DB"/>
    <w:rsid w:val="008B7D24"/>
    <w:rsid w:val="008C4658"/>
    <w:rsid w:val="008C7935"/>
    <w:rsid w:val="008D4CF1"/>
    <w:rsid w:val="008E27CC"/>
    <w:rsid w:val="008E621B"/>
    <w:rsid w:val="0090349F"/>
    <w:rsid w:val="009062D6"/>
    <w:rsid w:val="00910673"/>
    <w:rsid w:val="009111B1"/>
    <w:rsid w:val="00913981"/>
    <w:rsid w:val="00920D14"/>
    <w:rsid w:val="0092262D"/>
    <w:rsid w:val="00922B61"/>
    <w:rsid w:val="00925D9C"/>
    <w:rsid w:val="00926CEA"/>
    <w:rsid w:val="0094798D"/>
    <w:rsid w:val="009503FD"/>
    <w:rsid w:val="00951101"/>
    <w:rsid w:val="00960582"/>
    <w:rsid w:val="00964CAD"/>
    <w:rsid w:val="0097219F"/>
    <w:rsid w:val="00975800"/>
    <w:rsid w:val="009807E5"/>
    <w:rsid w:val="0098329E"/>
    <w:rsid w:val="0099452C"/>
    <w:rsid w:val="009A5FA7"/>
    <w:rsid w:val="009A73F2"/>
    <w:rsid w:val="009A7CA5"/>
    <w:rsid w:val="009C5237"/>
    <w:rsid w:val="009C5F0E"/>
    <w:rsid w:val="009C79B8"/>
    <w:rsid w:val="009D37E7"/>
    <w:rsid w:val="009D5879"/>
    <w:rsid w:val="009D782B"/>
    <w:rsid w:val="009D7E8F"/>
    <w:rsid w:val="009E174F"/>
    <w:rsid w:val="009E1F7F"/>
    <w:rsid w:val="009E39FB"/>
    <w:rsid w:val="009E3E14"/>
    <w:rsid w:val="009E721B"/>
    <w:rsid w:val="009E7AB0"/>
    <w:rsid w:val="009F5F9C"/>
    <w:rsid w:val="00A020A9"/>
    <w:rsid w:val="00A1630E"/>
    <w:rsid w:val="00A1651E"/>
    <w:rsid w:val="00A2500D"/>
    <w:rsid w:val="00A26D4B"/>
    <w:rsid w:val="00A375D7"/>
    <w:rsid w:val="00A41636"/>
    <w:rsid w:val="00A43EDB"/>
    <w:rsid w:val="00A47EE8"/>
    <w:rsid w:val="00A512CD"/>
    <w:rsid w:val="00A54CF0"/>
    <w:rsid w:val="00A56425"/>
    <w:rsid w:val="00A70B29"/>
    <w:rsid w:val="00A7139B"/>
    <w:rsid w:val="00A765D4"/>
    <w:rsid w:val="00A93048"/>
    <w:rsid w:val="00A93CE4"/>
    <w:rsid w:val="00A93E30"/>
    <w:rsid w:val="00A968D4"/>
    <w:rsid w:val="00A971D0"/>
    <w:rsid w:val="00AA085C"/>
    <w:rsid w:val="00AA0DB5"/>
    <w:rsid w:val="00AA6D92"/>
    <w:rsid w:val="00AB3656"/>
    <w:rsid w:val="00AC22F7"/>
    <w:rsid w:val="00AC3093"/>
    <w:rsid w:val="00AC57A3"/>
    <w:rsid w:val="00AC6ADB"/>
    <w:rsid w:val="00AD114F"/>
    <w:rsid w:val="00AD7DE1"/>
    <w:rsid w:val="00AE1160"/>
    <w:rsid w:val="00AF1625"/>
    <w:rsid w:val="00B0078B"/>
    <w:rsid w:val="00B007EB"/>
    <w:rsid w:val="00B01A5B"/>
    <w:rsid w:val="00B0408D"/>
    <w:rsid w:val="00B052C8"/>
    <w:rsid w:val="00B056AA"/>
    <w:rsid w:val="00B12186"/>
    <w:rsid w:val="00B12D53"/>
    <w:rsid w:val="00B14E86"/>
    <w:rsid w:val="00B15D0D"/>
    <w:rsid w:val="00B170EE"/>
    <w:rsid w:val="00B21600"/>
    <w:rsid w:val="00B22FB7"/>
    <w:rsid w:val="00B319E9"/>
    <w:rsid w:val="00B31EBA"/>
    <w:rsid w:val="00B3481A"/>
    <w:rsid w:val="00B4006F"/>
    <w:rsid w:val="00B511DA"/>
    <w:rsid w:val="00B51809"/>
    <w:rsid w:val="00B549BD"/>
    <w:rsid w:val="00B562D0"/>
    <w:rsid w:val="00B57C6D"/>
    <w:rsid w:val="00B70DFC"/>
    <w:rsid w:val="00B731A6"/>
    <w:rsid w:val="00B739F2"/>
    <w:rsid w:val="00B908B7"/>
    <w:rsid w:val="00B92616"/>
    <w:rsid w:val="00B92E7D"/>
    <w:rsid w:val="00BA0331"/>
    <w:rsid w:val="00BB4B38"/>
    <w:rsid w:val="00BC3283"/>
    <w:rsid w:val="00BD20BB"/>
    <w:rsid w:val="00BD6292"/>
    <w:rsid w:val="00BE3D01"/>
    <w:rsid w:val="00BE4D16"/>
    <w:rsid w:val="00BE51DA"/>
    <w:rsid w:val="00BE52E8"/>
    <w:rsid w:val="00BE7FC9"/>
    <w:rsid w:val="00BF7472"/>
    <w:rsid w:val="00C005C9"/>
    <w:rsid w:val="00C11BB8"/>
    <w:rsid w:val="00C12484"/>
    <w:rsid w:val="00C219CD"/>
    <w:rsid w:val="00C2474F"/>
    <w:rsid w:val="00C24ACF"/>
    <w:rsid w:val="00C3479D"/>
    <w:rsid w:val="00C3579A"/>
    <w:rsid w:val="00C46020"/>
    <w:rsid w:val="00C502E0"/>
    <w:rsid w:val="00C54C4B"/>
    <w:rsid w:val="00C55DFF"/>
    <w:rsid w:val="00C61BFE"/>
    <w:rsid w:val="00C742D9"/>
    <w:rsid w:val="00C76994"/>
    <w:rsid w:val="00C80C47"/>
    <w:rsid w:val="00C8180E"/>
    <w:rsid w:val="00C87F8B"/>
    <w:rsid w:val="00C90396"/>
    <w:rsid w:val="00C92995"/>
    <w:rsid w:val="00CA01C7"/>
    <w:rsid w:val="00CB3640"/>
    <w:rsid w:val="00CB796D"/>
    <w:rsid w:val="00CC2223"/>
    <w:rsid w:val="00CC442F"/>
    <w:rsid w:val="00CC792F"/>
    <w:rsid w:val="00CD1C17"/>
    <w:rsid w:val="00CD205B"/>
    <w:rsid w:val="00CD69E1"/>
    <w:rsid w:val="00CD7D98"/>
    <w:rsid w:val="00CE04CE"/>
    <w:rsid w:val="00CE1344"/>
    <w:rsid w:val="00CE277D"/>
    <w:rsid w:val="00CE2803"/>
    <w:rsid w:val="00CE3BB4"/>
    <w:rsid w:val="00CE50B4"/>
    <w:rsid w:val="00CE78D5"/>
    <w:rsid w:val="00CF2CFA"/>
    <w:rsid w:val="00CF3A15"/>
    <w:rsid w:val="00D002F9"/>
    <w:rsid w:val="00D02CFE"/>
    <w:rsid w:val="00D04E8A"/>
    <w:rsid w:val="00D1294C"/>
    <w:rsid w:val="00D21111"/>
    <w:rsid w:val="00D26E1E"/>
    <w:rsid w:val="00D41B77"/>
    <w:rsid w:val="00D43379"/>
    <w:rsid w:val="00D47BE4"/>
    <w:rsid w:val="00D5499C"/>
    <w:rsid w:val="00D56A55"/>
    <w:rsid w:val="00D639D7"/>
    <w:rsid w:val="00D64CD4"/>
    <w:rsid w:val="00D66CF9"/>
    <w:rsid w:val="00D758E7"/>
    <w:rsid w:val="00DA1200"/>
    <w:rsid w:val="00DB430A"/>
    <w:rsid w:val="00DC196B"/>
    <w:rsid w:val="00DC2A8B"/>
    <w:rsid w:val="00DD1913"/>
    <w:rsid w:val="00DD445D"/>
    <w:rsid w:val="00DD5F76"/>
    <w:rsid w:val="00DE0145"/>
    <w:rsid w:val="00DF0AA6"/>
    <w:rsid w:val="00DF2F46"/>
    <w:rsid w:val="00DF31E6"/>
    <w:rsid w:val="00DF6118"/>
    <w:rsid w:val="00E07A65"/>
    <w:rsid w:val="00E10A60"/>
    <w:rsid w:val="00E1339A"/>
    <w:rsid w:val="00E17C5E"/>
    <w:rsid w:val="00E21086"/>
    <w:rsid w:val="00E2170C"/>
    <w:rsid w:val="00E2410B"/>
    <w:rsid w:val="00E34C90"/>
    <w:rsid w:val="00E3548B"/>
    <w:rsid w:val="00E42943"/>
    <w:rsid w:val="00E46EA7"/>
    <w:rsid w:val="00E508DF"/>
    <w:rsid w:val="00E61A82"/>
    <w:rsid w:val="00E627C2"/>
    <w:rsid w:val="00E648F1"/>
    <w:rsid w:val="00E66C01"/>
    <w:rsid w:val="00E702A9"/>
    <w:rsid w:val="00E71B02"/>
    <w:rsid w:val="00E7470A"/>
    <w:rsid w:val="00E77270"/>
    <w:rsid w:val="00E8219C"/>
    <w:rsid w:val="00E83F6C"/>
    <w:rsid w:val="00E92CC5"/>
    <w:rsid w:val="00E92F36"/>
    <w:rsid w:val="00E94E93"/>
    <w:rsid w:val="00EA08D5"/>
    <w:rsid w:val="00EA37E6"/>
    <w:rsid w:val="00EA640A"/>
    <w:rsid w:val="00EB69D3"/>
    <w:rsid w:val="00EB6F56"/>
    <w:rsid w:val="00EB717D"/>
    <w:rsid w:val="00EC1C34"/>
    <w:rsid w:val="00EC29DA"/>
    <w:rsid w:val="00EC3B52"/>
    <w:rsid w:val="00ED11DC"/>
    <w:rsid w:val="00ED3DE0"/>
    <w:rsid w:val="00EE148E"/>
    <w:rsid w:val="00EE362F"/>
    <w:rsid w:val="00EE3ABE"/>
    <w:rsid w:val="00EF0EFA"/>
    <w:rsid w:val="00EF29F5"/>
    <w:rsid w:val="00EF4BA4"/>
    <w:rsid w:val="00EF67A7"/>
    <w:rsid w:val="00EF78E4"/>
    <w:rsid w:val="00F07BD3"/>
    <w:rsid w:val="00F10182"/>
    <w:rsid w:val="00F112D5"/>
    <w:rsid w:val="00F12814"/>
    <w:rsid w:val="00F2337A"/>
    <w:rsid w:val="00F2762D"/>
    <w:rsid w:val="00F336A5"/>
    <w:rsid w:val="00F34284"/>
    <w:rsid w:val="00F37403"/>
    <w:rsid w:val="00F427F7"/>
    <w:rsid w:val="00F46EC1"/>
    <w:rsid w:val="00F52CA7"/>
    <w:rsid w:val="00F530E6"/>
    <w:rsid w:val="00F555D4"/>
    <w:rsid w:val="00F5660D"/>
    <w:rsid w:val="00F628B8"/>
    <w:rsid w:val="00F73189"/>
    <w:rsid w:val="00F73595"/>
    <w:rsid w:val="00F74A88"/>
    <w:rsid w:val="00F76CC8"/>
    <w:rsid w:val="00F81073"/>
    <w:rsid w:val="00F831A0"/>
    <w:rsid w:val="00F910CC"/>
    <w:rsid w:val="00F941EE"/>
    <w:rsid w:val="00FA00D1"/>
    <w:rsid w:val="00FA249E"/>
    <w:rsid w:val="00FA54A1"/>
    <w:rsid w:val="00FB0F55"/>
    <w:rsid w:val="00FB1299"/>
    <w:rsid w:val="00FB7385"/>
    <w:rsid w:val="00FC13C2"/>
    <w:rsid w:val="00FC5789"/>
    <w:rsid w:val="00FD5686"/>
    <w:rsid w:val="00FE0AFB"/>
    <w:rsid w:val="00FE2A91"/>
    <w:rsid w:val="00FE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DD7C6"/>
  <w15:docId w15:val="{F9FE609B-2FD2-49A9-89FE-C5B715BA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D7"/>
  </w:style>
  <w:style w:type="paragraph" w:styleId="Footer">
    <w:name w:val="footer"/>
    <w:basedOn w:val="Normal"/>
    <w:link w:val="FooterChar"/>
    <w:uiPriority w:val="99"/>
    <w:unhideWhenUsed/>
    <w:rsid w:val="00D6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9D7"/>
  </w:style>
  <w:style w:type="character" w:styleId="Hyperlink">
    <w:name w:val="Hyperlink"/>
    <w:basedOn w:val="DefaultParagraphFont"/>
    <w:uiPriority w:val="99"/>
    <w:unhideWhenUsed/>
    <w:rsid w:val="000C24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490"/>
    <w:rPr>
      <w:color w:val="605E5C"/>
      <w:shd w:val="clear" w:color="auto" w:fill="E1DFDD"/>
    </w:rPr>
  </w:style>
  <w:style w:type="paragraph" w:styleId="ListParagraph">
    <w:name w:val="List Paragraph"/>
    <w:aliases w:val="Bullet List,FooterText,List Paragraph1,numbered,Paragraphe de liste1,Bulletr List Paragraph,List Paragraph2,列出段落,列出段落1,List Paragraph21,Listeafsnit1,Parágrafo da Lista1,リスト段落1,Párrafo de lista1,Bullet list,List Paragraph11,Listenabsatz1,F"/>
    <w:basedOn w:val="Normal"/>
    <w:link w:val="ListParagraphChar"/>
    <w:uiPriority w:val="34"/>
    <w:qFormat/>
    <w:rsid w:val="000C2490"/>
    <w:pPr>
      <w:ind w:left="720"/>
      <w:contextualSpacing/>
    </w:pPr>
  </w:style>
  <w:style w:type="table" w:styleId="TableGrid">
    <w:name w:val="Table Grid"/>
    <w:basedOn w:val="TableNormal"/>
    <w:uiPriority w:val="59"/>
    <w:rsid w:val="002E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2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13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List Paragraph2 Char,列出段落 Char,列出段落1 Char,List Paragraph21 Char,Listeafsnit1 Char,Parágrafo da Lista1 Char"/>
    <w:basedOn w:val="DefaultParagraphFont"/>
    <w:link w:val="ListParagraph"/>
    <w:uiPriority w:val="34"/>
    <w:locked/>
    <w:rsid w:val="00503F9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2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6E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35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5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5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5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5AF"/>
    <w:rPr>
      <w:b/>
      <w:bCs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3036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rsid w:val="0078623C"/>
    <w:pPr>
      <w:spacing w:after="0" w:line="240" w:lineRule="auto"/>
    </w:pPr>
    <w:rPr>
      <w:rFonts w:ascii="Arial" w:eastAsia="Times" w:hAnsi="Arial" w:cs="Arial"/>
      <w:kern w:val="16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623C"/>
    <w:rPr>
      <w:rFonts w:ascii="Arial" w:eastAsia="Times" w:hAnsi="Arial" w:cs="Arial"/>
      <w:kern w:val="16"/>
      <w:sz w:val="20"/>
      <w:szCs w:val="20"/>
    </w:rPr>
  </w:style>
  <w:style w:type="paragraph" w:styleId="NormalWeb">
    <w:name w:val="Normal (Web)"/>
    <w:basedOn w:val="Normal"/>
    <w:uiPriority w:val="99"/>
    <w:unhideWhenUsed/>
    <w:rsid w:val="0033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332BC0"/>
    <w:pPr>
      <w:spacing w:after="0" w:line="240" w:lineRule="auto"/>
    </w:pPr>
    <w:rPr>
      <w:rFonts w:eastAsiaTheme="minorEastAsia"/>
    </w:rPr>
  </w:style>
  <w:style w:type="character" w:customStyle="1" w:styleId="hscoswrapper">
    <w:name w:val="hs_cos_wrapper"/>
    <w:basedOn w:val="DefaultParagraphFont"/>
    <w:rsid w:val="00332BC0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5C3F4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214C4"/>
  </w:style>
  <w:style w:type="character" w:customStyle="1" w:styleId="highlight">
    <w:name w:val="highlight"/>
    <w:basedOn w:val="DefaultParagraphFont"/>
    <w:rsid w:val="0072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alescentral.oracle.com/SCAssetsRest/downloadservice?id=15244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D3F67-2A00-46ED-860A-86691B71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623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Flynn</dc:creator>
  <cp:lastModifiedBy>Alexandre Fagundes</cp:lastModifiedBy>
  <cp:revision>2</cp:revision>
  <cp:lastPrinted>2020-08-27T17:33:00Z</cp:lastPrinted>
  <dcterms:created xsi:type="dcterms:W3CDTF">2024-10-22T21:13:00Z</dcterms:created>
  <dcterms:modified xsi:type="dcterms:W3CDTF">2024-10-22T21:13:00Z</dcterms:modified>
</cp:coreProperties>
</file>