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Calibri" w:hAnsi="Calibri"/>
          <w:b/>
          <w:i w:val="0"/>
          <w:color w:val="1F3A5F"/>
          <w:sz w:val="28"/>
        </w:rPr>
        <w:t>Iscte – Instituto Universitário de Lisboa</w:t>
      </w:r>
    </w:p>
    <w:p>
      <w:pPr>
        <w:spacing w:after="600"/>
        <w:jc w:val="center"/>
      </w:pPr>
      <w:r>
        <w:rPr>
          <w:rFonts w:ascii="Calibri" w:hAnsi="Calibri"/>
          <w:b w:val="0"/>
          <w:i/>
          <w:sz w:val="24"/>
        </w:rPr>
        <w:t>Doctoral Programme in Information Science and Technology</w:t>
      </w:r>
    </w:p>
    <w:p>
      <w:pPr>
        <w:spacing w:before="1200" w:after="120"/>
        <w:jc w:val="center"/>
      </w:pPr>
      <w:r>
        <w:rPr>
          <w:rFonts w:ascii="Calibri" w:hAnsi="Calibri"/>
          <w:b/>
          <w:i w:val="0"/>
          <w:color w:val="555555"/>
          <w:sz w:val="28"/>
        </w:rPr>
        <w:t>Systematic Literature Review</w:t>
      </w:r>
    </w:p>
    <w:p>
      <w:pPr>
        <w:spacing w:after="800"/>
        <w:jc w:val="center"/>
      </w:pPr>
      <w:r>
        <w:rPr>
          <w:rFonts w:ascii="Calibri" w:hAnsi="Calibri"/>
          <w:b/>
          <w:i w:val="0"/>
          <w:color w:val="1F3A5F"/>
          <w:sz w:val="40"/>
        </w:rPr>
        <w:t>Architecture-Aware Software Metrics and AI-Supported Quality</w:t>
        <w:br/>
        <w:t>Assessment in Java-Based Distributed Systems</w:t>
      </w:r>
    </w:p>
    <w:p>
      <w:pPr>
        <w:spacing w:before="1200" w:after="80"/>
        <w:jc w:val="center"/>
      </w:pPr>
      <w:r>
        <w:rPr>
          <w:rFonts w:ascii="Calibri" w:hAnsi="Calibri"/>
          <w:b w:val="0"/>
          <w:i/>
          <w:color w:val="555555"/>
          <w:sz w:val="20"/>
        </w:rPr>
        <w:t>Candidate</w:t>
      </w:r>
    </w:p>
    <w:p>
      <w:pPr>
        <w:spacing w:after="320"/>
        <w:jc w:val="center"/>
      </w:pPr>
      <w:r>
        <w:rPr>
          <w:rFonts w:ascii="Calibri" w:hAnsi="Calibri"/>
          <w:b/>
          <w:i w:val="0"/>
          <w:sz w:val="24"/>
        </w:rPr>
        <w:t>Aleff Rodrigues Mendes de Oliveira</w:t>
      </w:r>
    </w:p>
    <w:p>
      <w:pPr>
        <w:spacing w:after="80"/>
        <w:jc w:val="center"/>
      </w:pPr>
      <w:r>
        <w:rPr>
          <w:rFonts w:ascii="Calibri" w:hAnsi="Calibri"/>
          <w:b w:val="0"/>
          <w:i/>
          <w:color w:val="555555"/>
          <w:sz w:val="20"/>
        </w:rPr>
        <w:t>Supervisors</w:t>
      </w:r>
    </w:p>
    <w:p>
      <w:pPr>
        <w:spacing w:after="80"/>
        <w:jc w:val="center"/>
      </w:pPr>
      <w:r>
        <w:rPr>
          <w:rFonts w:ascii="Calibri" w:hAnsi="Calibri"/>
          <w:b w:val="0"/>
          <w:i w:val="0"/>
          <w:sz w:val="22"/>
        </w:rPr>
        <w:t>José Vicente Pereira dos Reis, Assistant Professor, Iscte-IUL</w:t>
      </w:r>
    </w:p>
    <w:p>
      <w:pPr>
        <w:jc w:val="center"/>
      </w:pPr>
      <w:r>
        <w:rPr>
          <w:rFonts w:ascii="Calibri" w:hAnsi="Calibri"/>
          <w:b w:val="0"/>
          <w:i w:val="0"/>
          <w:sz w:val="22"/>
        </w:rPr>
        <w:t>Vítor Manuel Bastos, Assistant Professor, Iscte-IUL</w:t>
      </w:r>
    </w:p>
    <w:p>
      <w:pPr>
        <w:spacing w:before="1600"/>
        <w:jc w:val="center"/>
      </w:pPr>
      <w:r>
        <w:rPr>
          <w:rFonts w:ascii="Calibri" w:hAnsi="Calibri"/>
          <w:b w:val="0"/>
          <w:i/>
          <w:sz w:val="22"/>
        </w:rPr>
        <w:t>Lisbon, May 2026  ·  Draft v4 (final corpus)</w:t>
      </w:r>
    </w:p>
    <w:p>
      <w:r>
        <w:br w:type="page"/>
      </w:r>
    </w:p>
    <w:p>
      <w:pPr>
        <w:pStyle w:val="Heading1"/>
        <w:keepNext/>
        <w:spacing w:before="360" w:after="120"/>
      </w:pPr>
      <w:r>
        <w:rPr>
          <w:rFonts w:ascii="Calibri" w:hAnsi="Calibri"/>
          <w:b/>
          <w:i w:val="0"/>
          <w:color w:val="1F3A5F"/>
          <w:sz w:val="36"/>
        </w:rPr>
        <w:t>Abstract</w:t>
      </w:r>
    </w:p>
    <w:p>
      <w:pPr>
        <w:spacing w:before="0" w:after="80" w:line="276" w:lineRule="auto"/>
      </w:pPr>
      <w:r>
        <w:rPr>
          <w:rFonts w:ascii="Calibri" w:hAnsi="Calibri"/>
          <w:b w:val="0"/>
          <w:i w:val="0"/>
          <w:sz w:val="22"/>
        </w:rPr>
        <w:t>Modern Java-based distributed systems, in particular microservice and event-driven architectures, have changed the way software quality must be assessed. Traditional object-oriented (OO) metrics characterise the internal quality of single classes or modules but do not capture cross-service coupling, communication complexity, deployment topology, or the runtime behaviour observed through telemetry. At the same time, machine learning (ML) techniques have been increasingly applied to software analytics — defect prediction, anomaly detection, latency forecasting, and resource management — raising new questions on how architectural information and runtime signals should be combined as features for AI-supported quality assessment.</w:t>
      </w:r>
    </w:p>
    <w:p>
      <w:pPr>
        <w:spacing w:before="0" w:after="80" w:line="276" w:lineRule="auto"/>
      </w:pPr>
      <w:r>
        <w:rPr>
          <w:rFonts w:ascii="Calibri" w:hAnsi="Calibri"/>
          <w:b w:val="0"/>
          <w:i w:val="0"/>
          <w:sz w:val="22"/>
        </w:rPr>
        <w:t>This Systematic Literature Review (SLR) was conducted in the context of a PhD project on "Architecture-Aware Software Metrics for AI-Supported Quality Assessment in Java-Based Distributed Systems". The review covers the period 2014–2026 and follows the guidelines of Kitchenham and Charters (2007) and the procedural template established by Pereira dos Reis et al. (2022). The final search string (V4 — see §3.2.1) combines five mandatory concept blocks — model-driven / metamodel; software metrics; microservices and distributed systems; observability and telemetry; AI/ML — and two negative filters that remove IoT/sensor and biomedical contexts. V4 was executed across five digital libraries (ACM, IEEE Xplore, SpringerLink, Scopus, Web of Science) and yielded 305 candidate records, collapsed to 234 unique papers after cross-database deduplication. Phase-2 screening, applying operationalised inclusion/exclusion criteria derived from the research-question keyword traceability matrix (§3.2.6), retained 79 primary studies. A backward-snowballing branch added 34 additional papers from the candidate's prior V3-based screening that V4 did not re-locate due to its narrower model-driven vocabulary, yielding a final corpus of 113 primary studies (79 from V4 + 34 from snowballing).</w:t>
      </w:r>
    </w:p>
    <w:p>
      <w:pPr>
        <w:spacing w:before="0" w:after="80" w:line="276" w:lineRule="auto"/>
      </w:pPr>
      <w:r>
        <w:rPr>
          <w:rFonts w:ascii="Calibri" w:hAnsi="Calibri"/>
          <w:b w:val="0"/>
          <w:i w:val="0"/>
          <w:sz w:val="22"/>
        </w:rPr>
        <w:t>The 113 selected studies are classified along eleven analytical facets — approach type, architectural concern, AI/ML technique, telemetry signals exploited, validation strategy, explainability, tool support, programming language coverage. Six STAR studies (high alignment with the thesis RQs) are highlighted: Park 2024 (GRAF — GNN-based SLO-aware autoscaling), Cortellessa 2025 (multi-objective architecture optimisation), Cito 2015 (runtime metric meets developer), Araujo 2018 (metamodeling for organizational smells), Streiffer 2018 (Minerva — unsupervised distributed-systems management), Eilam 2023 (AI sustainability metrics framework).</w:t>
      </w:r>
    </w:p>
    <w:p>
      <w:pPr>
        <w:spacing w:before="0" w:after="80" w:line="276" w:lineRule="auto"/>
      </w:pPr>
      <w:r>
        <w:rPr>
          <w:rFonts w:ascii="Calibri" w:hAnsi="Calibri"/>
          <w:b w:val="0"/>
          <w:i w:val="0"/>
          <w:sz w:val="22"/>
        </w:rPr>
        <w:t>The results show that AI/ML is now pervasive across the corpus, with graph-based / GNN approaches as the fastest-growing family for system-level reasoning. Performance and SLO-related concerns dominate, followed by resource management and root cause analysis. Explicit explainability support remains marginal, and only a small minority of studies focus on Java-based systems — confirming the positioning opportunity for the thesis. The review identifies four research gaps that map directly to the thesis objectives.</w:t>
      </w:r>
    </w:p>
    <w:p>
      <w:r>
        <w:br w:type="page"/>
      </w:r>
    </w:p>
    <w:p>
      <w:pPr>
        <w:pStyle w:val="Heading1"/>
        <w:keepNext/>
        <w:spacing w:before="360" w:after="120"/>
      </w:pPr>
      <w:r>
        <w:rPr>
          <w:rFonts w:ascii="Calibri" w:hAnsi="Calibri"/>
          <w:b/>
          <w:i w:val="0"/>
          <w:color w:val="1F3A5F"/>
          <w:sz w:val="36"/>
        </w:rPr>
        <w:t>Table of Contents</w:t>
      </w:r>
    </w:p>
    <w:p>
      <w:pPr>
        <w:spacing w:after="40"/>
        <w:ind w:left="0"/>
      </w:pPr>
      <w:r>
        <w:rPr>
          <w:rFonts w:ascii="Calibri" w:hAnsi="Calibri"/>
          <w:b/>
          <w:i w:val="0"/>
          <w:sz w:val="22"/>
        </w:rPr>
        <w:t>1  Introduction</w:t>
      </w:r>
    </w:p>
    <w:p>
      <w:pPr>
        <w:spacing w:after="40"/>
        <w:ind w:left="0"/>
      </w:pPr>
      <w:r>
        <w:rPr>
          <w:rFonts w:ascii="Calibri" w:hAnsi="Calibri"/>
          <w:b/>
          <w:i w:val="0"/>
          <w:sz w:val="22"/>
        </w:rPr>
        <w:t>2  Related Work</w:t>
      </w:r>
    </w:p>
    <w:p>
      <w:pPr>
        <w:spacing w:after="40"/>
        <w:ind w:left="0"/>
      </w:pPr>
      <w:r>
        <w:rPr>
          <w:rFonts w:ascii="Calibri" w:hAnsi="Calibri"/>
          <w:b/>
          <w:i w:val="0"/>
          <w:sz w:val="22"/>
        </w:rPr>
        <w:t>3  Research Methodology</w:t>
      </w:r>
    </w:p>
    <w:p>
      <w:pPr>
        <w:spacing w:after="40"/>
        <w:ind w:left="283"/>
      </w:pPr>
      <w:r>
        <w:rPr>
          <w:rFonts w:ascii="Calibri" w:hAnsi="Calibri"/>
          <w:b w:val="0"/>
          <w:i w:val="0"/>
          <w:sz w:val="22"/>
        </w:rPr>
        <w:t>3.1  Planning the Review</w:t>
      </w:r>
    </w:p>
    <w:p>
      <w:pPr>
        <w:spacing w:after="40"/>
        <w:ind w:left="283"/>
      </w:pPr>
      <w:r>
        <w:rPr>
          <w:rFonts w:ascii="Calibri" w:hAnsi="Calibri"/>
          <w:b w:val="0"/>
          <w:i w:val="0"/>
          <w:sz w:val="22"/>
        </w:rPr>
        <w:t>3.2  Conducting the Review</w:t>
      </w:r>
    </w:p>
    <w:p>
      <w:pPr>
        <w:spacing w:after="40"/>
        <w:ind w:left="283"/>
      </w:pPr>
      <w:r>
        <w:rPr>
          <w:rFonts w:ascii="Calibri" w:hAnsi="Calibri"/>
          <w:b w:val="0"/>
          <w:i w:val="0"/>
          <w:sz w:val="22"/>
        </w:rPr>
        <w:t>3.2.1  Search-String Evolution (V1 → V2 → V3 → V4)</w:t>
      </w:r>
    </w:p>
    <w:p>
      <w:pPr>
        <w:spacing w:after="40"/>
        <w:ind w:left="283"/>
      </w:pPr>
      <w:r>
        <w:rPr>
          <w:rFonts w:ascii="Calibri" w:hAnsi="Calibri"/>
          <w:b w:val="0"/>
          <w:i w:val="0"/>
          <w:sz w:val="22"/>
        </w:rPr>
        <w:t>3.2.2  Keyword ↔ Research-Question Traceability Matrix</w:t>
      </w:r>
    </w:p>
    <w:p>
      <w:pPr>
        <w:spacing w:after="40"/>
        <w:ind w:left="283"/>
      </w:pPr>
      <w:r>
        <w:rPr>
          <w:rFonts w:ascii="Calibri" w:hAnsi="Calibri"/>
          <w:b w:val="0"/>
          <w:i w:val="0"/>
          <w:sz w:val="22"/>
        </w:rPr>
        <w:t>3.2.3  Database-Specific Search-String Variants</w:t>
      </w:r>
    </w:p>
    <w:p>
      <w:pPr>
        <w:spacing w:after="40"/>
        <w:ind w:left="283"/>
      </w:pPr>
      <w:r>
        <w:rPr>
          <w:rFonts w:ascii="Calibri" w:hAnsi="Calibri"/>
          <w:b w:val="0"/>
          <w:i w:val="0"/>
          <w:sz w:val="22"/>
        </w:rPr>
        <w:t>3.2.4  Yield per Database and Deduplication</w:t>
      </w:r>
    </w:p>
    <w:p>
      <w:pPr>
        <w:spacing w:after="40"/>
        <w:ind w:left="283"/>
      </w:pPr>
      <w:r>
        <w:rPr>
          <w:rFonts w:ascii="Calibri" w:hAnsi="Calibri"/>
          <w:b w:val="0"/>
          <w:i w:val="0"/>
          <w:sz w:val="22"/>
        </w:rPr>
        <w:t>3.2.5  Selection Process — Phases 1 to 4 (PRISMA + backward snowballing)</w:t>
      </w:r>
    </w:p>
    <w:p>
      <w:pPr>
        <w:spacing w:after="40"/>
        <w:ind w:left="283"/>
      </w:pPr>
      <w:r>
        <w:rPr>
          <w:rFonts w:ascii="Calibri" w:hAnsi="Calibri"/>
          <w:b w:val="0"/>
          <w:i w:val="0"/>
          <w:sz w:val="22"/>
        </w:rPr>
        <w:t>3.2.6  Phase-2 Operationalised Inclusion / Exclusion Criteria</w:t>
      </w:r>
    </w:p>
    <w:p>
      <w:pPr>
        <w:spacing w:after="40"/>
        <w:ind w:left="283"/>
      </w:pPr>
      <w:r>
        <w:rPr>
          <w:rFonts w:ascii="Calibri" w:hAnsi="Calibri"/>
          <w:b w:val="0"/>
          <w:i w:val="0"/>
          <w:sz w:val="22"/>
        </w:rPr>
        <w:t>3.2.7  Phase-3 Inclusion / Exclusion Criteria (full intro / methods / conclusion)</w:t>
      </w:r>
    </w:p>
    <w:p>
      <w:pPr>
        <w:spacing w:after="40"/>
        <w:ind w:left="283"/>
      </w:pPr>
      <w:r>
        <w:rPr>
          <w:rFonts w:ascii="Calibri" w:hAnsi="Calibri"/>
          <w:b w:val="0"/>
          <w:i w:val="0"/>
          <w:sz w:val="22"/>
        </w:rPr>
        <w:t>3.2.8  Phase-4 Quality Assessment (Dybå &amp; Dingsøyr 11-question rubric)</w:t>
      </w:r>
    </w:p>
    <w:p>
      <w:pPr>
        <w:spacing w:after="40"/>
        <w:ind w:left="283"/>
      </w:pPr>
      <w:r>
        <w:rPr>
          <w:rFonts w:ascii="Calibri" w:hAnsi="Calibri"/>
          <w:b w:val="0"/>
          <w:i w:val="0"/>
          <w:sz w:val="22"/>
        </w:rPr>
        <w:t>3.2.9  Inter-rater Agreement, Data Extraction and Synthesis</w:t>
      </w:r>
    </w:p>
    <w:p>
      <w:pPr>
        <w:spacing w:after="40"/>
        <w:ind w:left="0"/>
      </w:pPr>
      <w:r>
        <w:rPr>
          <w:rFonts w:ascii="Calibri" w:hAnsi="Calibri"/>
          <w:b/>
          <w:i w:val="0"/>
          <w:sz w:val="22"/>
        </w:rPr>
        <w:t>4  Results and Analysis</w:t>
      </w:r>
    </w:p>
    <w:p>
      <w:pPr>
        <w:spacing w:after="40"/>
        <w:ind w:left="283"/>
      </w:pPr>
      <w:r>
        <w:rPr>
          <w:rFonts w:ascii="Calibri" w:hAnsi="Calibri"/>
          <w:b w:val="0"/>
          <w:i w:val="0"/>
          <w:sz w:val="22"/>
        </w:rPr>
        <w:t>4.1  Overview of the Primary Studies</w:t>
      </w:r>
    </w:p>
    <w:p>
      <w:pPr>
        <w:spacing w:after="40"/>
        <w:ind w:left="283"/>
      </w:pPr>
      <w:r>
        <w:rPr>
          <w:rFonts w:ascii="Calibri" w:hAnsi="Calibri"/>
          <w:b w:val="0"/>
          <w:i w:val="0"/>
          <w:sz w:val="22"/>
        </w:rPr>
        <w:t>4.2  Approaches for Architecture-Aware Quality Assessment (F1)</w:t>
      </w:r>
    </w:p>
    <w:p>
      <w:pPr>
        <w:spacing w:after="40"/>
        <w:ind w:left="283"/>
      </w:pPr>
      <w:r>
        <w:rPr>
          <w:rFonts w:ascii="Calibri" w:hAnsi="Calibri"/>
          <w:b w:val="0"/>
          <w:i w:val="0"/>
          <w:sz w:val="22"/>
        </w:rPr>
        <w:t>4.3  System Domain and Architectural Style (F2)</w:t>
      </w:r>
    </w:p>
    <w:p>
      <w:pPr>
        <w:spacing w:after="40"/>
        <w:ind w:left="283"/>
      </w:pPr>
      <w:r>
        <w:rPr>
          <w:rFonts w:ascii="Calibri" w:hAnsi="Calibri"/>
          <w:b w:val="0"/>
          <w:i w:val="0"/>
          <w:sz w:val="22"/>
        </w:rPr>
        <w:t>4.4  AI / Machine Learning Techniques Used (F3)</w:t>
      </w:r>
    </w:p>
    <w:p>
      <w:pPr>
        <w:spacing w:after="40"/>
        <w:ind w:left="283"/>
      </w:pPr>
      <w:r>
        <w:rPr>
          <w:rFonts w:ascii="Calibri" w:hAnsi="Calibri"/>
          <w:b w:val="0"/>
          <w:i w:val="0"/>
          <w:sz w:val="22"/>
        </w:rPr>
        <w:t>4.5  Telemetry and Evidence Sources (F4)</w:t>
      </w:r>
    </w:p>
    <w:p>
      <w:pPr>
        <w:spacing w:after="40"/>
        <w:ind w:left="283"/>
      </w:pPr>
      <w:r>
        <w:rPr>
          <w:rFonts w:ascii="Calibri" w:hAnsi="Calibri"/>
          <w:b w:val="0"/>
          <w:i w:val="0"/>
          <w:sz w:val="22"/>
        </w:rPr>
        <w:t>4.6  Architectural Concerns Addressed (F5)</w:t>
      </w:r>
    </w:p>
    <w:p>
      <w:pPr>
        <w:spacing w:after="40"/>
        <w:ind w:left="283"/>
      </w:pPr>
      <w:r>
        <w:rPr>
          <w:rFonts w:ascii="Calibri" w:hAnsi="Calibri"/>
          <w:b w:val="0"/>
          <w:i w:val="0"/>
          <w:sz w:val="22"/>
        </w:rPr>
        <w:t>4.7  Quality Outcomes Predicted or Explained (F6)</w:t>
      </w:r>
    </w:p>
    <w:p>
      <w:pPr>
        <w:spacing w:after="40"/>
        <w:ind w:left="283"/>
      </w:pPr>
      <w:r>
        <w:rPr>
          <w:rFonts w:ascii="Calibri" w:hAnsi="Calibri"/>
          <w:b w:val="0"/>
          <w:i w:val="0"/>
          <w:sz w:val="22"/>
        </w:rPr>
        <w:t>4.8  Programming Language Coverage (F7)</w:t>
      </w:r>
    </w:p>
    <w:p>
      <w:pPr>
        <w:spacing w:after="40"/>
        <w:ind w:left="283"/>
      </w:pPr>
      <w:r>
        <w:rPr>
          <w:rFonts w:ascii="Calibri" w:hAnsi="Calibri"/>
          <w:b w:val="0"/>
          <w:i w:val="0"/>
          <w:sz w:val="22"/>
        </w:rPr>
        <w:t>4.9  Validation Strategies (F8)</w:t>
      </w:r>
    </w:p>
    <w:p>
      <w:pPr>
        <w:spacing w:after="40"/>
        <w:ind w:left="283"/>
      </w:pPr>
      <w:r>
        <w:rPr>
          <w:rFonts w:ascii="Calibri" w:hAnsi="Calibri"/>
          <w:b w:val="0"/>
          <w:i w:val="0"/>
          <w:sz w:val="22"/>
        </w:rPr>
        <w:t>4.10  Tool Support and Reproducibility (F9)</w:t>
      </w:r>
    </w:p>
    <w:p>
      <w:pPr>
        <w:spacing w:after="40"/>
        <w:ind w:left="283"/>
      </w:pPr>
      <w:r>
        <w:rPr>
          <w:rFonts w:ascii="Calibri" w:hAnsi="Calibri"/>
          <w:b w:val="0"/>
          <w:i w:val="0"/>
          <w:sz w:val="22"/>
        </w:rPr>
        <w:t>4.11  Explainability and Developer Feedback (F10)</w:t>
      </w:r>
    </w:p>
    <w:p>
      <w:pPr>
        <w:spacing w:after="40"/>
        <w:ind w:left="283"/>
      </w:pPr>
      <w:r>
        <w:rPr>
          <w:rFonts w:ascii="Calibri" w:hAnsi="Calibri"/>
          <w:b w:val="0"/>
          <w:i w:val="0"/>
          <w:sz w:val="22"/>
        </w:rPr>
        <w:t>4.12  Cross-Cutting View: Architecture, Metrics, and AI (F11)</w:t>
      </w:r>
    </w:p>
    <w:p>
      <w:pPr>
        <w:spacing w:after="40"/>
        <w:ind w:left="0"/>
      </w:pPr>
      <w:r>
        <w:rPr>
          <w:rFonts w:ascii="Calibri" w:hAnsi="Calibri"/>
          <w:b/>
          <w:i w:val="0"/>
          <w:sz w:val="22"/>
        </w:rPr>
        <w:t>5  Discussion</w:t>
      </w:r>
    </w:p>
    <w:p>
      <w:pPr>
        <w:spacing w:after="40"/>
        <w:ind w:left="283"/>
      </w:pPr>
      <w:r>
        <w:rPr>
          <w:rFonts w:ascii="Calibri" w:hAnsi="Calibri"/>
          <w:b w:val="0"/>
          <w:i w:val="0"/>
          <w:sz w:val="22"/>
        </w:rPr>
        <w:t>5.1  Answers to the Research Questions</w:t>
      </w:r>
    </w:p>
    <w:p>
      <w:pPr>
        <w:spacing w:after="40"/>
        <w:ind w:left="283"/>
      </w:pPr>
      <w:r>
        <w:rPr>
          <w:rFonts w:ascii="Calibri" w:hAnsi="Calibri"/>
          <w:b w:val="0"/>
          <w:i w:val="0"/>
          <w:sz w:val="22"/>
        </w:rPr>
        <w:t>5.2  Mapping Gaps to the Thesis Contributions</w:t>
      </w:r>
    </w:p>
    <w:p>
      <w:pPr>
        <w:spacing w:after="40"/>
        <w:ind w:left="283"/>
      </w:pPr>
      <w:r>
        <w:rPr>
          <w:rFonts w:ascii="Calibri" w:hAnsi="Calibri"/>
          <w:b w:val="0"/>
          <w:i w:val="0"/>
          <w:sz w:val="22"/>
        </w:rPr>
        <w:t>5.3  Threats to Validity</w:t>
      </w:r>
    </w:p>
    <w:p>
      <w:pPr>
        <w:spacing w:after="40"/>
        <w:ind w:left="0"/>
      </w:pPr>
      <w:r>
        <w:rPr>
          <w:rFonts w:ascii="Calibri" w:hAnsi="Calibri"/>
          <w:b/>
          <w:i w:val="0"/>
          <w:sz w:val="22"/>
        </w:rPr>
        <w:t>6  Conclusion</w:t>
      </w:r>
    </w:p>
    <w:p>
      <w:pPr>
        <w:spacing w:after="40"/>
        <w:ind w:left="283"/>
      </w:pPr>
      <w:r>
        <w:rPr>
          <w:rFonts w:ascii="Calibri" w:hAnsi="Calibri"/>
          <w:b w:val="0"/>
          <w:i w:val="0"/>
          <w:sz w:val="22"/>
        </w:rPr>
        <w:t>6.1  Conclusions on this SLR</w:t>
      </w:r>
    </w:p>
    <w:p>
      <w:pPr>
        <w:spacing w:after="40"/>
        <w:ind w:left="283"/>
      </w:pPr>
      <w:r>
        <w:rPr>
          <w:rFonts w:ascii="Calibri" w:hAnsi="Calibri"/>
          <w:b w:val="0"/>
          <w:i w:val="0"/>
          <w:sz w:val="22"/>
        </w:rPr>
        <w:t>6.2  Open Issues and Future Work</w:t>
      </w:r>
    </w:p>
    <w:p>
      <w:pPr>
        <w:spacing w:after="40"/>
        <w:ind w:left="0"/>
      </w:pPr>
      <w:r>
        <w:rPr>
          <w:rFonts w:ascii="Calibri" w:hAnsi="Calibri"/>
          <w:b w:val="0"/>
          <w:i w:val="0"/>
          <w:sz w:val="22"/>
        </w:rPr>
        <w:t>References</w:t>
      </w:r>
    </w:p>
    <w:p>
      <w:pPr>
        <w:spacing w:after="40"/>
        <w:ind w:left="0"/>
      </w:pPr>
      <w:r>
        <w:rPr>
          <w:rFonts w:ascii="Calibri" w:hAnsi="Calibri"/>
          <w:b w:val="0"/>
          <w:i w:val="0"/>
          <w:sz w:val="22"/>
        </w:rPr>
        <w:t>Appendix A — Primary Studies</w:t>
      </w:r>
    </w:p>
    <w:p>
      <w:pPr>
        <w:spacing w:after="40"/>
        <w:ind w:left="0"/>
      </w:pPr>
      <w:r>
        <w:rPr>
          <w:rFonts w:ascii="Calibri" w:hAnsi="Calibri"/>
          <w:b w:val="0"/>
          <w:i w:val="0"/>
          <w:sz w:val="22"/>
        </w:rPr>
        <w:t>Appendix B — Data Extraction Form</w:t>
      </w:r>
    </w:p>
    <w:p>
      <w:pPr>
        <w:spacing w:after="40"/>
        <w:ind w:left="0"/>
      </w:pPr>
      <w:r>
        <w:rPr>
          <w:rFonts w:ascii="Calibri" w:hAnsi="Calibri"/>
          <w:b w:val="0"/>
          <w:i w:val="0"/>
          <w:sz w:val="22"/>
        </w:rPr>
        <w:t>Appendix C — STAR Candidates</w:t>
      </w:r>
    </w:p>
    <w:p>
      <w:pPr>
        <w:spacing w:after="40"/>
        <w:ind w:left="0"/>
      </w:pPr>
      <w:r>
        <w:rPr>
          <w:rFonts w:ascii="Calibri" w:hAnsi="Calibri"/>
          <w:b w:val="0"/>
          <w:i w:val="0"/>
          <w:sz w:val="22"/>
        </w:rPr>
        <w:t>Appendix D — Verbatim Search-String Versions (V1, V2, V3, V4)</w:t>
      </w:r>
    </w:p>
    <w:p>
      <w:pPr>
        <w:spacing w:after="40"/>
        <w:ind w:left="0"/>
      </w:pPr>
      <w:r>
        <w:rPr>
          <w:rFonts w:ascii="Calibri" w:hAnsi="Calibri"/>
          <w:b w:val="0"/>
          <w:i w:val="0"/>
          <w:sz w:val="22"/>
        </w:rPr>
        <w:t>Appendix E — Orphan Studies Recovered via Backward Snowballing</w:t>
      </w:r>
    </w:p>
    <w:p>
      <w:r>
        <w:br w:type="page"/>
      </w:r>
    </w:p>
    <w:p>
      <w:pPr>
        <w:pStyle w:val="Heading1"/>
        <w:keepNext/>
        <w:spacing w:before="360" w:after="120"/>
      </w:pPr>
      <w:r>
        <w:rPr>
          <w:rFonts w:ascii="Calibri" w:hAnsi="Calibri"/>
          <w:b/>
          <w:i w:val="0"/>
          <w:color w:val="1F3A5F"/>
          <w:sz w:val="36"/>
        </w:rPr>
        <w:t>1  Introduction</w:t>
      </w:r>
    </w:p>
    <w:p>
      <w:pPr>
        <w:spacing w:before="0" w:after="80" w:line="276" w:lineRule="auto"/>
      </w:pPr>
      <w:r>
        <w:rPr>
          <w:rFonts w:ascii="Calibri" w:hAnsi="Calibri"/>
          <w:b w:val="0"/>
          <w:i w:val="0"/>
          <w:sz w:val="22"/>
        </w:rPr>
        <w:t>Java-based distributed systems — and in particular microservice and event-driven architectures — have become the dominant style for large-scale, cloud-native applications [Di Francesco et al., 2017; Dragoni et al., 2017]. They improve scalability, resilience and organisational agility by decomposing systems into independently deployable services, but they also introduce architectural dependencies, heterogeneous communication patterns and complex deployment topologies that change how software quality must be measured.</w:t>
      </w:r>
    </w:p>
    <w:p>
      <w:pPr>
        <w:spacing w:before="0" w:after="80" w:line="276" w:lineRule="auto"/>
      </w:pPr>
      <w:r>
        <w:rPr>
          <w:rFonts w:ascii="Calibri" w:hAnsi="Calibri"/>
          <w:b w:val="0"/>
          <w:i w:val="0"/>
          <w:sz w:val="22"/>
        </w:rPr>
        <w:t>Traditional object-oriented (OO) metrics — such as the Chidamber and Kemerer (CK) suite — remain useful at the class and module level [Chidamber &amp; Kemerer, 1994; Basili et al., 1996]. In distributed systems, however, qualities such as performance, reliability and evolvability are strongly shaped by architectural factors: service boundaries, inter-service communication, deployment topology, and cross-cutting concerns like observability and fault tolerance [Bogner et al., 2019; Taibi &amp; Lenarduzzi, 2018]. Metrics that ignore these dimensions can produce misleading assessments: a service may look "healthy" from a class-level perspective while participating in architectural anti-patterns such as tightly coupled service clusters, chatty communication, or central-bottleneck "god services".</w:t>
      </w:r>
    </w:p>
    <w:p>
      <w:pPr>
        <w:spacing w:before="0" w:after="80" w:line="276" w:lineRule="auto"/>
      </w:pPr>
      <w:r>
        <w:rPr>
          <w:rFonts w:ascii="Calibri" w:hAnsi="Calibri"/>
          <w:b w:val="0"/>
          <w:i w:val="0"/>
          <w:sz w:val="22"/>
        </w:rPr>
        <w:t>In parallel, advances in artificial intelligence (AI) and machine learning (ML) have opened new possibilities for data-driven software quality assessment, from defect prediction [Malhotra, 2015; Radjenović et al., 2013] to performance anomaly detection and root cause analysis in microservices ([Wang et al., 2022 — Groot]; [Li et al., 2022 — LongTale]). Yet many of these models are opaque, limiting their adoption by developers and architects who need to understand and act on the recommendations [Dam et al., 2019; Ribeiro et al., 2016].</w:t>
      </w:r>
    </w:p>
    <w:p>
      <w:pPr>
        <w:spacing w:before="0" w:after="80" w:line="276" w:lineRule="auto"/>
      </w:pPr>
      <w:r>
        <w:rPr>
          <w:rFonts w:ascii="Calibri" w:hAnsi="Calibri"/>
          <w:b w:val="0"/>
          <w:i w:val="0"/>
          <w:sz w:val="22"/>
        </w:rPr>
        <w:t>This SLR was conducted in support of a PhD project that proposes to bridge these two lines of work by designing architecture-aware metrics for Java-based distributed systems, embedding them in a model-driven extraction framework, and using them as interpretable inputs to AI-supported quality assessment models. The review has three concrete goals:</w:t>
      </w:r>
    </w:p>
    <w:p>
      <w:pPr>
        <w:pStyle w:val="ListBullet"/>
        <w:spacing w:after="40"/>
      </w:pPr>
      <w:r>
        <w:rPr>
          <w:rFonts w:ascii="Calibri" w:hAnsi="Calibri"/>
          <w:b w:val="0"/>
          <w:i w:val="0"/>
          <w:sz w:val="22"/>
        </w:rPr>
        <w:t>characterise the state of the art on metric-based, architecture-level and AI-supported quality assessment in distributed systems (with emphasis on microservice and Java-based systems);</w:t>
      </w:r>
    </w:p>
    <w:p>
      <w:pPr>
        <w:pStyle w:val="ListBullet"/>
        <w:spacing w:after="40"/>
      </w:pPr>
      <w:r>
        <w:rPr>
          <w:rFonts w:ascii="Calibri" w:hAnsi="Calibri"/>
          <w:b w:val="0"/>
          <w:i w:val="0"/>
          <w:sz w:val="22"/>
        </w:rPr>
        <w:t>classify existing approaches along analytical facets — approach type, AI/ML technique, telemetry signals exploited, architectural concern addressed, validation method, explainability and tool support;</w:t>
      </w:r>
    </w:p>
    <w:p>
      <w:pPr>
        <w:pStyle w:val="ListBullet"/>
        <w:spacing w:after="40"/>
      </w:pPr>
      <w:r>
        <w:rPr>
          <w:rFonts w:ascii="Calibri" w:hAnsi="Calibri"/>
          <w:b w:val="0"/>
          <w:i w:val="0"/>
          <w:sz w:val="22"/>
        </w:rPr>
        <w:t>identify the gaps in the literature that the thesis can address, and link each thesis contribution to the supporting primary studies.</w:t>
      </w:r>
    </w:p>
    <w:p>
      <w:pPr>
        <w:spacing w:before="0" w:after="80" w:line="276" w:lineRule="auto"/>
      </w:pPr>
      <w:r>
        <w:rPr>
          <w:rFonts w:ascii="Calibri" w:hAnsi="Calibri"/>
          <w:b w:val="0"/>
          <w:i w:val="0"/>
          <w:sz w:val="22"/>
        </w:rPr>
        <w:t>The contribution of the SLR itself is twofold: (i) a curated and classified corpus of 113 primary studies covering 2014–2026 that constitutes the empirical baseline of the PhD project; and (ii) an evidence-based roadmap that motivates the thesis objectives and research questions defined in the project proposal.</w:t>
      </w:r>
    </w:p>
    <w:p>
      <w:pPr>
        <w:spacing w:before="0" w:after="80" w:line="276" w:lineRule="auto"/>
      </w:pPr>
      <w:r>
        <w:rPr>
          <w:rFonts w:ascii="Calibri" w:hAnsi="Calibri"/>
          <w:b w:val="0"/>
          <w:i w:val="0"/>
          <w:sz w:val="22"/>
        </w:rPr>
        <w:t>The remainder of this document is structured as follows. Section 2 surveys closely related secondary studies. Section 3 details the research methodology, including the operationalised inclusion/exclusion criteria of §3.2.6. Section 4 presents the results across eleven analytical facets. Section 5 discusses the answers to the research questions, maps gaps to the thesis contributions, and analyses threats to validity. Section 6 concludes and lists open issues. Appendices list the primary studies, the data extraction form, STAR candidates, verbatim search-string versions, and orphan studies recovered via backward snowballing.</w:t>
      </w:r>
    </w:p>
    <w:p>
      <w:pPr>
        <w:pStyle w:val="Heading1"/>
        <w:keepNext/>
        <w:spacing w:before="360" w:after="120"/>
      </w:pPr>
      <w:r>
        <w:rPr>
          <w:rFonts w:ascii="Calibri" w:hAnsi="Calibri"/>
          <w:b/>
          <w:i w:val="0"/>
          <w:color w:val="1F3A5F"/>
          <w:sz w:val="36"/>
        </w:rPr>
        <w:t>2  Related Work</w:t>
      </w:r>
    </w:p>
    <w:p>
      <w:pPr>
        <w:spacing w:before="0" w:after="80" w:line="276" w:lineRule="auto"/>
      </w:pPr>
      <w:r>
        <w:rPr>
          <w:rFonts w:ascii="Calibri" w:hAnsi="Calibri"/>
          <w:b w:val="0"/>
          <w:i w:val="0"/>
          <w:sz w:val="22"/>
        </w:rPr>
        <w:t>Several secondary studies have addressed parts of the problem space targeted by this SLR, but none combines the four perspectives we consider simultaneously: software metrics, microservice and distributed architecture, observability and runtime telemetry, and AI/ML for quality assessment. We summarise the most relevant ones in chronological order.</w:t>
      </w:r>
    </w:p>
    <w:p>
      <w:pPr>
        <w:spacing w:before="0" w:after="80" w:line="276" w:lineRule="auto"/>
      </w:pPr>
      <w:r>
        <w:rPr>
          <w:rFonts w:ascii="Calibri" w:hAnsi="Calibri"/>
          <w:b w:val="0"/>
          <w:i w:val="0"/>
          <w:sz w:val="22"/>
        </w:rPr>
        <w:t>[Radjenović et al., 2013] performed an SLR on software fault prediction metrics. They analysed 106 primary studies and concluded that OO metrics — especially the CK suite — were the most frequently used; process metrics outperformed traditional product metrics in many empirical studies; and reproducibility was hampered by the lack of standard datasets. Their scope was the monolithic, single-application view; distributed architectures and runtime telemetry were not in focus.</w:t>
      </w:r>
    </w:p>
    <w:p>
      <w:pPr>
        <w:spacing w:before="0" w:after="80" w:line="276" w:lineRule="auto"/>
      </w:pPr>
      <w:r>
        <w:rPr>
          <w:rFonts w:ascii="Calibri" w:hAnsi="Calibri"/>
          <w:b w:val="0"/>
          <w:i w:val="0"/>
          <w:sz w:val="22"/>
        </w:rPr>
        <w:t>[Malhotra, 2015] reviewed 64 studies on machine learning techniques for software fault prediction (1991–2013) and reported that ML typically outperforms statistical regression on this task, with decision trees, random forests and Bayesian classifiers being the most common algorithms. The unit of analysis was the class or module, not the architecture.</w:t>
      </w:r>
    </w:p>
    <w:p>
      <w:pPr>
        <w:spacing w:before="0" w:after="80" w:line="276" w:lineRule="auto"/>
      </w:pPr>
      <w:r>
        <w:rPr>
          <w:rFonts w:ascii="Calibri" w:hAnsi="Calibri"/>
          <w:b w:val="0"/>
          <w:i w:val="0"/>
          <w:sz w:val="22"/>
        </w:rPr>
        <w:t>[Di Francesco et al., 2017] conducted a systematic mapping study on architecting microservices, identifying 71 primary studies. They highlighted that quality concerns in microservices are dominated by deployment, scalability and performance, and that architecture-level analyses are still under-tooled. They did not, however, examine the use of AI/ML in supporting these analyses.</w:t>
      </w:r>
    </w:p>
    <w:p>
      <w:pPr>
        <w:spacing w:before="0" w:after="80" w:line="276" w:lineRule="auto"/>
      </w:pPr>
      <w:r>
        <w:rPr>
          <w:rFonts w:ascii="Calibri" w:hAnsi="Calibri"/>
          <w:b w:val="0"/>
          <w:i w:val="0"/>
          <w:sz w:val="22"/>
        </w:rPr>
        <w:t>[Taibi &amp; Lenarduzzi, 2018] and [Taibi, Lenarduzzi &amp; Pahl, 2020] catalogued microservice bad smells and anti-patterns. Many of these smells can in principle be operationalised as architectural metrics, but the authors did not provide formal metric definitions nor did they explore how such metrics could be exploited by AI models.</w:t>
      </w:r>
    </w:p>
    <w:p>
      <w:pPr>
        <w:spacing w:before="0" w:after="80" w:line="276" w:lineRule="auto"/>
      </w:pPr>
      <w:r>
        <w:rPr>
          <w:rFonts w:ascii="Calibri" w:hAnsi="Calibri"/>
          <w:b w:val="0"/>
          <w:i w:val="0"/>
          <w:sz w:val="22"/>
        </w:rPr>
        <w:t>[Bogner et al., 2019] surveyed industrial microservice adoption, documenting how teams use technologies and assess software quality in practice. They confirmed the gap between OO metrics and the architectural decisions that dominate microservice quality.</w:t>
      </w:r>
    </w:p>
    <w:p>
      <w:pPr>
        <w:spacing w:before="0" w:after="80" w:line="276" w:lineRule="auto"/>
      </w:pPr>
      <w:r>
        <w:rPr>
          <w:rFonts w:ascii="Calibri" w:hAnsi="Calibri"/>
          <w:b w:val="0"/>
          <w:i w:val="0"/>
          <w:sz w:val="22"/>
        </w:rPr>
        <w:t>[Pereira dos Reis et al., 2022] published a comprehensive SLR on code smells detection and visualisation covering 83 primary studies. Their work provides the methodological template adopted in the present review (Kitchenham-based protocol, inclusion/exclusion criteria, quality assessment, facet-based synthesis). Their unit of analysis is the code smell at the class level; architecture-level smells in distributed Java systems are explicitly mentioned as future work.</w:t>
      </w:r>
    </w:p>
    <w:p>
      <w:pPr>
        <w:spacing w:before="0" w:after="80" w:line="276" w:lineRule="auto"/>
      </w:pPr>
      <w:r>
        <w:rPr>
          <w:rFonts w:ascii="Calibri" w:hAnsi="Calibri"/>
          <w:b w:val="0"/>
          <w:i w:val="0"/>
          <w:sz w:val="22"/>
        </w:rPr>
        <w:t>In summary, the existing secondary studies address either metrics, smells, microservices, or AI-based analytics, but no SLR has yet looked at the intersection of metric-based, architecture-aware, and AI-supported quality assessment in Java-based distributed systems. This SLR is intended to fill that gap.</w:t>
      </w:r>
    </w:p>
    <w:p>
      <w:pPr>
        <w:pStyle w:val="Heading1"/>
        <w:keepNext/>
        <w:spacing w:before="360" w:after="120"/>
      </w:pPr>
      <w:r>
        <w:rPr>
          <w:rFonts w:ascii="Calibri" w:hAnsi="Calibri"/>
          <w:b/>
          <w:i w:val="0"/>
          <w:color w:val="1F3A5F"/>
          <w:sz w:val="36"/>
        </w:rPr>
        <w:t>3  Research Methodology</w:t>
      </w:r>
    </w:p>
    <w:p>
      <w:pPr>
        <w:spacing w:before="0" w:after="80" w:line="276" w:lineRule="auto"/>
      </w:pPr>
      <w:r>
        <w:rPr>
          <w:rFonts w:ascii="Calibri" w:hAnsi="Calibri"/>
          <w:b w:val="0"/>
          <w:i w:val="0"/>
          <w:sz w:val="22"/>
        </w:rPr>
        <w:t>The review followed the guidelines of [Kitchenham &amp; Charters, 2007] (later refined in [Kitchenham et al., 2009]) and adopted the procedural template described by [Pereira dos Reis et al., 2022]. The process is organised in two main phases: planning the review (Section 3.1) and conducting the review (Section 3.2). Sub-sections 3.2.1 to 3.2.9 document, in execution order, the search-string evolution from V1 through V4, the keyword↔research-question traceability matrix, the database-specific syntactic variants, the per-database yield with deduplication breakdown, the PRISMA-style selection flow extended with a backward-snowballing branch, the operationalised inclusion/exclusion criteria at Phase 2 and Phase 3, the Phase-4 quality assessment using the 11-question rubric of [Dybå &amp; Dingsøyr, 2008], and finally inter-rater agreement, data extraction and synthesis.</w:t>
      </w:r>
    </w:p>
    <w:p>
      <w:pPr>
        <w:pStyle w:val="Heading2"/>
        <w:keepNext/>
        <w:spacing w:before="280" w:after="120"/>
      </w:pPr>
      <w:r>
        <w:rPr>
          <w:rFonts w:ascii="Calibri" w:hAnsi="Calibri"/>
          <w:b/>
          <w:i w:val="0"/>
          <w:color w:val="1F3A5F"/>
          <w:sz w:val="28"/>
        </w:rPr>
        <w:t>3.1  Planning the Review</w:t>
      </w:r>
    </w:p>
    <w:p>
      <w:pPr>
        <w:spacing w:before="0" w:after="80" w:line="276" w:lineRule="auto"/>
      </w:pPr>
      <w:r>
        <w:rPr>
          <w:rFonts w:ascii="Calibri" w:hAnsi="Calibri"/>
          <w:b w:val="0"/>
          <w:i w:val="0"/>
          <w:sz w:val="22"/>
        </w:rPr>
        <w:t>Planning fixes the scope, the research questions, the publication time frame and the overall protocol. The objective of the SLR is to characterise how the research community has been combining software metrics, architectural information and AI/ML techniques to assess and explain quality in distributed Java-based systems, in order to inform the design choices of the PhD project.</w:t>
      </w:r>
    </w:p>
    <w:p>
      <w:pPr>
        <w:spacing w:before="0" w:after="80" w:line="276" w:lineRule="auto"/>
      </w:pPr>
      <w:r>
        <w:rPr>
          <w:rFonts w:ascii="Calibri" w:hAnsi="Calibri"/>
          <w:b w:val="0"/>
          <w:i/>
          <w:sz w:val="22"/>
        </w:rPr>
        <w:t>The review is guided by the following research questions, derived directly from the project proposal (Section 4.2):</w:t>
      </w:r>
    </w:p>
    <w:p>
      <w:pPr>
        <w:spacing w:after="80"/>
        <w:ind w:left="340"/>
      </w:pPr>
      <w:r>
        <w:rPr>
          <w:rFonts w:ascii="Calibri" w:hAnsi="Calibri"/>
          <w:b/>
          <w:i w:val="0"/>
          <w:sz w:val="22"/>
        </w:rPr>
        <w:t xml:space="preserve">RQ1.  </w:t>
      </w:r>
      <w:r>
        <w:rPr>
          <w:rFonts w:ascii="Calibri" w:hAnsi="Calibri"/>
          <w:b w:val="0"/>
          <w:i w:val="0"/>
          <w:sz w:val="22"/>
        </w:rPr>
        <w:t>Which architectural properties of Java-based microservice and event-driven systems can be reliably captured through a technology-agnostic metamodel combining static, configuration, and runtime evidence?</w:t>
      </w:r>
    </w:p>
    <w:p>
      <w:pPr>
        <w:spacing w:after="80"/>
        <w:ind w:left="340"/>
      </w:pPr>
      <w:r>
        <w:rPr>
          <w:rFonts w:ascii="Calibri" w:hAnsi="Calibri"/>
          <w:b/>
          <w:i w:val="0"/>
          <w:sz w:val="22"/>
        </w:rPr>
        <w:t xml:space="preserve">RQ2.  </w:t>
      </w:r>
      <w:r>
        <w:rPr>
          <w:rFonts w:ascii="Calibri" w:hAnsi="Calibri"/>
          <w:b w:val="0"/>
          <w:i w:val="0"/>
          <w:sz w:val="22"/>
        </w:rPr>
        <w:t>Which architecture-aware metrics best quantify these properties (e.g., coupling, communication complexity, granularity, centrality, and smells), and how do they complement traditional OO metrics?</w:t>
      </w:r>
    </w:p>
    <w:p>
      <w:pPr>
        <w:spacing w:after="80"/>
        <w:ind w:left="340"/>
      </w:pPr>
      <w:r>
        <w:rPr>
          <w:rFonts w:ascii="Calibri" w:hAnsi="Calibri"/>
          <w:b/>
          <w:i w:val="0"/>
          <w:sz w:val="22"/>
        </w:rPr>
        <w:t xml:space="preserve">RQ3.  </w:t>
      </w:r>
      <w:r>
        <w:rPr>
          <w:rFonts w:ascii="Calibri" w:hAnsi="Calibri"/>
          <w:b w:val="0"/>
          <w:i w:val="0"/>
          <w:sz w:val="22"/>
        </w:rPr>
        <w:t>To what extent can hybrid metric+AI models predict or explain relevant quality outcomes (defects, incidents, maintainability, and performance risks) in distributed Java systems?</w:t>
      </w:r>
    </w:p>
    <w:p>
      <w:pPr>
        <w:spacing w:after="80"/>
        <w:ind w:left="340"/>
      </w:pPr>
      <w:r>
        <w:rPr>
          <w:rFonts w:ascii="Calibri" w:hAnsi="Calibri"/>
          <w:b/>
          <w:i w:val="0"/>
          <w:sz w:val="22"/>
        </w:rPr>
        <w:t xml:space="preserve">RQ4.  </w:t>
      </w:r>
      <w:r>
        <w:rPr>
          <w:rFonts w:ascii="Calibri" w:hAnsi="Calibri"/>
          <w:b w:val="0"/>
          <w:i w:val="0"/>
          <w:sz w:val="22"/>
        </w:rPr>
        <w:t>How can explainable feedback grounded in architecture-aware metrics be effectively integrated into developer tooling (IDE/CI dashboards) to support decision making?</w:t>
      </w:r>
    </w:p>
    <w:p>
      <w:pPr>
        <w:spacing w:before="0" w:after="40" w:line="276" w:lineRule="auto"/>
      </w:pPr>
      <w:r>
        <w:rPr>
          <w:rFonts w:ascii="Calibri" w:hAnsi="Calibri"/>
          <w:b/>
          <w:i w:val="0"/>
          <w:sz w:val="22"/>
        </w:rPr>
        <w:t>Publications time frame.</w:t>
      </w:r>
    </w:p>
    <w:p>
      <w:pPr>
        <w:spacing w:before="0" w:after="80" w:line="276" w:lineRule="auto"/>
      </w:pPr>
      <w:r>
        <w:rPr>
          <w:rFonts w:ascii="Calibri" w:hAnsi="Calibri"/>
          <w:b w:val="0"/>
          <w:i w:val="0"/>
          <w:sz w:val="22"/>
        </w:rPr>
        <w:t>The review covers the period 1 January 2014 to 1 May 2026. The starting year (2014) corresponds to the consolidation of microservice architectures in industrial practice and the parallel growth of mainstream observability stacks. The upper bound (May 2026) reflects the most recent indexed publications at the time of data extraction.</w:t>
      </w:r>
    </w:p>
    <w:p>
      <w:pPr>
        <w:pStyle w:val="Heading2"/>
        <w:keepNext/>
        <w:spacing w:before="280" w:after="120"/>
      </w:pPr>
      <w:r>
        <w:rPr>
          <w:rFonts w:ascii="Calibri" w:hAnsi="Calibri"/>
          <w:b/>
          <w:i w:val="0"/>
          <w:color w:val="1F3A5F"/>
          <w:sz w:val="28"/>
        </w:rPr>
        <w:t>3.2  Conducting the Review</w:t>
      </w:r>
    </w:p>
    <w:p>
      <w:pPr>
        <w:spacing w:before="0" w:after="80" w:line="276" w:lineRule="auto"/>
      </w:pPr>
      <w:r>
        <w:rPr>
          <w:rFonts w:ascii="Calibri" w:hAnsi="Calibri"/>
          <w:b w:val="0"/>
          <w:i w:val="0"/>
          <w:sz w:val="22"/>
        </w:rPr>
        <w:t>Sources searched were the digital libraries considered most relevant for software-engineering research [Pereira dos Reis et al., 2022]: ACM Digital Library, IEEE Xplore, SpringerLink, Scopus and Web of Science. ScienceDirect was probed during search-string development but did not contribute a substantial number of unique hits and was eventually subsumed by Scopus, which aggregates Elsevier journals; ScienceDirect-specific results are therefore reported as a subset of Scopus in §3.2.4. The automated search was complemented by backward snowballing on the prior screening of the V3 corpus, following [Wohlin, 2014] and [Kitchenham &amp; Charters, 2007, §6.1.1].</w:t>
      </w:r>
    </w:p>
    <w:p>
      <w:pPr>
        <w:pStyle w:val="Heading3"/>
        <w:keepNext/>
        <w:spacing w:before="280" w:after="120"/>
      </w:pPr>
      <w:r>
        <w:rPr>
          <w:rFonts w:ascii="Calibri" w:hAnsi="Calibri"/>
          <w:b/>
          <w:i w:val="0"/>
          <w:color w:val="1F3A5F"/>
          <w:sz w:val="24"/>
        </w:rPr>
        <w:t>3.2.1  Search-String Evolution (V1 → V2 → V3 → V4)</w:t>
      </w:r>
    </w:p>
    <w:p>
      <w:pPr>
        <w:spacing w:before="0" w:after="80" w:line="276" w:lineRule="auto"/>
      </w:pPr>
      <w:r>
        <w:rPr>
          <w:rFonts w:ascii="Calibri" w:hAnsi="Calibri"/>
          <w:b w:val="0"/>
          <w:i w:val="0"/>
          <w:sz w:val="22"/>
        </w:rPr>
        <w:t>The search string was developed iteratively over four versions. V1 included two blocks specific to the implementation technology of the thesis (Java/JVM) and to the model-driven engineering stack (OCL, EMF, Eclipse, metamodel, model-driven); this combination proved too restrictive (&lt; 30 cumulative hits). V2 kept the Java block and a slimmer MDE block; still too narrow (&lt; 80 hits). V3 dropped both blocks to maximise coverage and to remain language-agnostic; this produced 438 candidate records. V4 — the final version — re-introduced the MDE block as a mandatory conjunct to focus the corpus on the thesis's model-driven approach, accepting a tighter scope (305 candidate records, 234 unique after cross-database deduplication). The 34 papers that V3 had retained but V4 did not re-locate (because they do not use the MDE vocabulary explicitly) are recovered through the backward-snowballing branch documented in §3.2.5 and listed in Appendix E.</w:t>
      </w:r>
    </w:p>
    <w:tbl>
      <w:tblPr>
        <w:tblStyle w:val="LightGrid-Accent1"/>
        <w:tblW w:type="auto" w:w="0"/>
        <w:jc w:val="center"/>
        <w:tblLayout w:type="fixed"/>
        <w:tblLook w:firstColumn="1" w:firstRow="1" w:lastColumn="0" w:lastRow="0" w:noHBand="0" w:noVBand="1" w:val="04A0"/>
      </w:tblPr>
      <w:tblGrid>
        <w:gridCol w:w="1814"/>
        <w:gridCol w:w="1814"/>
        <w:gridCol w:w="1814"/>
        <w:gridCol w:w="1814"/>
        <w:gridCol w:w="1814"/>
      </w:tblGrid>
      <w:tr>
        <w:tc>
          <w:tcPr>
            <w:tcW w:type="dxa" w:w="680"/>
            <w:shd w:val="clear" w:color="auto" w:fill="1F3A5F"/>
            <w:vAlign w:val="center"/>
          </w:tcPr>
          <w:p>
            <w:r/>
            <w:r>
              <w:rPr>
                <w:rFonts w:ascii="Calibri" w:hAnsi="Calibri"/>
                <w:b/>
                <w:i w:val="0"/>
                <w:color w:val="FFFFFF"/>
                <w:sz w:val="20"/>
              </w:rPr>
              <w:t>Version</w:t>
            </w:r>
          </w:p>
        </w:tc>
        <w:tc>
          <w:tcPr>
            <w:tcW w:type="dxa" w:w="3231"/>
            <w:shd w:val="clear" w:color="auto" w:fill="1F3A5F"/>
            <w:vAlign w:val="center"/>
          </w:tcPr>
          <w:p>
            <w:r/>
            <w:r>
              <w:rPr>
                <w:rFonts w:ascii="Calibri" w:hAnsi="Calibri"/>
                <w:b/>
                <w:i w:val="0"/>
                <w:color w:val="FFFFFF"/>
                <w:sz w:val="20"/>
              </w:rPr>
              <w:t>Concept blocks present</w:t>
            </w:r>
          </w:p>
        </w:tc>
        <w:tc>
          <w:tcPr>
            <w:tcW w:type="dxa" w:w="1701"/>
            <w:shd w:val="clear" w:color="auto" w:fill="1F3A5F"/>
            <w:vAlign w:val="center"/>
          </w:tcPr>
          <w:p>
            <w:r/>
            <w:r>
              <w:rPr>
                <w:rFonts w:ascii="Calibri" w:hAnsi="Calibri"/>
                <w:b/>
                <w:i w:val="0"/>
                <w:color w:val="FFFFFF"/>
                <w:sz w:val="20"/>
              </w:rPr>
              <w:t>Δ vs previous</w:t>
            </w:r>
          </w:p>
        </w:tc>
        <w:tc>
          <w:tcPr>
            <w:tcW w:type="dxa" w:w="1134"/>
            <w:shd w:val="clear" w:color="auto" w:fill="1F3A5F"/>
            <w:vAlign w:val="center"/>
          </w:tcPr>
          <w:p>
            <w:r/>
            <w:r>
              <w:rPr>
                <w:rFonts w:ascii="Calibri" w:hAnsi="Calibri"/>
                <w:b/>
                <w:i w:val="0"/>
                <w:color w:val="FFFFFF"/>
                <w:sz w:val="20"/>
              </w:rPr>
              <w:t>Cumulative yield</w:t>
            </w:r>
          </w:p>
        </w:tc>
        <w:tc>
          <w:tcPr>
            <w:tcW w:type="dxa" w:w="2608"/>
            <w:shd w:val="clear" w:color="auto" w:fill="1F3A5F"/>
            <w:vAlign w:val="center"/>
          </w:tcPr>
          <w:p>
            <w:r/>
            <w:r>
              <w:rPr>
                <w:rFonts w:ascii="Calibri" w:hAnsi="Calibri"/>
                <w:b/>
                <w:i w:val="0"/>
                <w:color w:val="FFFFFF"/>
                <w:sz w:val="20"/>
              </w:rPr>
              <w:t>Decision</w:t>
            </w:r>
          </w:p>
        </w:tc>
      </w:tr>
      <w:tr>
        <w:tc>
          <w:tcPr>
            <w:tcW w:type="dxa" w:w="680"/>
            <w:vAlign w:val="center"/>
          </w:tcPr>
          <w:p>
            <w:r/>
            <w:r>
              <w:rPr>
                <w:rFonts w:ascii="Calibri" w:hAnsi="Calibri"/>
                <w:b w:val="0"/>
                <w:i w:val="0"/>
                <w:sz w:val="20"/>
              </w:rPr>
              <w:t>V1</w:t>
            </w:r>
          </w:p>
        </w:tc>
        <w:tc>
          <w:tcPr>
            <w:tcW w:type="dxa" w:w="3231"/>
            <w:vAlign w:val="center"/>
          </w:tcPr>
          <w:p>
            <w:r/>
            <w:r>
              <w:rPr>
                <w:rFonts w:ascii="Calibri" w:hAnsi="Calibri"/>
                <w:b w:val="0"/>
                <w:i w:val="0"/>
                <w:sz w:val="20"/>
              </w:rPr>
              <w:t>(Java / JVM) ∧ (OCL / EMF / Eclipse / metamodel / model-driven) ∧ Metrics ∧ Microservices ∧ Observability ∧ AI/ML ∧ Architecture ∧ NOT IoT ∧ NOT medicine</w:t>
            </w:r>
          </w:p>
        </w:tc>
        <w:tc>
          <w:tcPr>
            <w:tcW w:type="dxa" w:w="1701"/>
            <w:vAlign w:val="center"/>
          </w:tcPr>
          <w:p>
            <w:r/>
            <w:r>
              <w:rPr>
                <w:rFonts w:ascii="Calibri" w:hAnsi="Calibri"/>
                <w:b w:val="0"/>
                <w:i w:val="0"/>
                <w:sz w:val="20"/>
              </w:rPr>
              <w:t>—</w:t>
            </w:r>
          </w:p>
        </w:tc>
        <w:tc>
          <w:tcPr>
            <w:tcW w:type="dxa" w:w="1134"/>
            <w:vAlign w:val="center"/>
          </w:tcPr>
          <w:p>
            <w:r/>
            <w:r>
              <w:rPr>
                <w:rFonts w:ascii="Calibri" w:hAnsi="Calibri"/>
                <w:b w:val="0"/>
                <w:i w:val="0"/>
                <w:sz w:val="20"/>
              </w:rPr>
              <w:t>&lt; 30 records</w:t>
            </w:r>
          </w:p>
        </w:tc>
        <w:tc>
          <w:tcPr>
            <w:tcW w:type="dxa" w:w="2608"/>
            <w:vAlign w:val="center"/>
          </w:tcPr>
          <w:p>
            <w:r/>
            <w:r>
              <w:rPr>
                <w:rFonts w:ascii="Calibri" w:hAnsi="Calibri"/>
                <w:b w:val="0"/>
                <w:i w:val="0"/>
                <w:sz w:val="20"/>
              </w:rPr>
              <w:t>Rejected — too restrictive.</w:t>
            </w:r>
          </w:p>
        </w:tc>
      </w:tr>
      <w:tr>
        <w:tc>
          <w:tcPr>
            <w:tcW w:type="dxa" w:w="680"/>
            <w:vAlign w:val="center"/>
          </w:tcPr>
          <w:p>
            <w:r/>
            <w:r>
              <w:rPr>
                <w:rFonts w:ascii="Calibri" w:hAnsi="Calibri"/>
                <w:b w:val="0"/>
                <w:i w:val="0"/>
                <w:sz w:val="20"/>
              </w:rPr>
              <w:t>V2</w:t>
            </w:r>
          </w:p>
        </w:tc>
        <w:tc>
          <w:tcPr>
            <w:tcW w:type="dxa" w:w="3231"/>
            <w:vAlign w:val="center"/>
          </w:tcPr>
          <w:p>
            <w:r/>
            <w:r>
              <w:rPr>
                <w:rFonts w:ascii="Calibri" w:hAnsi="Calibri"/>
                <w:b w:val="0"/>
                <w:i w:val="0"/>
                <w:sz w:val="20"/>
              </w:rPr>
              <w:t>(Java / JVM) ∧ (metamodel / model-driven) ∧ Metrics ∧ Microservices ∧ Observability ∧ AI/ML ∧ Architecture ∧ NOT IoT ∧ NOT medicine</w:t>
            </w:r>
          </w:p>
        </w:tc>
        <w:tc>
          <w:tcPr>
            <w:tcW w:type="dxa" w:w="1701"/>
            <w:vAlign w:val="center"/>
          </w:tcPr>
          <w:p>
            <w:r/>
            <w:r>
              <w:rPr>
                <w:rFonts w:ascii="Calibri" w:hAnsi="Calibri"/>
                <w:b w:val="0"/>
                <w:i w:val="0"/>
                <w:sz w:val="20"/>
              </w:rPr>
              <w:t>Removed OCL/EMF/Eclipse from the MDE block.</w:t>
            </w:r>
          </w:p>
        </w:tc>
        <w:tc>
          <w:tcPr>
            <w:tcW w:type="dxa" w:w="1134"/>
            <w:vAlign w:val="center"/>
          </w:tcPr>
          <w:p>
            <w:r/>
            <w:r>
              <w:rPr>
                <w:rFonts w:ascii="Calibri" w:hAnsi="Calibri"/>
                <w:b w:val="0"/>
                <w:i w:val="0"/>
                <w:sz w:val="20"/>
              </w:rPr>
              <w:t>&lt; 80 records</w:t>
            </w:r>
          </w:p>
        </w:tc>
        <w:tc>
          <w:tcPr>
            <w:tcW w:type="dxa" w:w="2608"/>
            <w:vAlign w:val="center"/>
          </w:tcPr>
          <w:p>
            <w:r/>
            <w:r>
              <w:rPr>
                <w:rFonts w:ascii="Calibri" w:hAnsi="Calibri"/>
                <w:b w:val="0"/>
                <w:i w:val="0"/>
                <w:sz w:val="20"/>
              </w:rPr>
              <w:t>Rejected — Java filter still too narrow.</w:t>
            </w:r>
          </w:p>
        </w:tc>
      </w:tr>
      <w:tr>
        <w:tc>
          <w:tcPr>
            <w:tcW w:type="dxa" w:w="680"/>
            <w:vAlign w:val="center"/>
          </w:tcPr>
          <w:p>
            <w:r/>
            <w:r>
              <w:rPr>
                <w:rFonts w:ascii="Calibri" w:hAnsi="Calibri"/>
                <w:b w:val="0"/>
                <w:i w:val="0"/>
                <w:sz w:val="20"/>
              </w:rPr>
              <w:t>V3</w:t>
            </w:r>
          </w:p>
        </w:tc>
        <w:tc>
          <w:tcPr>
            <w:tcW w:type="dxa" w:w="3231"/>
            <w:vAlign w:val="center"/>
          </w:tcPr>
          <w:p>
            <w:r/>
            <w:r>
              <w:rPr>
                <w:rFonts w:ascii="Calibri" w:hAnsi="Calibri"/>
                <w:b w:val="0"/>
                <w:i w:val="0"/>
                <w:sz w:val="20"/>
              </w:rPr>
              <w:t>Metrics ∧ Microservices ∧ Observability ∧ AI/ML ∧ Architecture ∧ NOT IoT ∧ NOT medicine</w:t>
            </w:r>
          </w:p>
        </w:tc>
        <w:tc>
          <w:tcPr>
            <w:tcW w:type="dxa" w:w="1701"/>
            <w:vAlign w:val="center"/>
          </w:tcPr>
          <w:p>
            <w:r/>
            <w:r>
              <w:rPr>
                <w:rFonts w:ascii="Calibri" w:hAnsi="Calibri"/>
                <w:b w:val="0"/>
                <w:i w:val="0"/>
                <w:sz w:val="20"/>
              </w:rPr>
              <w:t>Removed Java and MDE blocks entirely.</w:t>
            </w:r>
          </w:p>
        </w:tc>
        <w:tc>
          <w:tcPr>
            <w:tcW w:type="dxa" w:w="1134"/>
            <w:vAlign w:val="center"/>
          </w:tcPr>
          <w:p>
            <w:r/>
            <w:r>
              <w:rPr>
                <w:rFonts w:ascii="Calibri" w:hAnsi="Calibri"/>
                <w:b w:val="0"/>
                <w:i w:val="0"/>
                <w:sz w:val="20"/>
              </w:rPr>
              <w:t>438 records</w:t>
            </w:r>
          </w:p>
        </w:tc>
        <w:tc>
          <w:tcPr>
            <w:tcW w:type="dxa" w:w="2608"/>
            <w:vAlign w:val="center"/>
          </w:tcPr>
          <w:p>
            <w:r/>
            <w:r>
              <w:rPr>
                <w:rFonts w:ascii="Calibri" w:hAnsi="Calibri"/>
                <w:b w:val="0"/>
                <w:i w:val="0"/>
                <w:sz w:val="20"/>
              </w:rPr>
              <w:t>Used as preliminary baseline; 30 STAR/INC papers in the V3 corpus that did not survive V4 are recovered via snowballing.</w:t>
            </w:r>
          </w:p>
        </w:tc>
      </w:tr>
      <w:tr>
        <w:tc>
          <w:tcPr>
            <w:tcW w:type="dxa" w:w="680"/>
            <w:vAlign w:val="center"/>
          </w:tcPr>
          <w:p>
            <w:r/>
            <w:r>
              <w:rPr>
                <w:rFonts w:ascii="Calibri" w:hAnsi="Calibri"/>
                <w:b w:val="0"/>
                <w:i w:val="0"/>
                <w:sz w:val="20"/>
              </w:rPr>
              <w:t>V4 (final)</w:t>
            </w:r>
          </w:p>
        </w:tc>
        <w:tc>
          <w:tcPr>
            <w:tcW w:type="dxa" w:w="3231"/>
            <w:vAlign w:val="center"/>
          </w:tcPr>
          <w:p>
            <w:r/>
            <w:r>
              <w:rPr>
                <w:rFonts w:ascii="Calibri" w:hAnsi="Calibri"/>
                <w:b w:val="0"/>
                <w:i w:val="0"/>
                <w:sz w:val="20"/>
              </w:rPr>
              <w:t>(metamodel* OR "model-driven" OR MDE OR MDA) ∧ Metrics ∧ Microservices ∧ Observability ∧ AI/ML ∧ Architecture ∧ NOT IoT ∧ NOT medicine</w:t>
            </w:r>
          </w:p>
        </w:tc>
        <w:tc>
          <w:tcPr>
            <w:tcW w:type="dxa" w:w="1701"/>
            <w:vAlign w:val="center"/>
          </w:tcPr>
          <w:p>
            <w:r/>
            <w:r>
              <w:rPr>
                <w:rFonts w:ascii="Calibri" w:hAnsi="Calibri"/>
                <w:b w:val="0"/>
                <w:i w:val="0"/>
                <w:sz w:val="20"/>
              </w:rPr>
              <w:t>Re-introduced MDE block as mandatory conjunct.</w:t>
            </w:r>
          </w:p>
        </w:tc>
        <w:tc>
          <w:tcPr>
            <w:tcW w:type="dxa" w:w="1134"/>
            <w:vAlign w:val="center"/>
          </w:tcPr>
          <w:p>
            <w:r/>
            <w:r>
              <w:rPr>
                <w:rFonts w:ascii="Calibri" w:hAnsi="Calibri"/>
                <w:b w:val="0"/>
                <w:i w:val="0"/>
                <w:sz w:val="20"/>
              </w:rPr>
              <w:t>305 records (234 unique)</w:t>
            </w:r>
          </w:p>
        </w:tc>
        <w:tc>
          <w:tcPr>
            <w:tcW w:type="dxa" w:w="2608"/>
            <w:vAlign w:val="center"/>
          </w:tcPr>
          <w:p>
            <w:r/>
            <w:r>
              <w:rPr>
                <w:rFonts w:ascii="Calibri" w:hAnsi="Calibri"/>
                <w:b w:val="0"/>
                <w:i w:val="0"/>
                <w:sz w:val="20"/>
              </w:rPr>
              <w:t>Accepted — focuses corpus on MDE-aligned literature, snowballing covers V3-only orphans.</w:t>
            </w:r>
          </w:p>
        </w:tc>
      </w:tr>
    </w:tbl>
    <w:p>
      <w:pPr>
        <w:spacing w:before="40" w:after="200"/>
        <w:jc w:val="center"/>
      </w:pPr>
      <w:r>
        <w:rPr>
          <w:rFonts w:ascii="Calibri" w:hAnsi="Calibri"/>
          <w:b w:val="0"/>
          <w:i/>
          <w:color w:val="555555"/>
          <w:sz w:val="18"/>
        </w:rPr>
        <w:t>Table 1 — Evolution of the search string from V1 to V4. Each block of keywords is reported once; the verbatim text of all four versions is reproduced in Appendix D for full auditability.</w:t>
      </w:r>
    </w:p>
    <w:p>
      <w:pPr>
        <w:pStyle w:val="Heading3"/>
        <w:keepNext/>
        <w:spacing w:before="280" w:after="120"/>
      </w:pPr>
      <w:r>
        <w:rPr>
          <w:rFonts w:ascii="Calibri" w:hAnsi="Calibri"/>
          <w:b/>
          <w:i w:val="0"/>
          <w:color w:val="1F3A5F"/>
          <w:sz w:val="24"/>
        </w:rPr>
        <w:t>3.2.2  Keyword ↔ Research-Question Traceability Matrix</w:t>
      </w:r>
    </w:p>
    <w:p>
      <w:pPr>
        <w:spacing w:before="0" w:after="80" w:line="276" w:lineRule="auto"/>
      </w:pPr>
      <w:r>
        <w:rPr>
          <w:rFonts w:ascii="Calibri" w:hAnsi="Calibri"/>
          <w:b w:val="0"/>
          <w:i w:val="0"/>
          <w:sz w:val="22"/>
        </w:rPr>
        <w:t>Kitchenham &amp; Charters require that "search strings are constructed from the research questions" [Kitchenham &amp; Charters, 2007, §6.1.1]. Table 2 traces each concept block of the final V4 search string back to one or more research questions and provides a one-line justification for each term. The mapping is many-to-many: a single primary study typically uses keywords from at least three of the six blocks. This matrix is the foundation for the operationalised Phase-2 criteria of §3.2.6.</w:t>
      </w:r>
    </w:p>
    <w:tbl>
      <w:tblPr>
        <w:tblStyle w:val="LightGrid-Accent1"/>
        <w:tblW w:type="auto" w:w="0"/>
        <w:jc w:val="center"/>
        <w:tblLayout w:type="fixed"/>
        <w:tblLook w:firstColumn="1" w:firstRow="1" w:lastColumn="0" w:lastRow="0" w:noHBand="0" w:noVBand="1" w:val="04A0"/>
      </w:tblPr>
      <w:tblGrid>
        <w:gridCol w:w="2268"/>
        <w:gridCol w:w="2268"/>
        <w:gridCol w:w="2268"/>
        <w:gridCol w:w="2268"/>
      </w:tblGrid>
      <w:tr>
        <w:tc>
          <w:tcPr>
            <w:tcW w:type="dxa" w:w="1417"/>
            <w:shd w:val="clear" w:color="auto" w:fill="1F3A5F"/>
            <w:vAlign w:val="center"/>
          </w:tcPr>
          <w:p>
            <w:r/>
            <w:r>
              <w:rPr>
                <w:rFonts w:ascii="Calibri" w:hAnsi="Calibri"/>
                <w:b/>
                <w:i w:val="0"/>
                <w:color w:val="FFFFFF"/>
                <w:sz w:val="20"/>
              </w:rPr>
              <w:t>Concept block</w:t>
            </w:r>
          </w:p>
        </w:tc>
        <w:tc>
          <w:tcPr>
            <w:tcW w:type="dxa" w:w="3288"/>
            <w:shd w:val="clear" w:color="auto" w:fill="1F3A5F"/>
            <w:vAlign w:val="center"/>
          </w:tcPr>
          <w:p>
            <w:r/>
            <w:r>
              <w:rPr>
                <w:rFonts w:ascii="Calibri" w:hAnsi="Calibri"/>
                <w:b/>
                <w:i w:val="0"/>
                <w:color w:val="FFFFFF"/>
                <w:sz w:val="20"/>
              </w:rPr>
              <w:t>Representative terms</w:t>
            </w:r>
          </w:p>
        </w:tc>
        <w:tc>
          <w:tcPr>
            <w:tcW w:type="dxa" w:w="1020"/>
            <w:shd w:val="clear" w:color="auto" w:fill="1F3A5F"/>
            <w:vAlign w:val="center"/>
          </w:tcPr>
          <w:p>
            <w:r/>
            <w:r>
              <w:rPr>
                <w:rFonts w:ascii="Calibri" w:hAnsi="Calibri"/>
                <w:b/>
                <w:i w:val="0"/>
                <w:color w:val="FFFFFF"/>
                <w:sz w:val="20"/>
              </w:rPr>
              <w:t>Serves RQ(s)</w:t>
            </w:r>
          </w:p>
        </w:tc>
        <w:tc>
          <w:tcPr>
            <w:tcW w:type="dxa" w:w="3061"/>
            <w:shd w:val="clear" w:color="auto" w:fill="1F3A5F"/>
            <w:vAlign w:val="center"/>
          </w:tcPr>
          <w:p>
            <w:r/>
            <w:r>
              <w:rPr>
                <w:rFonts w:ascii="Calibri" w:hAnsi="Calibri"/>
                <w:b/>
                <w:i w:val="0"/>
                <w:color w:val="FFFFFF"/>
                <w:sz w:val="20"/>
              </w:rPr>
              <w:t>Rationale</w:t>
            </w:r>
          </w:p>
        </w:tc>
      </w:tr>
      <w:tr>
        <w:tc>
          <w:tcPr>
            <w:tcW w:type="dxa" w:w="1417"/>
            <w:vAlign w:val="center"/>
          </w:tcPr>
          <w:p>
            <w:r/>
            <w:r>
              <w:rPr>
                <w:rFonts w:ascii="Calibri" w:hAnsi="Calibri"/>
                <w:b w:val="0"/>
                <w:i w:val="0"/>
                <w:sz w:val="20"/>
              </w:rPr>
              <w:t>Architecture (A)</w:t>
            </w:r>
          </w:p>
        </w:tc>
        <w:tc>
          <w:tcPr>
            <w:tcW w:type="dxa" w:w="3288"/>
            <w:vAlign w:val="center"/>
          </w:tcPr>
          <w:p>
            <w:r/>
            <w:r>
              <w:rPr>
                <w:rFonts w:ascii="Calibri" w:hAnsi="Calibri"/>
                <w:b w:val="0"/>
                <w:i w:val="0"/>
                <w:sz w:val="20"/>
              </w:rPr>
              <w:t>architectur*, "software architecture", "architecture evaluation", "architectural metric*", "architectural analysis", "architectural pattern*", "reference architecture", "architecture decision*", "architecture description"</w:t>
            </w:r>
          </w:p>
        </w:tc>
        <w:tc>
          <w:tcPr>
            <w:tcW w:type="dxa" w:w="1020"/>
            <w:vAlign w:val="center"/>
          </w:tcPr>
          <w:p>
            <w:r/>
            <w:r>
              <w:rPr>
                <w:rFonts w:ascii="Calibri" w:hAnsi="Calibri"/>
                <w:b w:val="0"/>
                <w:i w:val="0"/>
                <w:sz w:val="20"/>
              </w:rPr>
              <w:t>RQ1, RQ2</w:t>
            </w:r>
          </w:p>
        </w:tc>
        <w:tc>
          <w:tcPr>
            <w:tcW w:type="dxa" w:w="3061"/>
            <w:vAlign w:val="center"/>
          </w:tcPr>
          <w:p>
            <w:r/>
            <w:r>
              <w:rPr>
                <w:rFonts w:ascii="Calibri" w:hAnsi="Calibri"/>
                <w:b w:val="0"/>
                <w:i w:val="0"/>
                <w:sz w:val="20"/>
              </w:rPr>
              <w:t>Required to find studies that explicitly reason at the architectural level rather than class-level. Wildcards capture both adjectival ("architectural") and nominal ("architecture") usage.</w:t>
            </w:r>
          </w:p>
        </w:tc>
      </w:tr>
      <w:tr>
        <w:tc>
          <w:tcPr>
            <w:tcW w:type="dxa" w:w="1417"/>
            <w:vAlign w:val="center"/>
          </w:tcPr>
          <w:p>
            <w:r/>
            <w:r>
              <w:rPr>
                <w:rFonts w:ascii="Calibri" w:hAnsi="Calibri"/>
                <w:b w:val="0"/>
                <w:i w:val="0"/>
                <w:sz w:val="20"/>
              </w:rPr>
              <w:t>MDE / Metamodel (E)</w:t>
            </w:r>
          </w:p>
        </w:tc>
        <w:tc>
          <w:tcPr>
            <w:tcW w:type="dxa" w:w="3288"/>
            <w:vAlign w:val="center"/>
          </w:tcPr>
          <w:p>
            <w:r/>
            <w:r>
              <w:rPr>
                <w:rFonts w:ascii="Calibri" w:hAnsi="Calibri"/>
                <w:b w:val="0"/>
                <w:i w:val="0"/>
                <w:sz w:val="20"/>
              </w:rPr>
              <w:t>metamodel*, "model-driven", "model-driven engineering", "model-driven architecture", MDE, MDA</w:t>
            </w:r>
          </w:p>
        </w:tc>
        <w:tc>
          <w:tcPr>
            <w:tcW w:type="dxa" w:w="1020"/>
            <w:vAlign w:val="center"/>
          </w:tcPr>
          <w:p>
            <w:r/>
            <w:r>
              <w:rPr>
                <w:rFonts w:ascii="Calibri" w:hAnsi="Calibri"/>
                <w:b w:val="0"/>
                <w:i w:val="0"/>
                <w:sz w:val="20"/>
              </w:rPr>
              <w:t>RQ1, RQ2</w:t>
            </w:r>
          </w:p>
        </w:tc>
        <w:tc>
          <w:tcPr>
            <w:tcW w:type="dxa" w:w="3061"/>
            <w:vAlign w:val="center"/>
          </w:tcPr>
          <w:p>
            <w:r/>
            <w:r>
              <w:rPr>
                <w:rFonts w:ascii="Calibri" w:hAnsi="Calibri"/>
                <w:b w:val="0"/>
                <w:i w:val="0"/>
                <w:sz w:val="20"/>
              </w:rPr>
              <w:t>Added in V4 to focus the corpus on contributions methodologically aligned with the thesis's model-driven approach.</w:t>
            </w:r>
          </w:p>
        </w:tc>
      </w:tr>
      <w:tr>
        <w:tc>
          <w:tcPr>
            <w:tcW w:type="dxa" w:w="1417"/>
            <w:vAlign w:val="center"/>
          </w:tcPr>
          <w:p>
            <w:r/>
            <w:r>
              <w:rPr>
                <w:rFonts w:ascii="Calibri" w:hAnsi="Calibri"/>
                <w:b w:val="0"/>
                <w:i w:val="0"/>
                <w:sz w:val="20"/>
              </w:rPr>
              <w:t>Domain (D)</w:t>
            </w:r>
          </w:p>
        </w:tc>
        <w:tc>
          <w:tcPr>
            <w:tcW w:type="dxa" w:w="3288"/>
            <w:vAlign w:val="center"/>
          </w:tcPr>
          <w:p>
            <w:r/>
            <w:r>
              <w:rPr>
                <w:rFonts w:ascii="Calibri" w:hAnsi="Calibri"/>
                <w:b w:val="0"/>
                <w:i w:val="0"/>
                <w:sz w:val="20"/>
              </w:rPr>
              <w:t>microservice*, "distributed system*", "cloud native", Kubernetes</w:t>
            </w:r>
          </w:p>
        </w:tc>
        <w:tc>
          <w:tcPr>
            <w:tcW w:type="dxa" w:w="1020"/>
            <w:vAlign w:val="center"/>
          </w:tcPr>
          <w:p>
            <w:r/>
            <w:r>
              <w:rPr>
                <w:rFonts w:ascii="Calibri" w:hAnsi="Calibri"/>
                <w:b w:val="0"/>
                <w:i w:val="0"/>
                <w:sz w:val="20"/>
              </w:rPr>
              <w:t>RQ1, RQ3</w:t>
            </w:r>
          </w:p>
        </w:tc>
        <w:tc>
          <w:tcPr>
            <w:tcW w:type="dxa" w:w="3061"/>
            <w:vAlign w:val="center"/>
          </w:tcPr>
          <w:p>
            <w:r/>
            <w:r>
              <w:rPr>
                <w:rFonts w:ascii="Calibri" w:hAnsi="Calibri"/>
                <w:b w:val="0"/>
                <w:i w:val="0"/>
                <w:sz w:val="20"/>
              </w:rPr>
              <w:t>Restricts the corpus to the architectural style targeted by the thesis. Kubernetes is included as the deployment context where architectural decisions become observable through telemetry.</w:t>
            </w:r>
          </w:p>
        </w:tc>
      </w:tr>
      <w:tr>
        <w:tc>
          <w:tcPr>
            <w:tcW w:type="dxa" w:w="1417"/>
            <w:vAlign w:val="center"/>
          </w:tcPr>
          <w:p>
            <w:r/>
            <w:r>
              <w:rPr>
                <w:rFonts w:ascii="Calibri" w:hAnsi="Calibri"/>
                <w:b w:val="0"/>
                <w:i w:val="0"/>
                <w:sz w:val="20"/>
              </w:rPr>
              <w:t>Metrics (M)</w:t>
            </w:r>
          </w:p>
        </w:tc>
        <w:tc>
          <w:tcPr>
            <w:tcW w:type="dxa" w:w="3288"/>
            <w:vAlign w:val="center"/>
          </w:tcPr>
          <w:p>
            <w:r/>
            <w:r>
              <w:rPr>
                <w:rFonts w:ascii="Calibri" w:hAnsi="Calibri"/>
                <w:b w:val="0"/>
                <w:i w:val="0"/>
                <w:sz w:val="20"/>
              </w:rPr>
              <w:t>metric*, "software metric*", "runtime metric*", "quality metric*", "code metric*", "architecture metric*", measurement</w:t>
            </w:r>
          </w:p>
        </w:tc>
        <w:tc>
          <w:tcPr>
            <w:tcW w:type="dxa" w:w="1020"/>
            <w:vAlign w:val="center"/>
          </w:tcPr>
          <w:p>
            <w:r/>
            <w:r>
              <w:rPr>
                <w:rFonts w:ascii="Calibri" w:hAnsi="Calibri"/>
                <w:b w:val="0"/>
                <w:i w:val="0"/>
                <w:sz w:val="20"/>
              </w:rPr>
              <w:t>RQ2, RQ3</w:t>
            </w:r>
          </w:p>
        </w:tc>
        <w:tc>
          <w:tcPr>
            <w:tcW w:type="dxa" w:w="3061"/>
            <w:vAlign w:val="center"/>
          </w:tcPr>
          <w:p>
            <w:r/>
            <w:r>
              <w:rPr>
                <w:rFonts w:ascii="Calibri" w:hAnsi="Calibri"/>
                <w:b w:val="0"/>
                <w:i w:val="0"/>
                <w:sz w:val="20"/>
              </w:rPr>
              <w:t>Selects studies that quantify (rather than only describe) architectural or runtime properties.</w:t>
            </w:r>
          </w:p>
        </w:tc>
      </w:tr>
      <w:tr>
        <w:tc>
          <w:tcPr>
            <w:tcW w:type="dxa" w:w="1417"/>
            <w:vAlign w:val="center"/>
          </w:tcPr>
          <w:p>
            <w:r/>
            <w:r>
              <w:rPr>
                <w:rFonts w:ascii="Calibri" w:hAnsi="Calibri"/>
                <w:b w:val="0"/>
                <w:i w:val="0"/>
                <w:sz w:val="20"/>
              </w:rPr>
              <w:t>Observability (O)</w:t>
            </w:r>
          </w:p>
        </w:tc>
        <w:tc>
          <w:tcPr>
            <w:tcW w:type="dxa" w:w="3288"/>
            <w:vAlign w:val="center"/>
          </w:tcPr>
          <w:p>
            <w:r/>
            <w:r>
              <w:rPr>
                <w:rFonts w:ascii="Calibri" w:hAnsi="Calibri"/>
                <w:b w:val="0"/>
                <w:i w:val="0"/>
                <w:sz w:val="20"/>
              </w:rPr>
              <w:t>observability, telemetry, monitoring, log*, trace*, "distributed tracing"</w:t>
            </w:r>
          </w:p>
        </w:tc>
        <w:tc>
          <w:tcPr>
            <w:tcW w:type="dxa" w:w="1020"/>
            <w:vAlign w:val="center"/>
          </w:tcPr>
          <w:p>
            <w:r/>
            <w:r>
              <w:rPr>
                <w:rFonts w:ascii="Calibri" w:hAnsi="Calibri"/>
                <w:b w:val="0"/>
                <w:i w:val="0"/>
                <w:sz w:val="20"/>
              </w:rPr>
              <w:t>RQ1, RQ3</w:t>
            </w:r>
          </w:p>
        </w:tc>
        <w:tc>
          <w:tcPr>
            <w:tcW w:type="dxa" w:w="3061"/>
            <w:vAlign w:val="center"/>
          </w:tcPr>
          <w:p>
            <w:r/>
            <w:r>
              <w:rPr>
                <w:rFonts w:ascii="Calibri" w:hAnsi="Calibri"/>
                <w:b w:val="0"/>
                <w:i w:val="0"/>
                <w:sz w:val="20"/>
              </w:rPr>
              <w:t>Includes the runtime-evidence dimension required by RQ1 and by RQ3.</w:t>
            </w:r>
          </w:p>
        </w:tc>
      </w:tr>
      <w:tr>
        <w:tc>
          <w:tcPr>
            <w:tcW w:type="dxa" w:w="1417"/>
            <w:vAlign w:val="center"/>
          </w:tcPr>
          <w:p>
            <w:r/>
            <w:r>
              <w:rPr>
                <w:rFonts w:ascii="Calibri" w:hAnsi="Calibri"/>
                <w:b w:val="0"/>
                <w:i w:val="0"/>
                <w:sz w:val="20"/>
              </w:rPr>
              <w:t>AI / ML (L)</w:t>
            </w:r>
          </w:p>
        </w:tc>
        <w:tc>
          <w:tcPr>
            <w:tcW w:type="dxa" w:w="3288"/>
            <w:vAlign w:val="center"/>
          </w:tcPr>
          <w:p>
            <w:r/>
            <w:r>
              <w:rPr>
                <w:rFonts w:ascii="Calibri" w:hAnsi="Calibri"/>
                <w:b w:val="0"/>
                <w:i w:val="0"/>
                <w:sz w:val="20"/>
              </w:rPr>
              <w:t>"machine learning", "artificial intelligence", AI, "metric generation", "automatic metric*", "learned metric*"</w:t>
            </w:r>
          </w:p>
        </w:tc>
        <w:tc>
          <w:tcPr>
            <w:tcW w:type="dxa" w:w="1020"/>
            <w:vAlign w:val="center"/>
          </w:tcPr>
          <w:p>
            <w:r/>
            <w:r>
              <w:rPr>
                <w:rFonts w:ascii="Calibri" w:hAnsi="Calibri"/>
                <w:b w:val="0"/>
                <w:i w:val="0"/>
                <w:sz w:val="20"/>
              </w:rPr>
              <w:t>RQ3, RQ4</w:t>
            </w:r>
          </w:p>
        </w:tc>
        <w:tc>
          <w:tcPr>
            <w:tcW w:type="dxa" w:w="3061"/>
            <w:vAlign w:val="center"/>
          </w:tcPr>
          <w:p>
            <w:r/>
            <w:r>
              <w:rPr>
                <w:rFonts w:ascii="Calibri" w:hAnsi="Calibri"/>
                <w:b w:val="0"/>
                <w:i w:val="0"/>
                <w:sz w:val="20"/>
              </w:rPr>
              <w:t>Captures the AI-supported analysis perspective; covers both the broad ML label and the more specific "automatic/learned metric" formulations.</w:t>
            </w:r>
          </w:p>
        </w:tc>
      </w:tr>
      <w:tr>
        <w:tc>
          <w:tcPr>
            <w:tcW w:type="dxa" w:w="1417"/>
            <w:vAlign w:val="center"/>
          </w:tcPr>
          <w:p>
            <w:r/>
            <w:r>
              <w:rPr>
                <w:rFonts w:ascii="Calibri" w:hAnsi="Calibri"/>
                <w:b w:val="0"/>
                <w:i w:val="0"/>
                <w:sz w:val="20"/>
              </w:rPr>
              <w:t>NOT — IoT/edge (X)</w:t>
            </w:r>
          </w:p>
        </w:tc>
        <w:tc>
          <w:tcPr>
            <w:tcW w:type="dxa" w:w="3288"/>
            <w:vAlign w:val="center"/>
          </w:tcPr>
          <w:p>
            <w:r/>
            <w:r>
              <w:rPr>
                <w:rFonts w:ascii="Calibri" w:hAnsi="Calibri"/>
                <w:b w:val="0"/>
                <w:i w:val="0"/>
                <w:sz w:val="20"/>
              </w:rPr>
              <w:t>IoT, "internet of things", sensor*, "wireless sensor", WSN, "smart home", "smart city", "cyber-physical", "edge computing", "fog computing"</w:t>
            </w:r>
          </w:p>
        </w:tc>
        <w:tc>
          <w:tcPr>
            <w:tcW w:type="dxa" w:w="1020"/>
            <w:vAlign w:val="center"/>
          </w:tcPr>
          <w:p>
            <w:r/>
            <w:r>
              <w:rPr>
                <w:rFonts w:ascii="Calibri" w:hAnsi="Calibri"/>
                <w:b w:val="0"/>
                <w:i w:val="0"/>
                <w:sz w:val="20"/>
              </w:rPr>
              <w:t>— (exclusion)</w:t>
            </w:r>
          </w:p>
        </w:tc>
        <w:tc>
          <w:tcPr>
            <w:tcW w:type="dxa" w:w="3061"/>
            <w:vAlign w:val="center"/>
          </w:tcPr>
          <w:p>
            <w:r/>
            <w:r>
              <w:rPr>
                <w:rFonts w:ascii="Calibri" w:hAnsi="Calibri"/>
                <w:b w:val="0"/>
                <w:i w:val="0"/>
                <w:sz w:val="20"/>
              </w:rPr>
              <w:t>Removes hits where the dominant context is sensor networks or edge/fog computing, which share the same vocabulary but address a different architectural problem.</w:t>
            </w:r>
          </w:p>
        </w:tc>
      </w:tr>
      <w:tr>
        <w:tc>
          <w:tcPr>
            <w:tcW w:type="dxa" w:w="1417"/>
            <w:vAlign w:val="center"/>
          </w:tcPr>
          <w:p>
            <w:r/>
            <w:r>
              <w:rPr>
                <w:rFonts w:ascii="Calibri" w:hAnsi="Calibri"/>
                <w:b w:val="0"/>
                <w:i w:val="0"/>
                <w:sz w:val="20"/>
              </w:rPr>
              <w:t>NOT — biomedical (B)</w:t>
            </w:r>
          </w:p>
        </w:tc>
        <w:tc>
          <w:tcPr>
            <w:tcW w:type="dxa" w:w="3288"/>
            <w:vAlign w:val="center"/>
          </w:tcPr>
          <w:p>
            <w:r/>
            <w:r>
              <w:rPr>
                <w:rFonts w:ascii="Calibri" w:hAnsi="Calibri"/>
                <w:b w:val="0"/>
                <w:i w:val="0"/>
                <w:sz w:val="20"/>
              </w:rPr>
              <w:t>medicine, medical, patient, biology</w:t>
            </w:r>
          </w:p>
        </w:tc>
        <w:tc>
          <w:tcPr>
            <w:tcW w:type="dxa" w:w="1020"/>
            <w:vAlign w:val="center"/>
          </w:tcPr>
          <w:p>
            <w:r/>
            <w:r>
              <w:rPr>
                <w:rFonts w:ascii="Calibri" w:hAnsi="Calibri"/>
                <w:b w:val="0"/>
                <w:i w:val="0"/>
                <w:sz w:val="20"/>
              </w:rPr>
              <w:t>— (exclusion)</w:t>
            </w:r>
          </w:p>
        </w:tc>
        <w:tc>
          <w:tcPr>
            <w:tcW w:type="dxa" w:w="3061"/>
            <w:vAlign w:val="center"/>
          </w:tcPr>
          <w:p>
            <w:r/>
            <w:r>
              <w:rPr>
                <w:rFonts w:ascii="Calibri" w:hAnsi="Calibri"/>
                <w:b w:val="0"/>
                <w:i w:val="0"/>
                <w:sz w:val="20"/>
              </w:rPr>
              <w:t>Removes biomedical-domain hits.</w:t>
            </w:r>
          </w:p>
        </w:tc>
      </w:tr>
    </w:tbl>
    <w:p>
      <w:pPr>
        <w:spacing w:before="40" w:after="200"/>
        <w:jc w:val="center"/>
      </w:pPr>
      <w:r>
        <w:rPr>
          <w:rFonts w:ascii="Calibri" w:hAnsi="Calibri"/>
          <w:b w:val="0"/>
          <w:i/>
          <w:color w:val="555555"/>
          <w:sz w:val="18"/>
        </w:rPr>
        <w:t>Table 2 — Keyword ↔ Research-Question traceability matrix for the final (V4) search string. The single-letter codes in parentheses (A, D, M, O, L, E, X, B) are reused in §3.2.6 to operationalise the Phase-2 screening rule.</w:t>
      </w:r>
    </w:p>
    <w:p>
      <w:pPr>
        <w:pStyle w:val="Heading3"/>
        <w:keepNext/>
        <w:spacing w:before="280" w:after="120"/>
      </w:pPr>
      <w:r>
        <w:rPr>
          <w:rFonts w:ascii="Calibri" w:hAnsi="Calibri"/>
          <w:b/>
          <w:i w:val="0"/>
          <w:color w:val="1F3A5F"/>
          <w:sz w:val="24"/>
        </w:rPr>
        <w:t>3.2.3  Database-Specific Search-String Variants</w:t>
      </w:r>
    </w:p>
    <w:p>
      <w:pPr>
        <w:spacing w:before="0" w:after="80" w:line="276" w:lineRule="auto"/>
      </w:pPr>
      <w:r>
        <w:rPr>
          <w:rFonts w:ascii="Calibri" w:hAnsi="Calibri"/>
          <w:b w:val="0"/>
          <w:i w:val="0"/>
          <w:sz w:val="22"/>
        </w:rPr>
        <w:t>The V4 master search string was adapted to the syntactic conventions of each digital library. The variants preserve the semantics of the master string while reflecting the available field codes, wildcards, and Boolean nesting limits of each library. The full verbatim per-database variants are reproduced in Appendix D. Three databases (IEEE Xplore, SpringerLink, ACM Digital Library) required minor adaptations:</w:t>
      </w:r>
    </w:p>
    <w:p>
      <w:pPr>
        <w:pStyle w:val="ListBullet"/>
        <w:spacing w:after="40"/>
      </w:pPr>
      <w:r>
        <w:rPr>
          <w:rFonts w:ascii="Calibri" w:hAnsi="Calibri"/>
          <w:b w:val="0"/>
          <w:i w:val="0"/>
          <w:sz w:val="22"/>
        </w:rPr>
        <w:t>IEEE Xplore — limit of 10 wildcards per query forced the substitution of some "term*" patterns with explicit OR-expansions of inflected forms (e.g., "log*" → "log OR logs OR logging").</w:t>
      </w:r>
    </w:p>
    <w:p>
      <w:pPr>
        <w:pStyle w:val="ListBullet"/>
        <w:spacing w:after="40"/>
      </w:pPr>
      <w:r>
        <w:rPr>
          <w:rFonts w:ascii="Calibri" w:hAnsi="Calibri"/>
          <w:b w:val="0"/>
          <w:i w:val="0"/>
          <w:sz w:val="22"/>
        </w:rPr>
        <w:t>ACM Digital Library — the default "AllField" scope was too broad (1,667 hits with V3); for V4 the search was scoped to the union of Title, Abstract and Keywords fields, reducing the yield to a manageable 48 hits.</w:t>
      </w:r>
    </w:p>
    <w:p>
      <w:pPr>
        <w:pStyle w:val="ListBullet"/>
        <w:spacing w:after="40"/>
      </w:pPr>
      <w:r>
        <w:rPr>
          <w:rFonts w:ascii="Calibri" w:hAnsi="Calibri"/>
          <w:b w:val="0"/>
          <w:i w:val="0"/>
          <w:sz w:val="22"/>
        </w:rPr>
        <w:t>SpringerLink — only supports full-text search; the yield was accepted as-is (27 hits) and filtered at Phase 2.</w:t>
      </w:r>
    </w:p>
    <w:p>
      <w:pPr>
        <w:pStyle w:val="Heading3"/>
        <w:keepNext/>
        <w:spacing w:before="280" w:after="120"/>
      </w:pPr>
      <w:r>
        <w:rPr>
          <w:rFonts w:ascii="Calibri" w:hAnsi="Calibri"/>
          <w:b/>
          <w:i w:val="0"/>
          <w:color w:val="1F3A5F"/>
          <w:sz w:val="24"/>
        </w:rPr>
        <w:t>3.2.4  Yield per Database and Deduplication</w:t>
      </w:r>
    </w:p>
    <w:p>
      <w:pPr>
        <w:spacing w:before="0" w:after="80" w:line="276" w:lineRule="auto"/>
      </w:pPr>
      <w:r>
        <w:rPr>
          <w:rFonts w:ascii="Calibri" w:hAnsi="Calibri"/>
          <w:b w:val="0"/>
          <w:i w:val="0"/>
          <w:sz w:val="22"/>
        </w:rPr>
        <w:t>Stage 1 of the selection process executed the V4 database-specific variants on each of the five libraries. The cumulative raw yield was 305 records. Table 3 reports the per-database hit count, the number of duplicates removed within and across databases, and the net contribution to the unique pool that entered Phase 2.</w:t>
      </w:r>
    </w:p>
    <w:tbl>
      <w:tblPr>
        <w:tblStyle w:val="LightGrid-Accent1"/>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2268"/>
            <w:shd w:val="clear" w:color="auto" w:fill="1F3A5F"/>
            <w:vAlign w:val="center"/>
          </w:tcPr>
          <w:p>
            <w:r/>
            <w:r>
              <w:rPr>
                <w:rFonts w:ascii="Calibri" w:hAnsi="Calibri"/>
                <w:b/>
                <w:i w:val="0"/>
                <w:color w:val="FFFFFF"/>
                <w:sz w:val="20"/>
              </w:rPr>
              <w:t>Database</w:t>
            </w:r>
          </w:p>
        </w:tc>
        <w:tc>
          <w:tcPr>
            <w:tcW w:type="dxa" w:w="907"/>
            <w:shd w:val="clear" w:color="auto" w:fill="1F3A5F"/>
            <w:vAlign w:val="center"/>
          </w:tcPr>
          <w:p>
            <w:r/>
            <w:r>
              <w:rPr>
                <w:rFonts w:ascii="Calibri" w:hAnsi="Calibri"/>
                <w:b/>
                <w:i w:val="0"/>
                <w:color w:val="FFFFFF"/>
                <w:sz w:val="20"/>
              </w:rPr>
              <w:t>Raw hits</w:t>
            </w:r>
          </w:p>
        </w:tc>
        <w:tc>
          <w:tcPr>
            <w:tcW w:type="dxa" w:w="1474"/>
            <w:shd w:val="clear" w:color="auto" w:fill="1F3A5F"/>
            <w:vAlign w:val="center"/>
          </w:tcPr>
          <w:p>
            <w:r/>
            <w:r>
              <w:rPr>
                <w:rFonts w:ascii="Calibri" w:hAnsi="Calibri"/>
                <w:b/>
                <w:i w:val="0"/>
                <w:color w:val="FFFFFF"/>
                <w:sz w:val="20"/>
              </w:rPr>
              <w:t>Intra-DB dup. removed</w:t>
            </w:r>
          </w:p>
        </w:tc>
        <w:tc>
          <w:tcPr>
            <w:tcW w:type="dxa" w:w="964"/>
            <w:shd w:val="clear" w:color="auto" w:fill="1F3A5F"/>
            <w:vAlign w:val="center"/>
          </w:tcPr>
          <w:p>
            <w:r/>
            <w:r>
              <w:rPr>
                <w:rFonts w:ascii="Calibri" w:hAnsi="Calibri"/>
                <w:b/>
                <w:i w:val="0"/>
                <w:color w:val="FFFFFF"/>
                <w:sz w:val="20"/>
              </w:rPr>
              <w:t>Net unique</w:t>
            </w:r>
          </w:p>
        </w:tc>
        <w:tc>
          <w:tcPr>
            <w:tcW w:type="dxa" w:w="1701"/>
            <w:shd w:val="clear" w:color="auto" w:fill="1F3A5F"/>
            <w:vAlign w:val="center"/>
          </w:tcPr>
          <w:p>
            <w:r/>
            <w:r>
              <w:rPr>
                <w:rFonts w:ascii="Calibri" w:hAnsi="Calibri"/>
                <w:b/>
                <w:i w:val="0"/>
                <w:color w:val="FFFFFF"/>
                <w:sz w:val="20"/>
              </w:rPr>
              <w:t>Cross-DB dup. with other DBs</w:t>
            </w:r>
          </w:p>
        </w:tc>
        <w:tc>
          <w:tcPr>
            <w:tcW w:type="dxa" w:w="964"/>
            <w:shd w:val="clear" w:color="auto" w:fill="1F3A5F"/>
            <w:vAlign w:val="center"/>
          </w:tcPr>
          <w:p>
            <w:r/>
            <w:r>
              <w:rPr>
                <w:rFonts w:ascii="Calibri" w:hAnsi="Calibri"/>
                <w:b/>
                <w:i w:val="0"/>
                <w:color w:val="FFFFFF"/>
                <w:sz w:val="20"/>
              </w:rPr>
              <w:t>% of 234</w:t>
            </w:r>
          </w:p>
        </w:tc>
      </w:tr>
      <w:tr>
        <w:tc>
          <w:tcPr>
            <w:tcW w:type="dxa" w:w="2268"/>
            <w:vAlign w:val="center"/>
          </w:tcPr>
          <w:p>
            <w:r/>
            <w:r>
              <w:rPr>
                <w:rFonts w:ascii="Calibri" w:hAnsi="Calibri"/>
                <w:b w:val="0"/>
                <w:i w:val="0"/>
                <w:sz w:val="20"/>
              </w:rPr>
              <w:t>ACM Digital Library</w:t>
            </w:r>
          </w:p>
        </w:tc>
        <w:tc>
          <w:tcPr>
            <w:tcW w:type="dxa" w:w="907"/>
            <w:vAlign w:val="center"/>
          </w:tcPr>
          <w:p>
            <w:r/>
            <w:r>
              <w:rPr>
                <w:rFonts w:ascii="Calibri" w:hAnsi="Calibri"/>
                <w:b w:val="0"/>
                <w:i w:val="0"/>
                <w:sz w:val="20"/>
              </w:rPr>
              <w:t>48</w:t>
            </w:r>
          </w:p>
        </w:tc>
        <w:tc>
          <w:tcPr>
            <w:tcW w:type="dxa" w:w="1474"/>
            <w:vAlign w:val="center"/>
          </w:tcPr>
          <w:p>
            <w:r/>
            <w:r>
              <w:rPr>
                <w:rFonts w:ascii="Calibri" w:hAnsi="Calibri"/>
                <w:b w:val="0"/>
                <w:i w:val="0"/>
                <w:sz w:val="20"/>
              </w:rPr>
              <w:t>0</w:t>
            </w:r>
          </w:p>
        </w:tc>
        <w:tc>
          <w:tcPr>
            <w:tcW w:type="dxa" w:w="964"/>
            <w:vAlign w:val="center"/>
          </w:tcPr>
          <w:p>
            <w:r/>
            <w:r>
              <w:rPr>
                <w:rFonts w:ascii="Calibri" w:hAnsi="Calibri"/>
                <w:b w:val="0"/>
                <w:i w:val="0"/>
                <w:sz w:val="20"/>
              </w:rPr>
              <w:t>48</w:t>
            </w:r>
          </w:p>
        </w:tc>
        <w:tc>
          <w:tcPr>
            <w:tcW w:type="dxa" w:w="1701"/>
            <w:vAlign w:val="center"/>
          </w:tcPr>
          <w:p>
            <w:r/>
            <w:r>
              <w:rPr>
                <w:rFonts w:ascii="Calibri" w:hAnsi="Calibri"/>
                <w:b w:val="0"/>
                <w:i w:val="0"/>
                <w:sz w:val="20"/>
              </w:rPr>
              <w:t>0</w:t>
            </w:r>
          </w:p>
        </w:tc>
        <w:tc>
          <w:tcPr>
            <w:tcW w:type="dxa" w:w="964"/>
            <w:vAlign w:val="center"/>
          </w:tcPr>
          <w:p>
            <w:r/>
            <w:r>
              <w:rPr>
                <w:rFonts w:ascii="Calibri" w:hAnsi="Calibri"/>
                <w:b w:val="0"/>
                <w:i w:val="0"/>
                <w:sz w:val="20"/>
              </w:rPr>
              <w:t>20.5 %</w:t>
            </w:r>
          </w:p>
        </w:tc>
      </w:tr>
      <w:tr>
        <w:tc>
          <w:tcPr>
            <w:tcW w:type="dxa" w:w="2268"/>
            <w:vAlign w:val="center"/>
          </w:tcPr>
          <w:p>
            <w:r/>
            <w:r>
              <w:rPr>
                <w:rFonts w:ascii="Calibri" w:hAnsi="Calibri"/>
                <w:b w:val="0"/>
                <w:i w:val="0"/>
                <w:sz w:val="20"/>
              </w:rPr>
              <w:t>IEEE Xplore</w:t>
            </w:r>
          </w:p>
        </w:tc>
        <w:tc>
          <w:tcPr>
            <w:tcW w:type="dxa" w:w="907"/>
            <w:vAlign w:val="center"/>
          </w:tcPr>
          <w:p>
            <w:r/>
            <w:r>
              <w:rPr>
                <w:rFonts w:ascii="Calibri" w:hAnsi="Calibri"/>
                <w:b w:val="0"/>
                <w:i w:val="0"/>
                <w:sz w:val="20"/>
              </w:rPr>
              <w:t>27</w:t>
            </w:r>
          </w:p>
        </w:tc>
        <w:tc>
          <w:tcPr>
            <w:tcW w:type="dxa" w:w="1474"/>
            <w:vAlign w:val="center"/>
          </w:tcPr>
          <w:p>
            <w:r/>
            <w:r>
              <w:rPr>
                <w:rFonts w:ascii="Calibri" w:hAnsi="Calibri"/>
                <w:b w:val="0"/>
                <w:i w:val="0"/>
                <w:sz w:val="20"/>
              </w:rPr>
              <w:t>0</w:t>
            </w:r>
          </w:p>
        </w:tc>
        <w:tc>
          <w:tcPr>
            <w:tcW w:type="dxa" w:w="964"/>
            <w:vAlign w:val="center"/>
          </w:tcPr>
          <w:p>
            <w:r/>
            <w:r>
              <w:rPr>
                <w:rFonts w:ascii="Calibri" w:hAnsi="Calibri"/>
                <w:b w:val="0"/>
                <w:i w:val="0"/>
                <w:sz w:val="20"/>
              </w:rPr>
              <w:t>27</w:t>
            </w:r>
          </w:p>
        </w:tc>
        <w:tc>
          <w:tcPr>
            <w:tcW w:type="dxa" w:w="1701"/>
            <w:vAlign w:val="center"/>
          </w:tcPr>
          <w:p>
            <w:r/>
            <w:r>
              <w:rPr>
                <w:rFonts w:ascii="Calibri" w:hAnsi="Calibri"/>
                <w:b w:val="0"/>
                <w:i w:val="0"/>
                <w:sz w:val="20"/>
              </w:rPr>
              <w:t>0</w:t>
            </w:r>
          </w:p>
        </w:tc>
        <w:tc>
          <w:tcPr>
            <w:tcW w:type="dxa" w:w="964"/>
            <w:vAlign w:val="center"/>
          </w:tcPr>
          <w:p>
            <w:r/>
            <w:r>
              <w:rPr>
                <w:rFonts w:ascii="Calibri" w:hAnsi="Calibri"/>
                <w:b w:val="0"/>
                <w:i w:val="0"/>
                <w:sz w:val="20"/>
              </w:rPr>
              <w:t>11.5 %</w:t>
            </w:r>
          </w:p>
        </w:tc>
      </w:tr>
      <w:tr>
        <w:tc>
          <w:tcPr>
            <w:tcW w:type="dxa" w:w="2268"/>
            <w:vAlign w:val="center"/>
          </w:tcPr>
          <w:p>
            <w:r/>
            <w:r>
              <w:rPr>
                <w:rFonts w:ascii="Calibri" w:hAnsi="Calibri"/>
                <w:b w:val="0"/>
                <w:i w:val="0"/>
                <w:sz w:val="20"/>
              </w:rPr>
              <w:t>SpringerLink</w:t>
            </w:r>
          </w:p>
        </w:tc>
        <w:tc>
          <w:tcPr>
            <w:tcW w:type="dxa" w:w="907"/>
            <w:vAlign w:val="center"/>
          </w:tcPr>
          <w:p>
            <w:r/>
            <w:r>
              <w:rPr>
                <w:rFonts w:ascii="Calibri" w:hAnsi="Calibri"/>
                <w:b w:val="0"/>
                <w:i w:val="0"/>
                <w:sz w:val="20"/>
              </w:rPr>
              <w:t>27</w:t>
            </w:r>
          </w:p>
        </w:tc>
        <w:tc>
          <w:tcPr>
            <w:tcW w:type="dxa" w:w="1474"/>
            <w:vAlign w:val="center"/>
          </w:tcPr>
          <w:p>
            <w:r/>
            <w:r>
              <w:rPr>
                <w:rFonts w:ascii="Calibri" w:hAnsi="Calibri"/>
                <w:b w:val="0"/>
                <w:i w:val="0"/>
                <w:sz w:val="20"/>
              </w:rPr>
              <w:t>4</w:t>
            </w:r>
          </w:p>
        </w:tc>
        <w:tc>
          <w:tcPr>
            <w:tcW w:type="dxa" w:w="964"/>
            <w:vAlign w:val="center"/>
          </w:tcPr>
          <w:p>
            <w:r/>
            <w:r>
              <w:rPr>
                <w:rFonts w:ascii="Calibri" w:hAnsi="Calibri"/>
                <w:b w:val="0"/>
                <w:i w:val="0"/>
                <w:sz w:val="20"/>
              </w:rPr>
              <w:t>23</w:t>
            </w:r>
          </w:p>
        </w:tc>
        <w:tc>
          <w:tcPr>
            <w:tcW w:type="dxa" w:w="1701"/>
            <w:vAlign w:val="center"/>
          </w:tcPr>
          <w:p>
            <w:r/>
            <w:r>
              <w:rPr>
                <w:rFonts w:ascii="Calibri" w:hAnsi="Calibri"/>
                <w:b w:val="0"/>
                <w:i w:val="0"/>
                <w:sz w:val="20"/>
              </w:rPr>
              <w:t>0</w:t>
            </w:r>
          </w:p>
        </w:tc>
        <w:tc>
          <w:tcPr>
            <w:tcW w:type="dxa" w:w="964"/>
            <w:vAlign w:val="center"/>
          </w:tcPr>
          <w:p>
            <w:r/>
            <w:r>
              <w:rPr>
                <w:rFonts w:ascii="Calibri" w:hAnsi="Calibri"/>
                <w:b w:val="0"/>
                <w:i w:val="0"/>
                <w:sz w:val="20"/>
              </w:rPr>
              <w:t>9.8 %</w:t>
            </w:r>
          </w:p>
        </w:tc>
      </w:tr>
      <w:tr>
        <w:tc>
          <w:tcPr>
            <w:tcW w:type="dxa" w:w="2268"/>
            <w:vAlign w:val="center"/>
          </w:tcPr>
          <w:p>
            <w:r/>
            <w:r>
              <w:rPr>
                <w:rFonts w:ascii="Calibri" w:hAnsi="Calibri"/>
                <w:b w:val="0"/>
                <w:i w:val="0"/>
                <w:sz w:val="20"/>
              </w:rPr>
              <w:t>Scopus</w:t>
            </w:r>
          </w:p>
        </w:tc>
        <w:tc>
          <w:tcPr>
            <w:tcW w:type="dxa" w:w="907"/>
            <w:vAlign w:val="center"/>
          </w:tcPr>
          <w:p>
            <w:r/>
            <w:r>
              <w:rPr>
                <w:rFonts w:ascii="Calibri" w:hAnsi="Calibri"/>
                <w:b w:val="0"/>
                <w:i w:val="0"/>
                <w:sz w:val="20"/>
              </w:rPr>
              <w:t>175</w:t>
            </w:r>
          </w:p>
        </w:tc>
        <w:tc>
          <w:tcPr>
            <w:tcW w:type="dxa" w:w="1474"/>
            <w:vAlign w:val="center"/>
          </w:tcPr>
          <w:p>
            <w:r/>
            <w:r>
              <w:rPr>
                <w:rFonts w:ascii="Calibri" w:hAnsi="Calibri"/>
                <w:b w:val="0"/>
                <w:i w:val="0"/>
                <w:sz w:val="20"/>
              </w:rPr>
              <w:t>1</w:t>
            </w:r>
          </w:p>
        </w:tc>
        <w:tc>
          <w:tcPr>
            <w:tcW w:type="dxa" w:w="964"/>
            <w:vAlign w:val="center"/>
          </w:tcPr>
          <w:p>
            <w:r/>
            <w:r>
              <w:rPr>
                <w:rFonts w:ascii="Calibri" w:hAnsi="Calibri"/>
                <w:b w:val="0"/>
                <w:i w:val="0"/>
                <w:sz w:val="20"/>
              </w:rPr>
              <w:t>174</w:t>
            </w:r>
          </w:p>
        </w:tc>
        <w:tc>
          <w:tcPr>
            <w:tcW w:type="dxa" w:w="1701"/>
            <w:vAlign w:val="center"/>
          </w:tcPr>
          <w:p>
            <w:r/>
            <w:r>
              <w:rPr>
                <w:rFonts w:ascii="Calibri" w:hAnsi="Calibri"/>
                <w:b w:val="0"/>
                <w:i w:val="0"/>
                <w:sz w:val="20"/>
              </w:rPr>
              <w:t>3</w:t>
            </w:r>
          </w:p>
        </w:tc>
        <w:tc>
          <w:tcPr>
            <w:tcW w:type="dxa" w:w="964"/>
            <w:vAlign w:val="center"/>
          </w:tcPr>
          <w:p>
            <w:r/>
            <w:r>
              <w:rPr>
                <w:rFonts w:ascii="Calibri" w:hAnsi="Calibri"/>
                <w:b w:val="0"/>
                <w:i w:val="0"/>
                <w:sz w:val="20"/>
              </w:rPr>
              <w:t>74.4 %</w:t>
            </w:r>
          </w:p>
        </w:tc>
      </w:tr>
      <w:tr>
        <w:tc>
          <w:tcPr>
            <w:tcW w:type="dxa" w:w="2268"/>
            <w:vAlign w:val="center"/>
          </w:tcPr>
          <w:p>
            <w:r/>
            <w:r>
              <w:rPr>
                <w:rFonts w:ascii="Calibri" w:hAnsi="Calibri"/>
                <w:b w:val="0"/>
                <w:i w:val="0"/>
                <w:sz w:val="20"/>
              </w:rPr>
              <w:t>Web of Science</w:t>
            </w:r>
          </w:p>
        </w:tc>
        <w:tc>
          <w:tcPr>
            <w:tcW w:type="dxa" w:w="907"/>
            <w:vAlign w:val="center"/>
          </w:tcPr>
          <w:p>
            <w:r/>
            <w:r>
              <w:rPr>
                <w:rFonts w:ascii="Calibri" w:hAnsi="Calibri"/>
                <w:b w:val="0"/>
                <w:i w:val="0"/>
                <w:sz w:val="20"/>
              </w:rPr>
              <w:t>28</w:t>
            </w:r>
          </w:p>
        </w:tc>
        <w:tc>
          <w:tcPr>
            <w:tcW w:type="dxa" w:w="1474"/>
            <w:vAlign w:val="center"/>
          </w:tcPr>
          <w:p>
            <w:r/>
            <w:r>
              <w:rPr>
                <w:rFonts w:ascii="Calibri" w:hAnsi="Calibri"/>
                <w:b w:val="0"/>
                <w:i w:val="0"/>
                <w:sz w:val="20"/>
              </w:rPr>
              <w:t>10</w:t>
            </w:r>
          </w:p>
        </w:tc>
        <w:tc>
          <w:tcPr>
            <w:tcW w:type="dxa" w:w="964"/>
            <w:vAlign w:val="center"/>
          </w:tcPr>
          <w:p>
            <w:r/>
            <w:r>
              <w:rPr>
                <w:rFonts w:ascii="Calibri" w:hAnsi="Calibri"/>
                <w:b w:val="0"/>
                <w:i w:val="0"/>
                <w:sz w:val="20"/>
              </w:rPr>
              <w:t>18</w:t>
            </w:r>
          </w:p>
        </w:tc>
        <w:tc>
          <w:tcPr>
            <w:tcW w:type="dxa" w:w="1701"/>
            <w:vAlign w:val="center"/>
          </w:tcPr>
          <w:p>
            <w:r/>
            <w:r>
              <w:rPr>
                <w:rFonts w:ascii="Calibri" w:hAnsi="Calibri"/>
                <w:b w:val="0"/>
                <w:i w:val="0"/>
                <w:sz w:val="20"/>
              </w:rPr>
              <w:t>7</w:t>
            </w:r>
          </w:p>
        </w:tc>
        <w:tc>
          <w:tcPr>
            <w:tcW w:type="dxa" w:w="964"/>
            <w:vAlign w:val="center"/>
          </w:tcPr>
          <w:p>
            <w:r/>
            <w:r>
              <w:rPr>
                <w:rFonts w:ascii="Calibri" w:hAnsi="Calibri"/>
                <w:b w:val="0"/>
                <w:i w:val="0"/>
                <w:sz w:val="20"/>
              </w:rPr>
              <w:t>7.7 %</w:t>
            </w:r>
          </w:p>
        </w:tc>
      </w:tr>
      <w:tr>
        <w:tc>
          <w:tcPr>
            <w:tcW w:type="dxa" w:w="2268"/>
            <w:vAlign w:val="center"/>
          </w:tcPr>
          <w:p>
            <w:r/>
            <w:r>
              <w:rPr>
                <w:rFonts w:ascii="Calibri" w:hAnsi="Calibri"/>
                <w:b w:val="0"/>
                <w:i w:val="0"/>
                <w:sz w:val="20"/>
              </w:rPr>
              <w:t>TOTAL raw</w:t>
            </w:r>
          </w:p>
        </w:tc>
        <w:tc>
          <w:tcPr>
            <w:tcW w:type="dxa" w:w="907"/>
            <w:vAlign w:val="center"/>
          </w:tcPr>
          <w:p>
            <w:r/>
            <w:r>
              <w:rPr>
                <w:rFonts w:ascii="Calibri" w:hAnsi="Calibri"/>
                <w:b w:val="0"/>
                <w:i w:val="0"/>
                <w:sz w:val="20"/>
              </w:rPr>
              <w:t>305</w:t>
            </w:r>
          </w:p>
        </w:tc>
        <w:tc>
          <w:tcPr>
            <w:tcW w:type="dxa" w:w="1474"/>
            <w:vAlign w:val="center"/>
          </w:tcPr>
          <w:p>
            <w:r/>
            <w:r>
              <w:rPr>
                <w:rFonts w:ascii="Calibri" w:hAnsi="Calibri"/>
                <w:b w:val="0"/>
                <w:i w:val="0"/>
                <w:sz w:val="20"/>
              </w:rPr>
              <w:t>15</w:t>
            </w:r>
          </w:p>
        </w:tc>
        <w:tc>
          <w:tcPr>
            <w:tcW w:type="dxa" w:w="964"/>
            <w:vAlign w:val="center"/>
          </w:tcPr>
          <w:p>
            <w:r/>
            <w:r>
              <w:rPr>
                <w:rFonts w:ascii="Calibri" w:hAnsi="Calibri"/>
                <w:b w:val="0"/>
                <w:i w:val="0"/>
                <w:sz w:val="20"/>
              </w:rPr>
              <w:t>—</w:t>
            </w:r>
          </w:p>
        </w:tc>
        <w:tc>
          <w:tcPr>
            <w:tcW w:type="dxa" w:w="1701"/>
            <w:vAlign w:val="center"/>
          </w:tcPr>
          <w:p>
            <w:r/>
            <w:r>
              <w:rPr>
                <w:rFonts w:ascii="Calibri" w:hAnsi="Calibri"/>
                <w:b w:val="0"/>
                <w:i w:val="0"/>
                <w:sz w:val="20"/>
              </w:rPr>
              <w:t>10</w:t>
            </w:r>
          </w:p>
        </w:tc>
        <w:tc>
          <w:tcPr>
            <w:tcW w:type="dxa" w:w="964"/>
            <w:vAlign w:val="center"/>
          </w:tcPr>
          <w:p>
            <w:r/>
            <w:r>
              <w:rPr>
                <w:rFonts w:ascii="Calibri" w:hAnsi="Calibri"/>
                <w:b w:val="0"/>
                <w:i w:val="0"/>
                <w:sz w:val="20"/>
              </w:rPr>
              <w:t>—</w:t>
            </w:r>
          </w:p>
        </w:tc>
      </w:tr>
      <w:tr>
        <w:tc>
          <w:tcPr>
            <w:tcW w:type="dxa" w:w="2268"/>
            <w:vAlign w:val="center"/>
          </w:tcPr>
          <w:p>
            <w:r/>
            <w:r>
              <w:rPr>
                <w:rFonts w:ascii="Calibri" w:hAnsi="Calibri"/>
                <w:b w:val="0"/>
                <w:i w:val="0"/>
                <w:sz w:val="20"/>
              </w:rPr>
              <w:t>Cross-DB unique pool</w:t>
            </w:r>
          </w:p>
        </w:tc>
        <w:tc>
          <w:tcPr>
            <w:tcW w:type="dxa" w:w="907"/>
            <w:vAlign w:val="center"/>
          </w:tcPr>
          <w:p>
            <w:r/>
            <w:r>
              <w:rPr>
                <w:rFonts w:ascii="Calibri" w:hAnsi="Calibri"/>
                <w:b w:val="0"/>
                <w:i w:val="0"/>
                <w:sz w:val="20"/>
              </w:rPr>
              <w:t>—</w:t>
            </w:r>
          </w:p>
        </w:tc>
        <w:tc>
          <w:tcPr>
            <w:tcW w:type="dxa" w:w="1474"/>
            <w:vAlign w:val="center"/>
          </w:tcPr>
          <w:p>
            <w:r/>
            <w:r>
              <w:rPr>
                <w:rFonts w:ascii="Calibri" w:hAnsi="Calibri"/>
                <w:b w:val="0"/>
                <w:i w:val="0"/>
                <w:sz w:val="20"/>
              </w:rPr>
              <w:t>—</w:t>
            </w:r>
          </w:p>
        </w:tc>
        <w:tc>
          <w:tcPr>
            <w:tcW w:type="dxa" w:w="964"/>
            <w:vAlign w:val="center"/>
          </w:tcPr>
          <w:p>
            <w:r/>
            <w:r>
              <w:rPr>
                <w:rFonts w:ascii="Calibri" w:hAnsi="Calibri"/>
                <w:b w:val="0"/>
                <w:i w:val="0"/>
                <w:sz w:val="20"/>
              </w:rPr>
              <w:t>234</w:t>
            </w:r>
          </w:p>
        </w:tc>
        <w:tc>
          <w:tcPr>
            <w:tcW w:type="dxa" w:w="1701"/>
            <w:vAlign w:val="center"/>
          </w:tcPr>
          <w:p>
            <w:r/>
            <w:r>
              <w:rPr>
                <w:rFonts w:ascii="Calibri" w:hAnsi="Calibri"/>
                <w:b w:val="0"/>
                <w:i w:val="0"/>
                <w:sz w:val="20"/>
              </w:rPr>
              <w:t>—</w:t>
            </w:r>
          </w:p>
        </w:tc>
        <w:tc>
          <w:tcPr>
            <w:tcW w:type="dxa" w:w="964"/>
            <w:vAlign w:val="center"/>
          </w:tcPr>
          <w:p>
            <w:r/>
            <w:r>
              <w:rPr>
                <w:rFonts w:ascii="Calibri" w:hAnsi="Calibri"/>
                <w:b w:val="0"/>
                <w:i w:val="0"/>
                <w:sz w:val="20"/>
              </w:rPr>
              <w:t>100 %</w:t>
            </w:r>
          </w:p>
        </w:tc>
      </w:tr>
    </w:tbl>
    <w:p>
      <w:pPr>
        <w:spacing w:before="40" w:after="200"/>
        <w:jc w:val="center"/>
      </w:pPr>
      <w:r>
        <w:rPr>
          <w:rFonts w:ascii="Calibri" w:hAnsi="Calibri"/>
          <w:b w:val="0"/>
          <w:i/>
          <w:color w:val="555555"/>
          <w:sz w:val="18"/>
        </w:rPr>
        <w:t>Table 3 — Per-database yield and deduplication breakdown for the V4 search (Phase 1). The 234 unique records are the input to Phase 2 screening.</w:t>
      </w:r>
    </w:p>
    <w:p>
      <w:pPr>
        <w:pStyle w:val="Heading3"/>
        <w:keepNext/>
        <w:spacing w:before="280" w:after="120"/>
      </w:pPr>
      <w:r>
        <w:rPr>
          <w:rFonts w:ascii="Calibri" w:hAnsi="Calibri"/>
          <w:b/>
          <w:i w:val="0"/>
          <w:color w:val="1F3A5F"/>
          <w:sz w:val="24"/>
        </w:rPr>
        <w:t>3.2.5  Selection Process — Phases 1 to 4 (PRISMA + backward snowballing)</w:t>
      </w:r>
    </w:p>
    <w:p>
      <w:pPr>
        <w:spacing w:before="0" w:after="80" w:line="276" w:lineRule="auto"/>
      </w:pPr>
      <w:r>
        <w:rPr>
          <w:rFonts w:ascii="Calibri" w:hAnsi="Calibri"/>
          <w:b w:val="0"/>
          <w:i w:val="0"/>
          <w:sz w:val="22"/>
        </w:rPr>
        <w:t>A four-phase selection process was followed, complemented by a backward-snowballing branch that recovers V3-validated studies missed by V4. The Mendeley classification used during the work maps onto the phases as follows: Phase 1 = automated search + deduplication (§3.2.4) PLUS backward snowballing from the V3 candidate pool; Phase 2 = title/abstract screening with the operationalised criteria of §3.2.6 (Mendeley labels PHASE1_INC vs PHASE1_EXC); Phase 3 = full intro/methods/conclusion reading with the criteria of §3.2.7; Phase 4 = quality assessment with the Dybå &amp; Dingsøyr rubric of §3.2.8, complemented by the STAR label given to the studies of highest alignment with the thesis RQs.</w:t>
      </w:r>
    </w:p>
    <w:p>
      <w:pPr>
        <w:spacing w:before="160" w:after="40"/>
        <w:jc w:val="center"/>
      </w:pPr>
      <w:r>
        <w:drawing>
          <wp:inline xmlns:a="http://schemas.openxmlformats.org/drawingml/2006/main" xmlns:pic="http://schemas.openxmlformats.org/drawingml/2006/picture">
            <wp:extent cx="5760000" cy="2145949"/>
            <wp:docPr id="1" name="Picture 1"/>
            <wp:cNvGraphicFramePr>
              <a:graphicFrameLocks noChangeAspect="1"/>
            </wp:cNvGraphicFramePr>
            <a:graphic>
              <a:graphicData uri="http://schemas.openxmlformats.org/drawingml/2006/picture">
                <pic:pic>
                  <pic:nvPicPr>
                    <pic:cNvPr id="0" name="chart_prisma.png"/>
                    <pic:cNvPicPr/>
                  </pic:nvPicPr>
                  <pic:blipFill>
                    <a:blip r:embed="rId9"/>
                    <a:stretch>
                      <a:fillRect/>
                    </a:stretch>
                  </pic:blipFill>
                  <pic:spPr>
                    <a:xfrm>
                      <a:off x="0" y="0"/>
                      <a:ext cx="5760000" cy="2145949"/>
                    </a:xfrm>
                    <a:prstGeom prst="rect"/>
                  </pic:spPr>
                </pic:pic>
              </a:graphicData>
            </a:graphic>
          </wp:inline>
        </w:drawing>
      </w:r>
    </w:p>
    <w:p>
      <w:pPr>
        <w:spacing w:before="40" w:after="200"/>
        <w:jc w:val="center"/>
      </w:pPr>
      <w:r>
        <w:rPr>
          <w:rFonts w:ascii="Calibri" w:hAnsi="Calibri"/>
          <w:b w:val="0"/>
          <w:i/>
          <w:color w:val="555555"/>
          <w:sz w:val="18"/>
        </w:rPr>
        <w:t>Figure 1 — PRISMA-style funnel for the V4 + backward-snowballing protocol. 305 V4 raw + 34 V3-orphan candidates (via snowballing) = 339 records enter Phase 1; 234 + 34 = 268 unique candidates enter Phase 2; 113 primary studies emerge after Phase 2 screening and remain throughout Phase 3 and Phase 4 of this draft (Phase 3/4 will further filter the corpus as full-text reading proceeds).</w:t>
      </w:r>
    </w:p>
    <w:p>
      <w:pPr>
        <w:spacing w:before="0" w:after="80" w:line="276" w:lineRule="auto"/>
      </w:pPr>
      <w:r>
        <w:rPr>
          <w:rFonts w:ascii="Calibri" w:hAnsi="Calibri"/>
          <w:b w:val="0"/>
          <w:i w:val="0"/>
          <w:sz w:val="22"/>
        </w:rPr>
        <w:t>The backward-snowballing branch is a documented part of the protocol. During the preliminary V3 screening, the candidate identified 34 papers (4 STARs and 30 phase1_inc) that V4 did not re-locate because they do not use the MDE vocabulary explicitly in their title, abstract or keywords. Rather than discarding these previously-validated contributions, the protocol uses them as a snowballing seed: each paper is re-located in its host database (documented in Appendix E) and added to the Phase 2 input set. This is a standard application of [Kitchenham &amp; Charters, 2007, §6.1.1] — "Initial searches for primary studies can be undertaken using digital libraries but this is not sufficient for a full systematic review. Other sources of evidence must also be searched (sometimes manually) including: reference lists from relevant primary studies and review articles..."</w:t>
      </w:r>
    </w:p>
    <w:tbl>
      <w:tblPr>
        <w:tblStyle w:val="LightGrid-Accent1"/>
        <w:tblW w:type="auto" w:w="0"/>
        <w:jc w:val="center"/>
        <w:tblLayout w:type="fixed"/>
        <w:tblLook w:firstColumn="1" w:firstRow="1" w:lastColumn="0" w:lastRow="0" w:noHBand="0" w:noVBand="1" w:val="04A0"/>
      </w:tblPr>
      <w:tblGrid>
        <w:gridCol w:w="3024"/>
        <w:gridCol w:w="3024"/>
        <w:gridCol w:w="3024"/>
      </w:tblGrid>
      <w:tr>
        <w:tc>
          <w:tcPr>
            <w:tcW w:type="dxa" w:w="680"/>
            <w:shd w:val="clear" w:color="auto" w:fill="1F3A5F"/>
            <w:vAlign w:val="center"/>
          </w:tcPr>
          <w:p>
            <w:r/>
            <w:r>
              <w:rPr>
                <w:rFonts w:ascii="Calibri" w:hAnsi="Calibri"/>
                <w:b/>
                <w:i w:val="0"/>
                <w:color w:val="FFFFFF"/>
                <w:sz w:val="20"/>
              </w:rPr>
              <w:t>Phase</w:t>
            </w:r>
          </w:p>
        </w:tc>
        <w:tc>
          <w:tcPr>
            <w:tcW w:type="dxa" w:w="7087"/>
            <w:shd w:val="clear" w:color="auto" w:fill="1F3A5F"/>
            <w:vAlign w:val="center"/>
          </w:tcPr>
          <w:p>
            <w:r/>
            <w:r>
              <w:rPr>
                <w:rFonts w:ascii="Calibri" w:hAnsi="Calibri"/>
                <w:b/>
                <w:i w:val="0"/>
                <w:color w:val="FFFFFF"/>
                <w:sz w:val="20"/>
              </w:rPr>
              <w:t>Description</w:t>
            </w:r>
          </w:p>
        </w:tc>
        <w:tc>
          <w:tcPr>
            <w:tcW w:type="dxa" w:w="1587"/>
            <w:shd w:val="clear" w:color="auto" w:fill="1F3A5F"/>
            <w:vAlign w:val="center"/>
          </w:tcPr>
          <w:p>
            <w:r/>
            <w:r>
              <w:rPr>
                <w:rFonts w:ascii="Calibri" w:hAnsi="Calibri"/>
                <w:b/>
                <w:i w:val="0"/>
                <w:color w:val="FFFFFF"/>
                <w:sz w:val="20"/>
              </w:rPr>
              <w:t>Studies remaining</w:t>
            </w:r>
          </w:p>
        </w:tc>
      </w:tr>
      <w:tr>
        <w:tc>
          <w:tcPr>
            <w:tcW w:type="dxa" w:w="680"/>
            <w:vAlign w:val="center"/>
          </w:tcPr>
          <w:p>
            <w:r/>
            <w:r>
              <w:rPr>
                <w:rFonts w:ascii="Calibri" w:hAnsi="Calibri"/>
                <w:b w:val="0"/>
                <w:i w:val="0"/>
                <w:sz w:val="20"/>
              </w:rPr>
              <w:t>1</w:t>
            </w:r>
          </w:p>
        </w:tc>
        <w:tc>
          <w:tcPr>
            <w:tcW w:type="dxa" w:w="7087"/>
            <w:vAlign w:val="center"/>
          </w:tcPr>
          <w:p>
            <w:r/>
            <w:r>
              <w:rPr>
                <w:rFonts w:ascii="Calibri" w:hAnsi="Calibri"/>
                <w:b w:val="0"/>
                <w:i w:val="0"/>
                <w:sz w:val="20"/>
              </w:rPr>
              <w:t>Automatic V4 search across five databases + backward snowballing from V3 candidates; intra- and cross-database deduplication.</w:t>
            </w:r>
          </w:p>
        </w:tc>
        <w:tc>
          <w:tcPr>
            <w:tcW w:type="dxa" w:w="1587"/>
            <w:vAlign w:val="center"/>
          </w:tcPr>
          <w:p>
            <w:r/>
            <w:r>
              <w:rPr>
                <w:rFonts w:ascii="Calibri" w:hAnsi="Calibri"/>
                <w:b w:val="0"/>
                <w:i w:val="0"/>
                <w:sz w:val="20"/>
              </w:rPr>
              <w:t>339 (305 V4 + 34 snowballing)</w:t>
            </w:r>
          </w:p>
        </w:tc>
      </w:tr>
      <w:tr>
        <w:tc>
          <w:tcPr>
            <w:tcW w:type="dxa" w:w="680"/>
            <w:vAlign w:val="center"/>
          </w:tcPr>
          <w:p>
            <w:r/>
            <w:r>
              <w:rPr>
                <w:rFonts w:ascii="Calibri" w:hAnsi="Calibri"/>
                <w:b w:val="0"/>
                <w:i w:val="0"/>
                <w:sz w:val="20"/>
              </w:rPr>
              <w:t>2</w:t>
            </w:r>
          </w:p>
        </w:tc>
        <w:tc>
          <w:tcPr>
            <w:tcW w:type="dxa" w:w="7087"/>
            <w:vAlign w:val="center"/>
          </w:tcPr>
          <w:p>
            <w:r/>
            <w:r>
              <w:rPr>
                <w:rFonts w:ascii="Calibri" w:hAnsi="Calibri"/>
                <w:b w:val="0"/>
                <w:i w:val="0"/>
                <w:sz w:val="20"/>
              </w:rPr>
              <w:t>Title + keywords + abstract screening with the operationalised criteria of §3.2.6.</w:t>
            </w:r>
          </w:p>
        </w:tc>
        <w:tc>
          <w:tcPr>
            <w:tcW w:type="dxa" w:w="1587"/>
            <w:vAlign w:val="center"/>
          </w:tcPr>
          <w:p>
            <w:r/>
            <w:r>
              <w:rPr>
                <w:rFonts w:ascii="Calibri" w:hAnsi="Calibri"/>
                <w:b w:val="0"/>
                <w:i w:val="0"/>
                <w:sz w:val="20"/>
              </w:rPr>
              <w:t>113 (79 from V4 + 34 from snowballing)</w:t>
            </w:r>
          </w:p>
        </w:tc>
      </w:tr>
      <w:tr>
        <w:tc>
          <w:tcPr>
            <w:tcW w:type="dxa" w:w="680"/>
            <w:vAlign w:val="center"/>
          </w:tcPr>
          <w:p>
            <w:r/>
            <w:r>
              <w:rPr>
                <w:rFonts w:ascii="Calibri" w:hAnsi="Calibri"/>
                <w:b w:val="0"/>
                <w:i w:val="0"/>
                <w:sz w:val="20"/>
              </w:rPr>
              <w:t>3</w:t>
            </w:r>
          </w:p>
        </w:tc>
        <w:tc>
          <w:tcPr>
            <w:tcW w:type="dxa" w:w="7087"/>
            <w:vAlign w:val="center"/>
          </w:tcPr>
          <w:p>
            <w:r/>
            <w:r>
              <w:rPr>
                <w:rFonts w:ascii="Calibri" w:hAnsi="Calibri"/>
                <w:b w:val="0"/>
                <w:i w:val="0"/>
                <w:sz w:val="20"/>
              </w:rPr>
              <w:t>Reading of introduction, methods and conclusion sections; application of the criteria of §3.2.7.</w:t>
            </w:r>
          </w:p>
        </w:tc>
        <w:tc>
          <w:tcPr>
            <w:tcW w:type="dxa" w:w="1587"/>
            <w:vAlign w:val="center"/>
          </w:tcPr>
          <w:p>
            <w:r/>
            <w:r>
              <w:rPr>
                <w:rFonts w:ascii="Calibri" w:hAnsi="Calibri"/>
                <w:b w:val="0"/>
                <w:i w:val="0"/>
                <w:sz w:val="20"/>
              </w:rPr>
              <w:t>113 (pending full-text reading)</w:t>
            </w:r>
          </w:p>
        </w:tc>
      </w:tr>
      <w:tr>
        <w:tc>
          <w:tcPr>
            <w:tcW w:type="dxa" w:w="680"/>
            <w:vAlign w:val="center"/>
          </w:tcPr>
          <w:p>
            <w:r/>
            <w:r>
              <w:rPr>
                <w:rFonts w:ascii="Calibri" w:hAnsi="Calibri"/>
                <w:b w:val="0"/>
                <w:i w:val="0"/>
                <w:sz w:val="20"/>
              </w:rPr>
              <w:t>4</w:t>
            </w:r>
          </w:p>
        </w:tc>
        <w:tc>
          <w:tcPr>
            <w:tcW w:type="dxa" w:w="7087"/>
            <w:vAlign w:val="center"/>
          </w:tcPr>
          <w:p>
            <w:r/>
            <w:r>
              <w:rPr>
                <w:rFonts w:ascii="Calibri" w:hAnsi="Calibri"/>
                <w:b w:val="0"/>
                <w:i w:val="0"/>
                <w:sz w:val="20"/>
              </w:rPr>
              <w:t>Full-text quality assessment using the 11-question rubric of [Dybå &amp; Dingsøyr, 2008] (§3.2.8).</w:t>
            </w:r>
          </w:p>
        </w:tc>
        <w:tc>
          <w:tcPr>
            <w:tcW w:type="dxa" w:w="1587"/>
            <w:vAlign w:val="center"/>
          </w:tcPr>
          <w:p>
            <w:r/>
            <w:r>
              <w:rPr>
                <w:rFonts w:ascii="Calibri" w:hAnsi="Calibri"/>
                <w:b w:val="0"/>
                <w:i w:val="0"/>
                <w:sz w:val="20"/>
              </w:rPr>
              <w:t>113 (pending Dybå scoring)</w:t>
            </w:r>
          </w:p>
        </w:tc>
      </w:tr>
    </w:tbl>
    <w:p>
      <w:pPr>
        <w:spacing w:before="40" w:after="200"/>
        <w:jc w:val="center"/>
      </w:pPr>
      <w:r>
        <w:rPr>
          <w:rFonts w:ascii="Calibri" w:hAnsi="Calibri"/>
          <w:b w:val="0"/>
          <w:i/>
          <w:color w:val="555555"/>
          <w:sz w:val="18"/>
        </w:rPr>
        <w:t>Figure 2 — Phases of the study selection process and number of studies retained at each phase. Phases 3 and 4 will further filter the corpus as full-text reading and quality scoring proceed; the current 113 is the validated Phase-2 outcome.</w:t>
      </w:r>
    </w:p>
    <w:p>
      <w:pPr>
        <w:pStyle w:val="Heading3"/>
        <w:keepNext/>
        <w:spacing w:before="280" w:after="120"/>
      </w:pPr>
      <w:r>
        <w:rPr>
          <w:rFonts w:ascii="Calibri" w:hAnsi="Calibri"/>
          <w:b/>
          <w:i w:val="0"/>
          <w:color w:val="1F3A5F"/>
          <w:sz w:val="24"/>
        </w:rPr>
        <w:t>3.2.6  Phase-2 Operationalised Inclusion / Exclusion Criteria</w:t>
      </w:r>
    </w:p>
    <w:p>
      <w:pPr>
        <w:spacing w:before="0" w:after="80" w:line="276" w:lineRule="auto"/>
      </w:pPr>
      <w:r>
        <w:rPr>
          <w:rFonts w:ascii="Calibri" w:hAnsi="Calibri"/>
          <w:b w:val="0"/>
          <w:i w:val="0"/>
          <w:sz w:val="22"/>
        </w:rPr>
        <w:t>Kitchenham &amp; Charters explicitly recommend that at the title/abstract screening phase "selection criteria should be interpreted liberally, so that unless a study identified by the electronic and hand searches can be clearly excluded based on title and abstract, a full copy should be obtained" [Kitchenham &amp; Charters, 2007, §6.2.2]. To ensure the screening was applied consistently across the 268 candidates, the criteria are operationalised as a scoring rubric over the concept blocks defined in §3.2.2.</w:t>
      </w:r>
    </w:p>
    <w:p>
      <w:pPr>
        <w:spacing w:before="0" w:after="40" w:line="276" w:lineRule="auto"/>
      </w:pPr>
      <w:r>
        <w:rPr>
          <w:rFonts w:ascii="Calibri" w:hAnsi="Calibri"/>
          <w:b/>
          <w:i w:val="0"/>
          <w:sz w:val="22"/>
        </w:rPr>
        <w:t>Concept-block hits.</w:t>
      </w:r>
    </w:p>
    <w:p>
      <w:pPr>
        <w:spacing w:before="0" w:after="80" w:line="276" w:lineRule="auto"/>
      </w:pPr>
      <w:r>
        <w:rPr>
          <w:rFonts w:ascii="Calibri" w:hAnsi="Calibri"/>
          <w:b w:val="0"/>
          <w:i w:val="0"/>
          <w:sz w:val="22"/>
        </w:rPr>
        <w:t>For each candidate, the title + abstract + keywords are scanned for terms from six concept blocks: A — Architecture, D — Domain (microservices / distributed), M — Metrics, O — Observability, L — AI/ML, and the V4-specific E — MDE / Metamodel. Two out-of-scope blocks act as disqualifiers: X — IoT/sensor/edge/fog/cyber-physical, B — biomedical. The full term lists per block are reported in §3.2.2 and Appendix D.</w:t>
      </w:r>
    </w:p>
    <w:p>
      <w:pPr>
        <w:spacing w:before="0" w:after="40" w:line="276" w:lineRule="auto"/>
      </w:pPr>
      <w:r>
        <w:rPr>
          <w:rFonts w:ascii="Calibri" w:hAnsi="Calibri"/>
          <w:b/>
          <w:i w:val="0"/>
          <w:sz w:val="22"/>
        </w:rPr>
        <w:t>Decision rule.</w:t>
      </w:r>
    </w:p>
    <w:p>
      <w:pPr>
        <w:spacing w:before="0" w:after="80" w:line="276" w:lineRule="auto"/>
      </w:pPr>
      <w:r>
        <w:rPr>
          <w:rFonts w:ascii="Calibri" w:hAnsi="Calibri"/>
          <w:b w:val="0"/>
          <w:i w:val="0"/>
          <w:sz w:val="22"/>
        </w:rPr>
        <w:t>Let s = | { B ∈ {A, D, M, O, L} : block B has ≥ 1 hit in the candidate's title/abstract/keywords } |  (range 0 to 5). Let d = (D has ≥ 1 hit) — mandatory because the SLR scope requires an architectural-system-domain mention to address RQ1. Let x = TRUE if (X has ≥ 2 hits in body) OR (B has ≥ 1 hit) OR (X/B appears in title), UNLESS s ≥ 4 (in which case the IoT/biomedical term is judged incidental). Let t = (J ≥ 1) + (E ≥ 1) + (F ≥ 1) — STAR signals: J (Java/JVM/Spring), E (explicit MDE / metamodel), F (architecture-aware metric framework).</w:t>
      </w:r>
    </w:p>
    <w:p>
      <w:pPr>
        <w:spacing w:before="0" w:after="80" w:line="276" w:lineRule="auto"/>
      </w:pPr>
      <w:r>
        <w:rPr>
          <w:rFonts w:ascii="Calibri" w:hAnsi="Calibri"/>
          <w:b w:val="0"/>
          <w:i w:val="0"/>
          <w:sz w:val="22"/>
        </w:rPr>
        <w:t>A special override applies for E (MDE explicit): because the thesis is itself MDE-based, papers with strong metamodel/model-driven content — even when D = 0 — are kept as INC when at least one of A or M is also present. This reflects the asymmetric position of the thesis: a paper on model-driven software measurement is foundational even if it does not explicitly mention microservices.</w:t>
      </w:r>
    </w:p>
    <w:tbl>
      <w:tblPr>
        <w:tblStyle w:val="LightGrid-Accent1"/>
        <w:tblW w:type="auto" w:w="0"/>
        <w:jc w:val="center"/>
        <w:tblLayout w:type="fixed"/>
        <w:tblLook w:firstColumn="1" w:firstRow="1" w:lastColumn="0" w:lastRow="0" w:noHBand="0" w:noVBand="1" w:val="04A0"/>
      </w:tblPr>
      <w:tblGrid>
        <w:gridCol w:w="4536"/>
        <w:gridCol w:w="4536"/>
      </w:tblGrid>
      <w:tr>
        <w:tc>
          <w:tcPr>
            <w:tcW w:type="dxa" w:w="1984"/>
            <w:shd w:val="clear" w:color="auto" w:fill="1F3A5F"/>
            <w:vAlign w:val="center"/>
          </w:tcPr>
          <w:p>
            <w:r/>
            <w:r>
              <w:rPr>
                <w:rFonts w:ascii="Calibri" w:hAnsi="Calibri"/>
                <w:b/>
                <w:i w:val="0"/>
                <w:color w:val="FFFFFF"/>
                <w:sz w:val="20"/>
              </w:rPr>
              <w:t>Outcome</w:t>
            </w:r>
          </w:p>
        </w:tc>
        <w:tc>
          <w:tcPr>
            <w:tcW w:type="dxa" w:w="7087"/>
            <w:shd w:val="clear" w:color="auto" w:fill="1F3A5F"/>
            <w:vAlign w:val="center"/>
          </w:tcPr>
          <w:p>
            <w:r/>
            <w:r>
              <w:rPr>
                <w:rFonts w:ascii="Calibri" w:hAnsi="Calibri"/>
                <w:b/>
                <w:i w:val="0"/>
                <w:color w:val="FFFFFF"/>
                <w:sz w:val="20"/>
              </w:rPr>
              <w:t>Condition (in order of evaluation)</w:t>
            </w:r>
          </w:p>
        </w:tc>
      </w:tr>
      <w:tr>
        <w:tc>
          <w:tcPr>
            <w:tcW w:type="dxa" w:w="1984"/>
            <w:vAlign w:val="center"/>
          </w:tcPr>
          <w:p>
            <w:r/>
            <w:r>
              <w:rPr>
                <w:rFonts w:ascii="Calibri" w:hAnsi="Calibri"/>
                <w:b w:val="0"/>
                <w:i w:val="0"/>
                <w:sz w:val="20"/>
              </w:rPr>
              <w:t>Exclude (EC2)</w:t>
            </w:r>
          </w:p>
        </w:tc>
        <w:tc>
          <w:tcPr>
            <w:tcW w:type="dxa" w:w="7087"/>
            <w:vAlign w:val="center"/>
          </w:tcPr>
          <w:p>
            <w:r/>
            <w:r>
              <w:rPr>
                <w:rFonts w:ascii="Calibri" w:hAnsi="Calibri"/>
                <w:b w:val="0"/>
                <w:i w:val="0"/>
                <w:sz w:val="20"/>
              </w:rPr>
              <w:t>x = TRUE — dominant out-of-scope context.</w:t>
            </w:r>
          </w:p>
        </w:tc>
      </w:tr>
      <w:tr>
        <w:tc>
          <w:tcPr>
            <w:tcW w:type="dxa" w:w="1984"/>
            <w:vAlign w:val="center"/>
          </w:tcPr>
          <w:p>
            <w:r/>
            <w:r>
              <w:rPr>
                <w:rFonts w:ascii="Calibri" w:hAnsi="Calibri"/>
                <w:b w:val="0"/>
                <w:i w:val="0"/>
                <w:sz w:val="20"/>
              </w:rPr>
              <w:t>Exclude (EC2)</w:t>
            </w:r>
          </w:p>
        </w:tc>
        <w:tc>
          <w:tcPr>
            <w:tcW w:type="dxa" w:w="7087"/>
            <w:vAlign w:val="center"/>
          </w:tcPr>
          <w:p>
            <w:r/>
            <w:r>
              <w:rPr>
                <w:rFonts w:ascii="Calibri" w:hAnsi="Calibri"/>
                <w:b w:val="0"/>
                <w:i w:val="0"/>
                <w:sz w:val="20"/>
              </w:rPr>
              <w:t>NOT d AND NOT (E ≥ 1 AND (A ≥ 1 OR M ≥ 1)) — no architectural-system-domain term and no MDE override.</w:t>
            </w:r>
          </w:p>
        </w:tc>
      </w:tr>
      <w:tr>
        <w:tc>
          <w:tcPr>
            <w:tcW w:type="dxa" w:w="1984"/>
            <w:vAlign w:val="center"/>
          </w:tcPr>
          <w:p>
            <w:r/>
            <w:r>
              <w:rPr>
                <w:rFonts w:ascii="Calibri" w:hAnsi="Calibri"/>
                <w:b w:val="0"/>
                <w:i w:val="0"/>
                <w:sz w:val="20"/>
              </w:rPr>
              <w:t>Exclude (EC2)</w:t>
            </w:r>
          </w:p>
        </w:tc>
        <w:tc>
          <w:tcPr>
            <w:tcW w:type="dxa" w:w="7087"/>
            <w:vAlign w:val="center"/>
          </w:tcPr>
          <w:p>
            <w:r/>
            <w:r>
              <w:rPr>
                <w:rFonts w:ascii="Calibri" w:hAnsi="Calibri"/>
                <w:b w:val="0"/>
                <w:i w:val="0"/>
                <w:sz w:val="20"/>
              </w:rPr>
              <w:t>s ≤ 1 — fewer than two concept blocks; clearly off-topic.</w:t>
            </w:r>
          </w:p>
        </w:tc>
      </w:tr>
      <w:tr>
        <w:tc>
          <w:tcPr>
            <w:tcW w:type="dxa" w:w="1984"/>
            <w:vAlign w:val="center"/>
          </w:tcPr>
          <w:p>
            <w:r/>
            <w:r>
              <w:rPr>
                <w:rFonts w:ascii="Calibri" w:hAnsi="Calibri"/>
                <w:b w:val="0"/>
                <w:i w:val="0"/>
                <w:sz w:val="20"/>
              </w:rPr>
              <w:t>Borderline → review</w:t>
            </w:r>
          </w:p>
        </w:tc>
        <w:tc>
          <w:tcPr>
            <w:tcW w:type="dxa" w:w="7087"/>
            <w:vAlign w:val="center"/>
          </w:tcPr>
          <w:p>
            <w:r/>
            <w:r>
              <w:rPr>
                <w:rFonts w:ascii="Calibri" w:hAnsi="Calibri"/>
                <w:b w:val="0"/>
                <w:i w:val="0"/>
                <w:sz w:val="20"/>
              </w:rPr>
              <w:t>s = 2 — exactly two concept blocks; flag for manual review.</w:t>
            </w:r>
          </w:p>
        </w:tc>
      </w:tr>
      <w:tr>
        <w:tc>
          <w:tcPr>
            <w:tcW w:type="dxa" w:w="1984"/>
            <w:vAlign w:val="center"/>
          </w:tcPr>
          <w:p>
            <w:r/>
            <w:r>
              <w:rPr>
                <w:rFonts w:ascii="Calibri" w:hAnsi="Calibri"/>
                <w:b w:val="0"/>
                <w:i w:val="0"/>
                <w:sz w:val="20"/>
              </w:rPr>
              <w:t>STAR</w:t>
            </w:r>
          </w:p>
        </w:tc>
        <w:tc>
          <w:tcPr>
            <w:tcW w:type="dxa" w:w="7087"/>
            <w:vAlign w:val="center"/>
          </w:tcPr>
          <w:p>
            <w:r/>
            <w:r>
              <w:rPr>
                <w:rFonts w:ascii="Calibri" w:hAnsi="Calibri"/>
                <w:b w:val="0"/>
                <w:i w:val="0"/>
                <w:sz w:val="20"/>
              </w:rPr>
              <w:t>s ≥ 3 AND d AND t ≥ 2 — included with high-alignment signals.</w:t>
            </w:r>
          </w:p>
        </w:tc>
      </w:tr>
      <w:tr>
        <w:tc>
          <w:tcPr>
            <w:tcW w:type="dxa" w:w="1984"/>
            <w:vAlign w:val="center"/>
          </w:tcPr>
          <w:p>
            <w:r/>
            <w:r>
              <w:rPr>
                <w:rFonts w:ascii="Calibri" w:hAnsi="Calibri"/>
                <w:b w:val="0"/>
                <w:i w:val="0"/>
                <w:sz w:val="20"/>
              </w:rPr>
              <w:t>Include (INC) — MDE override</w:t>
            </w:r>
          </w:p>
        </w:tc>
        <w:tc>
          <w:tcPr>
            <w:tcW w:type="dxa" w:w="7087"/>
            <w:vAlign w:val="center"/>
          </w:tcPr>
          <w:p>
            <w:r/>
            <w:r>
              <w:rPr>
                <w:rFonts w:ascii="Calibri" w:hAnsi="Calibri"/>
                <w:b w:val="0"/>
                <w:i w:val="0"/>
                <w:sz w:val="20"/>
              </w:rPr>
              <w:t>E ≥ 1 AND s ∈ {2, 3} AND (A ≥ 1 OR M ≥ 1) AND NOT x — included on the basis of strong MDE signal.</w:t>
            </w:r>
          </w:p>
        </w:tc>
      </w:tr>
      <w:tr>
        <w:tc>
          <w:tcPr>
            <w:tcW w:type="dxa" w:w="1984"/>
            <w:vAlign w:val="center"/>
          </w:tcPr>
          <w:p>
            <w:r/>
            <w:r>
              <w:rPr>
                <w:rFonts w:ascii="Calibri" w:hAnsi="Calibri"/>
                <w:b w:val="0"/>
                <w:i w:val="0"/>
                <w:sz w:val="20"/>
              </w:rPr>
              <w:t>Include (INC) — default</w:t>
            </w:r>
          </w:p>
        </w:tc>
        <w:tc>
          <w:tcPr>
            <w:tcW w:type="dxa" w:w="7087"/>
            <w:vAlign w:val="center"/>
          </w:tcPr>
          <w:p>
            <w:r/>
            <w:r>
              <w:rPr>
                <w:rFonts w:ascii="Calibri" w:hAnsi="Calibri"/>
                <w:b w:val="0"/>
                <w:i w:val="0"/>
                <w:sz w:val="20"/>
              </w:rPr>
              <w:t>s ≥ 3 AND d AND NOT x — at least three of five concept blocks present, domain match OK, no contamination.</w:t>
            </w:r>
          </w:p>
        </w:tc>
      </w:tr>
    </w:tbl>
    <w:p>
      <w:pPr>
        <w:spacing w:before="40" w:after="200"/>
        <w:jc w:val="center"/>
      </w:pPr>
      <w:r>
        <w:rPr>
          <w:rFonts w:ascii="Calibri" w:hAnsi="Calibri"/>
          <w:b w:val="0"/>
          <w:i/>
          <w:color w:val="555555"/>
          <w:sz w:val="18"/>
        </w:rPr>
        <w:t>Table 4 — Operationalised Phase-2 decision rule. Each condition is evaluated in sequence; the first one that matches assigns the outcome.</w:t>
      </w:r>
    </w:p>
    <w:p>
      <w:pPr>
        <w:spacing w:before="0" w:after="80" w:line="276" w:lineRule="auto"/>
      </w:pPr>
      <w:r>
        <w:rPr>
          <w:rFonts w:ascii="Calibri" w:hAnsi="Calibri"/>
          <w:b w:val="0"/>
          <w:i w:val="0"/>
          <w:sz w:val="22"/>
        </w:rPr>
        <w:t>This rule was applied programmatically against the 187 unclassified V4 candidates using their title, abstract and keywords from the original .bib exports. The same criteria, when applied retrospectively to the 47 candidates already manually classified during preliminary V3 screening, reproduce the candidate's phase1_inc / phase1_exc decision in 72.3 % of cases — confirming that the operationalised criteria capture the protocol that was applied implicitly during the initial screening. The remaining 27.7 % of disagreements were manually reviewed and resolved with priority given to the candidate's decision (when made on the basis of full-text reading) or to the borderline override rule "all borderlines are excluded, except those individually justified as INC" applied at decision time.</w:t>
      </w:r>
    </w:p>
    <w:p>
      <w:pPr>
        <w:pStyle w:val="Heading3"/>
        <w:keepNext/>
        <w:spacing w:before="280" w:after="120"/>
      </w:pPr>
      <w:r>
        <w:rPr>
          <w:rFonts w:ascii="Calibri" w:hAnsi="Calibri"/>
          <w:b/>
          <w:i w:val="0"/>
          <w:color w:val="1F3A5F"/>
          <w:sz w:val="24"/>
        </w:rPr>
        <w:t>3.2.7  Phase-3 Inclusion / Exclusion Criteria (full intro / methods / conclusion)</w:t>
      </w:r>
    </w:p>
    <w:p>
      <w:pPr>
        <w:spacing w:before="0" w:after="80" w:line="276" w:lineRule="auto"/>
      </w:pPr>
      <w:r>
        <w:rPr>
          <w:rFonts w:ascii="Calibri" w:hAnsi="Calibri"/>
          <w:b w:val="0"/>
          <w:i w:val="0"/>
          <w:sz w:val="22"/>
        </w:rPr>
        <w:t>At Phase 3 the introduction, methodology and conclusion sections of every short-listed study are read, and the stricter criteria below are applied. These criteria refine the Phase-2 set with the practical issues recommended by [Kitchenham &amp; Charters, 2007, §6.2.2].</w:t>
      </w:r>
    </w:p>
    <w:tbl>
      <w:tblPr>
        <w:tblStyle w:val="LightGrid-Accent1"/>
        <w:tblW w:type="auto" w:w="0"/>
        <w:jc w:val="center"/>
        <w:tblLayout w:type="fixed"/>
        <w:tblLook w:firstColumn="1" w:firstRow="1" w:lastColumn="0" w:lastRow="0" w:noHBand="0" w:noVBand="1" w:val="04A0"/>
      </w:tblPr>
      <w:tblGrid>
        <w:gridCol w:w="4536"/>
        <w:gridCol w:w="4536"/>
      </w:tblGrid>
      <w:tr>
        <w:tc>
          <w:tcPr>
            <w:tcW w:type="dxa" w:w="907"/>
            <w:shd w:val="clear" w:color="auto" w:fill="1F3A5F"/>
            <w:vAlign w:val="center"/>
          </w:tcPr>
          <w:p>
            <w:r/>
            <w:r>
              <w:rPr>
                <w:rFonts w:ascii="Calibri" w:hAnsi="Calibri"/>
                <w:b/>
                <w:i w:val="0"/>
                <w:color w:val="FFFFFF"/>
                <w:sz w:val="20"/>
              </w:rPr>
              <w:t>ID</w:t>
            </w:r>
          </w:p>
        </w:tc>
        <w:tc>
          <w:tcPr>
            <w:tcW w:type="dxa" w:w="8447"/>
            <w:shd w:val="clear" w:color="auto" w:fill="1F3A5F"/>
            <w:vAlign w:val="center"/>
          </w:tcPr>
          <w:p>
            <w:r/>
            <w:r>
              <w:rPr>
                <w:rFonts w:ascii="Calibri" w:hAnsi="Calibri"/>
                <w:b/>
                <w:i w:val="0"/>
                <w:color w:val="FFFFFF"/>
                <w:sz w:val="20"/>
              </w:rPr>
              <w:t>Phase-3 Inclusion criterion</w:t>
            </w:r>
          </w:p>
        </w:tc>
      </w:tr>
      <w:tr>
        <w:tc>
          <w:tcPr>
            <w:tcW w:type="dxa" w:w="907"/>
            <w:vAlign w:val="center"/>
          </w:tcPr>
          <w:p>
            <w:r/>
            <w:r>
              <w:rPr>
                <w:rFonts w:ascii="Calibri" w:hAnsi="Calibri"/>
                <w:b w:val="0"/>
                <w:i w:val="0"/>
                <w:sz w:val="20"/>
              </w:rPr>
              <w:t>IC3.1</w:t>
            </w:r>
          </w:p>
        </w:tc>
        <w:tc>
          <w:tcPr>
            <w:tcW w:type="dxa" w:w="8447"/>
            <w:vAlign w:val="center"/>
          </w:tcPr>
          <w:p>
            <w:r/>
            <w:r>
              <w:rPr>
                <w:rFonts w:ascii="Calibri" w:hAnsi="Calibri"/>
                <w:b w:val="0"/>
                <w:i w:val="0"/>
                <w:sz w:val="20"/>
              </w:rPr>
              <w:t>The study addresses, in whole or in part, at least one of RQ1–RQ4.</w:t>
            </w:r>
          </w:p>
        </w:tc>
      </w:tr>
      <w:tr>
        <w:tc>
          <w:tcPr>
            <w:tcW w:type="dxa" w:w="907"/>
            <w:vAlign w:val="center"/>
          </w:tcPr>
          <w:p>
            <w:r/>
            <w:r>
              <w:rPr>
                <w:rFonts w:ascii="Calibri" w:hAnsi="Calibri"/>
                <w:b w:val="0"/>
                <w:i w:val="0"/>
                <w:sz w:val="20"/>
              </w:rPr>
              <w:t>IC3.2</w:t>
            </w:r>
          </w:p>
        </w:tc>
        <w:tc>
          <w:tcPr>
            <w:tcW w:type="dxa" w:w="8447"/>
            <w:vAlign w:val="center"/>
          </w:tcPr>
          <w:p>
            <w:r/>
            <w:r>
              <w:rPr>
                <w:rFonts w:ascii="Calibri" w:hAnsi="Calibri"/>
                <w:b w:val="0"/>
                <w:i w:val="0"/>
                <w:sz w:val="20"/>
              </w:rPr>
              <w:t>The study contains an empirical component or describes a software artefact (metric, model, framework, tool, dataset) that can be empirically validated.</w:t>
            </w:r>
          </w:p>
        </w:tc>
      </w:tr>
      <w:tr>
        <w:tc>
          <w:tcPr>
            <w:tcW w:type="dxa" w:w="907"/>
            <w:vAlign w:val="center"/>
          </w:tcPr>
          <w:p>
            <w:r/>
            <w:r>
              <w:rPr>
                <w:rFonts w:ascii="Calibri" w:hAnsi="Calibri"/>
                <w:b w:val="0"/>
                <w:i w:val="0"/>
                <w:sz w:val="20"/>
              </w:rPr>
              <w:t>IC3.3</w:t>
            </w:r>
          </w:p>
        </w:tc>
        <w:tc>
          <w:tcPr>
            <w:tcW w:type="dxa" w:w="8447"/>
            <w:vAlign w:val="center"/>
          </w:tcPr>
          <w:p>
            <w:r/>
            <w:r>
              <w:rPr>
                <w:rFonts w:ascii="Calibri" w:hAnsi="Calibri"/>
                <w:b w:val="0"/>
                <w:i w:val="0"/>
                <w:sz w:val="20"/>
              </w:rPr>
              <w:t>The study describes its methodology in enough detail to allow classification along the eleven facets F1–F11 (Section 4).</w:t>
            </w:r>
          </w:p>
        </w:tc>
      </w:tr>
      <w:tr>
        <w:tc>
          <w:tcPr>
            <w:tcW w:type="dxa" w:w="907"/>
            <w:vAlign w:val="center"/>
          </w:tcPr>
          <w:p>
            <w:r/>
            <w:r>
              <w:rPr>
                <w:rFonts w:ascii="Calibri" w:hAnsi="Calibri"/>
                <w:b w:val="0"/>
                <w:i w:val="0"/>
                <w:sz w:val="20"/>
              </w:rPr>
              <w:t>IC3.4</w:t>
            </w:r>
          </w:p>
        </w:tc>
        <w:tc>
          <w:tcPr>
            <w:tcW w:type="dxa" w:w="8447"/>
            <w:vAlign w:val="center"/>
          </w:tcPr>
          <w:p>
            <w:r/>
            <w:r>
              <w:rPr>
                <w:rFonts w:ascii="Calibri" w:hAnsi="Calibri"/>
                <w:b w:val="0"/>
                <w:i w:val="0"/>
                <w:sz w:val="20"/>
              </w:rPr>
              <w:t>If several papers report the same study, the latest extended version is retained; earlier versions are excluded under EC3.4.</w:t>
            </w:r>
          </w:p>
        </w:tc>
      </w:tr>
    </w:tbl>
    <w:p>
      <w:pPr>
        <w:spacing w:before="40" w:after="200"/>
        <w:jc w:val="center"/>
      </w:pPr>
      <w:r>
        <w:rPr>
          <w:rFonts w:ascii="Calibri" w:hAnsi="Calibri"/>
          <w:b w:val="0"/>
          <w:i/>
          <w:color w:val="555555"/>
          <w:sz w:val="18"/>
        </w:rPr>
        <w:t>Table 5 — Phase-3 inclusion criteria.</w:t>
      </w:r>
    </w:p>
    <w:tbl>
      <w:tblPr>
        <w:tblStyle w:val="LightGrid-Accent1"/>
        <w:tblW w:type="auto" w:w="0"/>
        <w:jc w:val="center"/>
        <w:tblLayout w:type="fixed"/>
        <w:tblLook w:firstColumn="1" w:firstRow="1" w:lastColumn="0" w:lastRow="0" w:noHBand="0" w:noVBand="1" w:val="04A0"/>
      </w:tblPr>
      <w:tblGrid>
        <w:gridCol w:w="4536"/>
        <w:gridCol w:w="4536"/>
      </w:tblGrid>
      <w:tr>
        <w:tc>
          <w:tcPr>
            <w:tcW w:type="dxa" w:w="907"/>
            <w:shd w:val="clear" w:color="auto" w:fill="1F3A5F"/>
            <w:vAlign w:val="center"/>
          </w:tcPr>
          <w:p>
            <w:r/>
            <w:r>
              <w:rPr>
                <w:rFonts w:ascii="Calibri" w:hAnsi="Calibri"/>
                <w:b/>
                <w:i w:val="0"/>
                <w:color w:val="FFFFFF"/>
                <w:sz w:val="20"/>
              </w:rPr>
              <w:t>ID</w:t>
            </w:r>
          </w:p>
        </w:tc>
        <w:tc>
          <w:tcPr>
            <w:tcW w:type="dxa" w:w="8447"/>
            <w:shd w:val="clear" w:color="auto" w:fill="1F3A5F"/>
            <w:vAlign w:val="center"/>
          </w:tcPr>
          <w:p>
            <w:r/>
            <w:r>
              <w:rPr>
                <w:rFonts w:ascii="Calibri" w:hAnsi="Calibri"/>
                <w:b/>
                <w:i w:val="0"/>
                <w:color w:val="FFFFFF"/>
                <w:sz w:val="20"/>
              </w:rPr>
              <w:t>Phase-3 Exclusion criterion</w:t>
            </w:r>
          </w:p>
        </w:tc>
      </w:tr>
      <w:tr>
        <w:tc>
          <w:tcPr>
            <w:tcW w:type="dxa" w:w="907"/>
            <w:vAlign w:val="center"/>
          </w:tcPr>
          <w:p>
            <w:r/>
            <w:r>
              <w:rPr>
                <w:rFonts w:ascii="Calibri" w:hAnsi="Calibri"/>
                <w:b w:val="0"/>
                <w:i w:val="0"/>
                <w:sz w:val="20"/>
              </w:rPr>
              <w:t>EC3.1</w:t>
            </w:r>
          </w:p>
        </w:tc>
        <w:tc>
          <w:tcPr>
            <w:tcW w:type="dxa" w:w="8447"/>
            <w:vAlign w:val="center"/>
          </w:tcPr>
          <w:p>
            <w:r/>
            <w:r>
              <w:rPr>
                <w:rFonts w:ascii="Calibri" w:hAnsi="Calibri"/>
                <w:b w:val="0"/>
                <w:i w:val="0"/>
                <w:sz w:val="20"/>
              </w:rPr>
              <w:t>Studies not focused on software architecture, software metrics, AI-supported analytics or observability of distributed software systems (i.e., neither block A nor block L of §3.2.2 is central to the contribution).</w:t>
            </w:r>
          </w:p>
        </w:tc>
      </w:tr>
      <w:tr>
        <w:tc>
          <w:tcPr>
            <w:tcW w:type="dxa" w:w="907"/>
            <w:vAlign w:val="center"/>
          </w:tcPr>
          <w:p>
            <w:r/>
            <w:r>
              <w:rPr>
                <w:rFonts w:ascii="Calibri" w:hAnsi="Calibri"/>
                <w:b w:val="0"/>
                <w:i w:val="0"/>
                <w:sz w:val="20"/>
              </w:rPr>
              <w:t>EC3.2</w:t>
            </w:r>
          </w:p>
        </w:tc>
        <w:tc>
          <w:tcPr>
            <w:tcW w:type="dxa" w:w="8447"/>
            <w:vAlign w:val="center"/>
          </w:tcPr>
          <w:p>
            <w:r/>
            <w:r>
              <w:rPr>
                <w:rFonts w:ascii="Calibri" w:hAnsi="Calibri"/>
                <w:b w:val="0"/>
                <w:i w:val="0"/>
                <w:sz w:val="20"/>
              </w:rPr>
              <w:t>Short papers (&lt; 2000 words, excluding figures and references) and two-page extended abstracts where the methodology cannot be assessed.</w:t>
            </w:r>
          </w:p>
        </w:tc>
      </w:tr>
      <w:tr>
        <w:tc>
          <w:tcPr>
            <w:tcW w:type="dxa" w:w="907"/>
            <w:vAlign w:val="center"/>
          </w:tcPr>
          <w:p>
            <w:r/>
            <w:r>
              <w:rPr>
                <w:rFonts w:ascii="Calibri" w:hAnsi="Calibri"/>
                <w:b w:val="0"/>
                <w:i w:val="0"/>
                <w:sz w:val="20"/>
              </w:rPr>
              <w:t>EC3.3</w:t>
            </w:r>
          </w:p>
        </w:tc>
        <w:tc>
          <w:tcPr>
            <w:tcW w:type="dxa" w:w="8447"/>
            <w:vAlign w:val="center"/>
          </w:tcPr>
          <w:p>
            <w:r/>
            <w:r>
              <w:rPr>
                <w:rFonts w:ascii="Calibri" w:hAnsi="Calibri"/>
                <w:b w:val="0"/>
                <w:i w:val="0"/>
                <w:sz w:val="20"/>
              </w:rPr>
              <w:t>Secondary or tertiary studies (other SLRs, mapping studies, editorials, position papers without empirical contribution). These are catalogued in Section 2 (Related Work) but not in the corpus.</w:t>
            </w:r>
          </w:p>
        </w:tc>
      </w:tr>
      <w:tr>
        <w:tc>
          <w:tcPr>
            <w:tcW w:type="dxa" w:w="907"/>
            <w:vAlign w:val="center"/>
          </w:tcPr>
          <w:p>
            <w:r/>
            <w:r>
              <w:rPr>
                <w:rFonts w:ascii="Calibri" w:hAnsi="Calibri"/>
                <w:b w:val="0"/>
                <w:i w:val="0"/>
                <w:sz w:val="20"/>
              </w:rPr>
              <w:t>EC3.4</w:t>
            </w:r>
          </w:p>
        </w:tc>
        <w:tc>
          <w:tcPr>
            <w:tcW w:type="dxa" w:w="8447"/>
            <w:vAlign w:val="center"/>
          </w:tcPr>
          <w:p>
            <w:r/>
            <w:r>
              <w:rPr>
                <w:rFonts w:ascii="Calibri" w:hAnsi="Calibri"/>
                <w:b w:val="0"/>
                <w:i w:val="0"/>
                <w:sz w:val="20"/>
              </w:rPr>
              <w:t>Earlier or shorter versions of an already-included extended paper (only the latest is kept — cf. IC3.4).</w:t>
            </w:r>
          </w:p>
        </w:tc>
      </w:tr>
      <w:tr>
        <w:tc>
          <w:tcPr>
            <w:tcW w:type="dxa" w:w="907"/>
            <w:vAlign w:val="center"/>
          </w:tcPr>
          <w:p>
            <w:r/>
            <w:r>
              <w:rPr>
                <w:rFonts w:ascii="Calibri" w:hAnsi="Calibri"/>
                <w:b w:val="0"/>
                <w:i w:val="0"/>
                <w:sz w:val="20"/>
              </w:rPr>
              <w:t>EC3.5</w:t>
            </w:r>
          </w:p>
        </w:tc>
        <w:tc>
          <w:tcPr>
            <w:tcW w:type="dxa" w:w="8447"/>
            <w:vAlign w:val="center"/>
          </w:tcPr>
          <w:p>
            <w:r/>
            <w:r>
              <w:rPr>
                <w:rFonts w:ascii="Calibri" w:hAnsi="Calibri"/>
                <w:b w:val="0"/>
                <w:i w:val="0"/>
                <w:sz w:val="20"/>
              </w:rPr>
              <w:t>Studies whose primary application domain is IoT, wireless sensor networks, cyber-physical systems, edge / fog computing, medicine, biology or other domains explicitly excluded by the search-string NOT blocks of §3.2.2 (caught here in case Phase 2 missed them).</w:t>
            </w:r>
          </w:p>
        </w:tc>
      </w:tr>
    </w:tbl>
    <w:p>
      <w:pPr>
        <w:spacing w:before="40" w:after="200"/>
        <w:jc w:val="center"/>
      </w:pPr>
      <w:r>
        <w:rPr>
          <w:rFonts w:ascii="Calibri" w:hAnsi="Calibri"/>
          <w:b w:val="0"/>
          <w:i/>
          <w:color w:val="555555"/>
          <w:sz w:val="18"/>
        </w:rPr>
        <w:t>Table 6 — Phase-3 exclusion criteria.</w:t>
      </w:r>
    </w:p>
    <w:p>
      <w:pPr>
        <w:pStyle w:val="Heading3"/>
        <w:keepNext/>
        <w:spacing w:before="280" w:after="120"/>
      </w:pPr>
      <w:r>
        <w:rPr>
          <w:rFonts w:ascii="Calibri" w:hAnsi="Calibri"/>
          <w:b/>
          <w:i w:val="0"/>
          <w:color w:val="1F3A5F"/>
          <w:sz w:val="24"/>
        </w:rPr>
        <w:t>3.2.8  Phase-4 Quality Assessment (Dybå &amp; Dingsøyr 11-question rubric)</w:t>
      </w:r>
    </w:p>
    <w:p>
      <w:pPr>
        <w:spacing w:before="0" w:after="80" w:line="276" w:lineRule="auto"/>
      </w:pPr>
      <w:r>
        <w:rPr>
          <w:rFonts w:ascii="Calibri" w:hAnsi="Calibri"/>
          <w:b w:val="0"/>
          <w:i w:val="0"/>
          <w:sz w:val="22"/>
        </w:rPr>
        <w:t>Studies that pass Phase 3 are assessed against the 11 quality questions of [Dybå &amp; Dingsøyr, 2008]. The 11 questions are organised in four issues: (i) reporting; (ii) rigour; (iii) credibility; (iv) relevance. Each question is graded on a dichotomous scale (1 = Yes, 0 = No), with a half point (0.5) allowed for "partially". A study is retained when the total score reaches at least 6 out of 11. The first criterion (Q1) acts as a hard filter: studies that are "lessons learned" without research design are excluded independently of their overall score.</w:t>
      </w:r>
    </w:p>
    <w:tbl>
      <w:tblPr>
        <w:tblStyle w:val="LightGrid-Accent1"/>
        <w:tblW w:type="auto" w:w="0"/>
        <w:jc w:val="center"/>
        <w:tblLayout w:type="fixed"/>
        <w:tblLook w:firstColumn="1" w:firstRow="1" w:lastColumn="0" w:lastRow="0" w:noHBand="0" w:noVBand="1" w:val="04A0"/>
      </w:tblPr>
      <w:tblGrid>
        <w:gridCol w:w="2268"/>
        <w:gridCol w:w="2268"/>
        <w:gridCol w:w="2268"/>
        <w:gridCol w:w="2268"/>
      </w:tblGrid>
      <w:tr>
        <w:tc>
          <w:tcPr>
            <w:tcW w:type="dxa" w:w="1134"/>
            <w:shd w:val="clear" w:color="auto" w:fill="1F3A5F"/>
            <w:vAlign w:val="center"/>
          </w:tcPr>
          <w:p>
            <w:r/>
            <w:r>
              <w:rPr>
                <w:rFonts w:ascii="Calibri" w:hAnsi="Calibri"/>
                <w:b/>
                <w:i w:val="0"/>
                <w:color w:val="FFFFFF"/>
                <w:sz w:val="20"/>
              </w:rPr>
              <w:t>Issue</w:t>
            </w:r>
          </w:p>
        </w:tc>
        <w:tc>
          <w:tcPr>
            <w:tcW w:type="dxa" w:w="454"/>
            <w:shd w:val="clear" w:color="auto" w:fill="1F3A5F"/>
            <w:vAlign w:val="center"/>
          </w:tcPr>
          <w:p>
            <w:r/>
            <w:r>
              <w:rPr>
                <w:rFonts w:ascii="Calibri" w:hAnsi="Calibri"/>
                <w:b/>
                <w:i w:val="0"/>
                <w:color w:val="FFFFFF"/>
                <w:sz w:val="20"/>
              </w:rPr>
              <w:t>#</w:t>
            </w:r>
          </w:p>
        </w:tc>
        <w:tc>
          <w:tcPr>
            <w:tcW w:type="dxa" w:w="5896"/>
            <w:shd w:val="clear" w:color="auto" w:fill="1F3A5F"/>
            <w:vAlign w:val="center"/>
          </w:tcPr>
          <w:p>
            <w:r/>
            <w:r>
              <w:rPr>
                <w:rFonts w:ascii="Calibri" w:hAnsi="Calibri"/>
                <w:b/>
                <w:i w:val="0"/>
                <w:color w:val="FFFFFF"/>
                <w:sz w:val="20"/>
              </w:rPr>
              <w:t>Question</w:t>
            </w:r>
          </w:p>
        </w:tc>
        <w:tc>
          <w:tcPr>
            <w:tcW w:type="dxa" w:w="1587"/>
            <w:shd w:val="clear" w:color="auto" w:fill="1F3A5F"/>
            <w:vAlign w:val="center"/>
          </w:tcPr>
          <w:p>
            <w:r/>
            <w:r>
              <w:rPr>
                <w:rFonts w:ascii="Calibri" w:hAnsi="Calibri"/>
                <w:b/>
                <w:i w:val="0"/>
                <w:color w:val="FFFFFF"/>
                <w:sz w:val="20"/>
              </w:rPr>
              <w:t>Map to thesis RQ(s)</w:t>
            </w:r>
          </w:p>
        </w:tc>
      </w:tr>
      <w:tr>
        <w:tc>
          <w:tcPr>
            <w:tcW w:type="dxa" w:w="1134"/>
            <w:vAlign w:val="center"/>
          </w:tcPr>
          <w:p>
            <w:r/>
            <w:r>
              <w:rPr>
                <w:rFonts w:ascii="Calibri" w:hAnsi="Calibri"/>
                <w:b w:val="0"/>
                <w:i w:val="0"/>
                <w:sz w:val="20"/>
              </w:rPr>
              <w:t>Reporting</w:t>
            </w:r>
          </w:p>
        </w:tc>
        <w:tc>
          <w:tcPr>
            <w:tcW w:type="dxa" w:w="454"/>
            <w:vAlign w:val="center"/>
          </w:tcPr>
          <w:p>
            <w:r/>
            <w:r>
              <w:rPr>
                <w:rFonts w:ascii="Calibri" w:hAnsi="Calibri"/>
                <w:b w:val="0"/>
                <w:i w:val="0"/>
                <w:sz w:val="20"/>
              </w:rPr>
              <w:t>Q1</w:t>
            </w:r>
          </w:p>
        </w:tc>
        <w:tc>
          <w:tcPr>
            <w:tcW w:type="dxa" w:w="5896"/>
            <w:vAlign w:val="center"/>
          </w:tcPr>
          <w:p>
            <w:r/>
            <w:r>
              <w:rPr>
                <w:rFonts w:ascii="Calibri" w:hAnsi="Calibri"/>
                <w:b w:val="0"/>
                <w:i w:val="0"/>
                <w:sz w:val="20"/>
              </w:rPr>
              <w:t>Did the study report empirical research (vs a "lessons-learned" or pure-opinion piece)?</w:t>
            </w:r>
          </w:p>
        </w:tc>
        <w:tc>
          <w:tcPr>
            <w:tcW w:type="dxa" w:w="1587"/>
            <w:vAlign w:val="center"/>
          </w:tcPr>
          <w:p>
            <w:r/>
            <w:r>
              <w:rPr>
                <w:rFonts w:ascii="Calibri" w:hAnsi="Calibri"/>
                <w:b w:val="0"/>
                <w:i w:val="0"/>
                <w:sz w:val="20"/>
              </w:rPr>
              <w:t>— (hard filter)</w:t>
            </w:r>
          </w:p>
        </w:tc>
      </w:tr>
      <w:tr>
        <w:tc>
          <w:tcPr>
            <w:tcW w:type="dxa" w:w="1134"/>
            <w:vAlign w:val="center"/>
          </w:tcPr>
          <w:p>
            <w:r/>
            <w:r>
              <w:rPr>
                <w:rFonts w:ascii="Calibri" w:hAnsi="Calibri"/>
                <w:b w:val="0"/>
                <w:i w:val="0"/>
                <w:sz w:val="20"/>
              </w:rPr>
              <w:t>Reporting</w:t>
            </w:r>
          </w:p>
        </w:tc>
        <w:tc>
          <w:tcPr>
            <w:tcW w:type="dxa" w:w="454"/>
            <w:vAlign w:val="center"/>
          </w:tcPr>
          <w:p>
            <w:r/>
            <w:r>
              <w:rPr>
                <w:rFonts w:ascii="Calibri" w:hAnsi="Calibri"/>
                <w:b w:val="0"/>
                <w:i w:val="0"/>
                <w:sz w:val="20"/>
              </w:rPr>
              <w:t>Q2</w:t>
            </w:r>
          </w:p>
        </w:tc>
        <w:tc>
          <w:tcPr>
            <w:tcW w:type="dxa" w:w="5896"/>
            <w:vAlign w:val="center"/>
          </w:tcPr>
          <w:p>
            <w:r/>
            <w:r>
              <w:rPr>
                <w:rFonts w:ascii="Calibri" w:hAnsi="Calibri"/>
                <w:b w:val="0"/>
                <w:i w:val="0"/>
                <w:sz w:val="20"/>
              </w:rPr>
              <w:t>Were the aims and objectives clearly reported, including a rationale for the study?</w:t>
            </w:r>
          </w:p>
        </w:tc>
        <w:tc>
          <w:tcPr>
            <w:tcW w:type="dxa" w:w="1587"/>
            <w:vAlign w:val="center"/>
          </w:tcPr>
          <w:p>
            <w:r/>
            <w:r>
              <w:rPr>
                <w:rFonts w:ascii="Calibri" w:hAnsi="Calibri"/>
                <w:b w:val="0"/>
                <w:i w:val="0"/>
                <w:sz w:val="20"/>
              </w:rPr>
              <w:t>RQ1–RQ4</w:t>
            </w:r>
          </w:p>
        </w:tc>
      </w:tr>
      <w:tr>
        <w:tc>
          <w:tcPr>
            <w:tcW w:type="dxa" w:w="1134"/>
            <w:vAlign w:val="center"/>
          </w:tcPr>
          <w:p>
            <w:r/>
            <w:r>
              <w:rPr>
                <w:rFonts w:ascii="Calibri" w:hAnsi="Calibri"/>
                <w:b w:val="0"/>
                <w:i w:val="0"/>
                <w:sz w:val="20"/>
              </w:rPr>
              <w:t>Reporting</w:t>
            </w:r>
          </w:p>
        </w:tc>
        <w:tc>
          <w:tcPr>
            <w:tcW w:type="dxa" w:w="454"/>
            <w:vAlign w:val="center"/>
          </w:tcPr>
          <w:p>
            <w:r/>
            <w:r>
              <w:rPr>
                <w:rFonts w:ascii="Calibri" w:hAnsi="Calibri"/>
                <w:b w:val="0"/>
                <w:i w:val="0"/>
                <w:sz w:val="20"/>
              </w:rPr>
              <w:t>Q3</w:t>
            </w:r>
          </w:p>
        </w:tc>
        <w:tc>
          <w:tcPr>
            <w:tcW w:type="dxa" w:w="5896"/>
            <w:vAlign w:val="center"/>
          </w:tcPr>
          <w:p>
            <w:r/>
            <w:r>
              <w:rPr>
                <w:rFonts w:ascii="Calibri" w:hAnsi="Calibri"/>
                <w:b w:val="0"/>
                <w:i w:val="0"/>
                <w:sz w:val="20"/>
              </w:rPr>
              <w:t>Was the context (system / dataset / industrial setting) adequately described?</w:t>
            </w:r>
          </w:p>
        </w:tc>
        <w:tc>
          <w:tcPr>
            <w:tcW w:type="dxa" w:w="1587"/>
            <w:vAlign w:val="center"/>
          </w:tcPr>
          <w:p>
            <w:r/>
            <w:r>
              <w:rPr>
                <w:rFonts w:ascii="Calibri" w:hAnsi="Calibri"/>
                <w:b w:val="0"/>
                <w:i w:val="0"/>
                <w:sz w:val="20"/>
              </w:rPr>
              <w:t>RQ1, RQ3</w:t>
            </w:r>
          </w:p>
        </w:tc>
      </w:tr>
      <w:tr>
        <w:tc>
          <w:tcPr>
            <w:tcW w:type="dxa" w:w="1134"/>
            <w:vAlign w:val="center"/>
          </w:tcPr>
          <w:p>
            <w:r/>
            <w:r>
              <w:rPr>
                <w:rFonts w:ascii="Calibri" w:hAnsi="Calibri"/>
                <w:b w:val="0"/>
                <w:i w:val="0"/>
                <w:sz w:val="20"/>
              </w:rPr>
              <w:t>Rigour</w:t>
            </w:r>
          </w:p>
        </w:tc>
        <w:tc>
          <w:tcPr>
            <w:tcW w:type="dxa" w:w="454"/>
            <w:vAlign w:val="center"/>
          </w:tcPr>
          <w:p>
            <w:r/>
            <w:r>
              <w:rPr>
                <w:rFonts w:ascii="Calibri" w:hAnsi="Calibri"/>
                <w:b w:val="0"/>
                <w:i w:val="0"/>
                <w:sz w:val="20"/>
              </w:rPr>
              <w:t>Q4</w:t>
            </w:r>
          </w:p>
        </w:tc>
        <w:tc>
          <w:tcPr>
            <w:tcW w:type="dxa" w:w="5896"/>
            <w:vAlign w:val="center"/>
          </w:tcPr>
          <w:p>
            <w:r/>
            <w:r>
              <w:rPr>
                <w:rFonts w:ascii="Calibri" w:hAnsi="Calibri"/>
                <w:b w:val="0"/>
                <w:i w:val="0"/>
                <w:sz w:val="20"/>
              </w:rPr>
              <w:t>Was the research design appropriate to address the aims of the research?</w:t>
            </w:r>
          </w:p>
        </w:tc>
        <w:tc>
          <w:tcPr>
            <w:tcW w:type="dxa" w:w="1587"/>
            <w:vAlign w:val="center"/>
          </w:tcPr>
          <w:p>
            <w:r/>
            <w:r>
              <w:rPr>
                <w:rFonts w:ascii="Calibri" w:hAnsi="Calibri"/>
                <w:b w:val="0"/>
                <w:i w:val="0"/>
                <w:sz w:val="20"/>
              </w:rPr>
              <w:t>RQ3, RQ4</w:t>
            </w:r>
          </w:p>
        </w:tc>
      </w:tr>
      <w:tr>
        <w:tc>
          <w:tcPr>
            <w:tcW w:type="dxa" w:w="1134"/>
            <w:vAlign w:val="center"/>
          </w:tcPr>
          <w:p>
            <w:r/>
            <w:r>
              <w:rPr>
                <w:rFonts w:ascii="Calibri" w:hAnsi="Calibri"/>
                <w:b w:val="0"/>
                <w:i w:val="0"/>
                <w:sz w:val="20"/>
              </w:rPr>
              <w:t>Rigour</w:t>
            </w:r>
          </w:p>
        </w:tc>
        <w:tc>
          <w:tcPr>
            <w:tcW w:type="dxa" w:w="454"/>
            <w:vAlign w:val="center"/>
          </w:tcPr>
          <w:p>
            <w:r/>
            <w:r>
              <w:rPr>
                <w:rFonts w:ascii="Calibri" w:hAnsi="Calibri"/>
                <w:b w:val="0"/>
                <w:i w:val="0"/>
                <w:sz w:val="20"/>
              </w:rPr>
              <w:t>Q5</w:t>
            </w:r>
          </w:p>
        </w:tc>
        <w:tc>
          <w:tcPr>
            <w:tcW w:type="dxa" w:w="5896"/>
            <w:vAlign w:val="center"/>
          </w:tcPr>
          <w:p>
            <w:r/>
            <w:r>
              <w:rPr>
                <w:rFonts w:ascii="Calibri" w:hAnsi="Calibri"/>
                <w:b w:val="0"/>
                <w:i w:val="0"/>
                <w:sz w:val="20"/>
              </w:rPr>
              <w:t>Was the sample (systems, services, microbenchmarks, dataset) adequately described?</w:t>
            </w:r>
          </w:p>
        </w:tc>
        <w:tc>
          <w:tcPr>
            <w:tcW w:type="dxa" w:w="1587"/>
            <w:vAlign w:val="center"/>
          </w:tcPr>
          <w:p>
            <w:r/>
            <w:r>
              <w:rPr>
                <w:rFonts w:ascii="Calibri" w:hAnsi="Calibri"/>
                <w:b w:val="0"/>
                <w:i w:val="0"/>
                <w:sz w:val="20"/>
              </w:rPr>
              <w:t>RQ3</w:t>
            </w:r>
          </w:p>
        </w:tc>
      </w:tr>
      <w:tr>
        <w:tc>
          <w:tcPr>
            <w:tcW w:type="dxa" w:w="1134"/>
            <w:vAlign w:val="center"/>
          </w:tcPr>
          <w:p>
            <w:r/>
            <w:r>
              <w:rPr>
                <w:rFonts w:ascii="Calibri" w:hAnsi="Calibri"/>
                <w:b w:val="0"/>
                <w:i w:val="0"/>
                <w:sz w:val="20"/>
              </w:rPr>
              <w:t>Rigour</w:t>
            </w:r>
          </w:p>
        </w:tc>
        <w:tc>
          <w:tcPr>
            <w:tcW w:type="dxa" w:w="454"/>
            <w:vAlign w:val="center"/>
          </w:tcPr>
          <w:p>
            <w:r/>
            <w:r>
              <w:rPr>
                <w:rFonts w:ascii="Calibri" w:hAnsi="Calibri"/>
                <w:b w:val="0"/>
                <w:i w:val="0"/>
                <w:sz w:val="20"/>
              </w:rPr>
              <w:t>Q6</w:t>
            </w:r>
          </w:p>
        </w:tc>
        <w:tc>
          <w:tcPr>
            <w:tcW w:type="dxa" w:w="5896"/>
            <w:vAlign w:val="center"/>
          </w:tcPr>
          <w:p>
            <w:r/>
            <w:r>
              <w:rPr>
                <w:rFonts w:ascii="Calibri" w:hAnsi="Calibri"/>
                <w:b w:val="0"/>
                <w:i w:val="0"/>
                <w:sz w:val="20"/>
              </w:rPr>
              <w:t>Were control groups or baselines used to compare the proposed approach against existing techniques?</w:t>
            </w:r>
          </w:p>
        </w:tc>
        <w:tc>
          <w:tcPr>
            <w:tcW w:type="dxa" w:w="1587"/>
            <w:vAlign w:val="center"/>
          </w:tcPr>
          <w:p>
            <w:r/>
            <w:r>
              <w:rPr>
                <w:rFonts w:ascii="Calibri" w:hAnsi="Calibri"/>
                <w:b w:val="0"/>
                <w:i w:val="0"/>
                <w:sz w:val="20"/>
              </w:rPr>
              <w:t>RQ3</w:t>
            </w:r>
          </w:p>
        </w:tc>
      </w:tr>
      <w:tr>
        <w:tc>
          <w:tcPr>
            <w:tcW w:type="dxa" w:w="1134"/>
            <w:vAlign w:val="center"/>
          </w:tcPr>
          <w:p>
            <w:r/>
            <w:r>
              <w:rPr>
                <w:rFonts w:ascii="Calibri" w:hAnsi="Calibri"/>
                <w:b w:val="0"/>
                <w:i w:val="0"/>
                <w:sz w:val="20"/>
              </w:rPr>
              <w:t>Rigour</w:t>
            </w:r>
          </w:p>
        </w:tc>
        <w:tc>
          <w:tcPr>
            <w:tcW w:type="dxa" w:w="454"/>
            <w:vAlign w:val="center"/>
          </w:tcPr>
          <w:p>
            <w:r/>
            <w:r>
              <w:rPr>
                <w:rFonts w:ascii="Calibri" w:hAnsi="Calibri"/>
                <w:b w:val="0"/>
                <w:i w:val="0"/>
                <w:sz w:val="20"/>
              </w:rPr>
              <w:t>Q7</w:t>
            </w:r>
          </w:p>
        </w:tc>
        <w:tc>
          <w:tcPr>
            <w:tcW w:type="dxa" w:w="5896"/>
            <w:vAlign w:val="center"/>
          </w:tcPr>
          <w:p>
            <w:r/>
            <w:r>
              <w:rPr>
                <w:rFonts w:ascii="Calibri" w:hAnsi="Calibri"/>
                <w:b w:val="0"/>
                <w:i w:val="0"/>
                <w:sz w:val="20"/>
              </w:rPr>
              <w:t>Were the data-collection methods described in sufficient detail (static signals, telemetry signals, manual labels)?</w:t>
            </w:r>
          </w:p>
        </w:tc>
        <w:tc>
          <w:tcPr>
            <w:tcW w:type="dxa" w:w="1587"/>
            <w:vAlign w:val="center"/>
          </w:tcPr>
          <w:p>
            <w:r/>
            <w:r>
              <w:rPr>
                <w:rFonts w:ascii="Calibri" w:hAnsi="Calibri"/>
                <w:b w:val="0"/>
                <w:i w:val="0"/>
                <w:sz w:val="20"/>
              </w:rPr>
              <w:t>RQ1, RQ3</w:t>
            </w:r>
          </w:p>
        </w:tc>
      </w:tr>
      <w:tr>
        <w:tc>
          <w:tcPr>
            <w:tcW w:type="dxa" w:w="1134"/>
            <w:vAlign w:val="center"/>
          </w:tcPr>
          <w:p>
            <w:r/>
            <w:r>
              <w:rPr>
                <w:rFonts w:ascii="Calibri" w:hAnsi="Calibri"/>
                <w:b w:val="0"/>
                <w:i w:val="0"/>
                <w:sz w:val="20"/>
              </w:rPr>
              <w:t>Rigour</w:t>
            </w:r>
          </w:p>
        </w:tc>
        <w:tc>
          <w:tcPr>
            <w:tcW w:type="dxa" w:w="454"/>
            <w:vAlign w:val="center"/>
          </w:tcPr>
          <w:p>
            <w:r/>
            <w:r>
              <w:rPr>
                <w:rFonts w:ascii="Calibri" w:hAnsi="Calibri"/>
                <w:b w:val="0"/>
                <w:i w:val="0"/>
                <w:sz w:val="20"/>
              </w:rPr>
              <w:t>Q8</w:t>
            </w:r>
          </w:p>
        </w:tc>
        <w:tc>
          <w:tcPr>
            <w:tcW w:type="dxa" w:w="5896"/>
            <w:vAlign w:val="center"/>
          </w:tcPr>
          <w:p>
            <w:r/>
            <w:r>
              <w:rPr>
                <w:rFonts w:ascii="Calibri" w:hAnsi="Calibri"/>
                <w:b w:val="0"/>
                <w:i w:val="0"/>
                <w:sz w:val="20"/>
              </w:rPr>
              <w:t>Were the data-analysis methods adequately described and grounded in the collected data?</w:t>
            </w:r>
          </w:p>
        </w:tc>
        <w:tc>
          <w:tcPr>
            <w:tcW w:type="dxa" w:w="1587"/>
            <w:vAlign w:val="center"/>
          </w:tcPr>
          <w:p>
            <w:r/>
            <w:r>
              <w:rPr>
                <w:rFonts w:ascii="Calibri" w:hAnsi="Calibri"/>
                <w:b w:val="0"/>
                <w:i w:val="0"/>
                <w:sz w:val="20"/>
              </w:rPr>
              <w:t>RQ3</w:t>
            </w:r>
          </w:p>
        </w:tc>
      </w:tr>
      <w:tr>
        <w:tc>
          <w:tcPr>
            <w:tcW w:type="dxa" w:w="1134"/>
            <w:vAlign w:val="center"/>
          </w:tcPr>
          <w:p>
            <w:r/>
            <w:r>
              <w:rPr>
                <w:rFonts w:ascii="Calibri" w:hAnsi="Calibri"/>
                <w:b w:val="0"/>
                <w:i w:val="0"/>
                <w:sz w:val="20"/>
              </w:rPr>
              <w:t>Credibility</w:t>
            </w:r>
          </w:p>
        </w:tc>
        <w:tc>
          <w:tcPr>
            <w:tcW w:type="dxa" w:w="454"/>
            <w:vAlign w:val="center"/>
          </w:tcPr>
          <w:p>
            <w:r/>
            <w:r>
              <w:rPr>
                <w:rFonts w:ascii="Calibri" w:hAnsi="Calibri"/>
                <w:b w:val="0"/>
                <w:i w:val="0"/>
                <w:sz w:val="20"/>
              </w:rPr>
              <w:t>Q9</w:t>
            </w:r>
          </w:p>
        </w:tc>
        <w:tc>
          <w:tcPr>
            <w:tcW w:type="dxa" w:w="5896"/>
            <w:vAlign w:val="center"/>
          </w:tcPr>
          <w:p>
            <w:r/>
            <w:r>
              <w:rPr>
                <w:rFonts w:ascii="Calibri" w:hAnsi="Calibri"/>
                <w:b w:val="0"/>
                <w:i w:val="0"/>
                <w:sz w:val="20"/>
              </w:rPr>
              <w:t>Was the relationship between researcher and participants considered, where applicable?</w:t>
            </w:r>
          </w:p>
        </w:tc>
        <w:tc>
          <w:tcPr>
            <w:tcW w:type="dxa" w:w="1587"/>
            <w:vAlign w:val="center"/>
          </w:tcPr>
          <w:p>
            <w:r/>
            <w:r>
              <w:rPr>
                <w:rFonts w:ascii="Calibri" w:hAnsi="Calibri"/>
                <w:b w:val="0"/>
                <w:i w:val="0"/>
                <w:sz w:val="20"/>
              </w:rPr>
              <w:t>RQ4</w:t>
            </w:r>
          </w:p>
        </w:tc>
      </w:tr>
      <w:tr>
        <w:tc>
          <w:tcPr>
            <w:tcW w:type="dxa" w:w="1134"/>
            <w:vAlign w:val="center"/>
          </w:tcPr>
          <w:p>
            <w:r/>
            <w:r>
              <w:rPr>
                <w:rFonts w:ascii="Calibri" w:hAnsi="Calibri"/>
                <w:b w:val="0"/>
                <w:i w:val="0"/>
                <w:sz w:val="20"/>
              </w:rPr>
              <w:t>Credibility</w:t>
            </w:r>
          </w:p>
        </w:tc>
        <w:tc>
          <w:tcPr>
            <w:tcW w:type="dxa" w:w="454"/>
            <w:vAlign w:val="center"/>
          </w:tcPr>
          <w:p>
            <w:r/>
            <w:r>
              <w:rPr>
                <w:rFonts w:ascii="Calibri" w:hAnsi="Calibri"/>
                <w:b w:val="0"/>
                <w:i w:val="0"/>
                <w:sz w:val="20"/>
              </w:rPr>
              <w:t>Q10</w:t>
            </w:r>
          </w:p>
        </w:tc>
        <w:tc>
          <w:tcPr>
            <w:tcW w:type="dxa" w:w="5896"/>
            <w:vAlign w:val="center"/>
          </w:tcPr>
          <w:p>
            <w:r/>
            <w:r>
              <w:rPr>
                <w:rFonts w:ascii="Calibri" w:hAnsi="Calibri"/>
                <w:b w:val="0"/>
                <w:i w:val="0"/>
                <w:sz w:val="20"/>
              </w:rPr>
              <w:t>Are the findings clearly stated, with credible results and justified conclusions?</w:t>
            </w:r>
          </w:p>
        </w:tc>
        <w:tc>
          <w:tcPr>
            <w:tcW w:type="dxa" w:w="1587"/>
            <w:vAlign w:val="center"/>
          </w:tcPr>
          <w:p>
            <w:r/>
            <w:r>
              <w:rPr>
                <w:rFonts w:ascii="Calibri" w:hAnsi="Calibri"/>
                <w:b w:val="0"/>
                <w:i w:val="0"/>
                <w:sz w:val="20"/>
              </w:rPr>
              <w:t>RQ1–RQ4</w:t>
            </w:r>
          </w:p>
        </w:tc>
      </w:tr>
      <w:tr>
        <w:tc>
          <w:tcPr>
            <w:tcW w:type="dxa" w:w="1134"/>
            <w:vAlign w:val="center"/>
          </w:tcPr>
          <w:p>
            <w:r/>
            <w:r>
              <w:rPr>
                <w:rFonts w:ascii="Calibri" w:hAnsi="Calibri"/>
                <w:b w:val="0"/>
                <w:i w:val="0"/>
                <w:sz w:val="20"/>
              </w:rPr>
              <w:t>Relevance</w:t>
            </w:r>
          </w:p>
        </w:tc>
        <w:tc>
          <w:tcPr>
            <w:tcW w:type="dxa" w:w="454"/>
            <w:vAlign w:val="center"/>
          </w:tcPr>
          <w:p>
            <w:r/>
            <w:r>
              <w:rPr>
                <w:rFonts w:ascii="Calibri" w:hAnsi="Calibri"/>
                <w:b w:val="0"/>
                <w:i w:val="0"/>
                <w:sz w:val="20"/>
              </w:rPr>
              <w:t>Q11</w:t>
            </w:r>
          </w:p>
        </w:tc>
        <w:tc>
          <w:tcPr>
            <w:tcW w:type="dxa" w:w="5896"/>
            <w:vAlign w:val="center"/>
          </w:tcPr>
          <w:p>
            <w:r/>
            <w:r>
              <w:rPr>
                <w:rFonts w:ascii="Calibri" w:hAnsi="Calibri"/>
                <w:b w:val="0"/>
                <w:i w:val="0"/>
                <w:sz w:val="20"/>
              </w:rPr>
              <w:t>Does the study provide value for research or practice in distributed-software quality assessment?</w:t>
            </w:r>
          </w:p>
        </w:tc>
        <w:tc>
          <w:tcPr>
            <w:tcW w:type="dxa" w:w="1587"/>
            <w:vAlign w:val="center"/>
          </w:tcPr>
          <w:p>
            <w:r/>
            <w:r>
              <w:rPr>
                <w:rFonts w:ascii="Calibri" w:hAnsi="Calibri"/>
                <w:b w:val="0"/>
                <w:i w:val="0"/>
                <w:sz w:val="20"/>
              </w:rPr>
              <w:t>RQ1–RQ4</w:t>
            </w:r>
          </w:p>
        </w:tc>
      </w:tr>
    </w:tbl>
    <w:p>
      <w:pPr>
        <w:spacing w:before="40" w:after="200"/>
        <w:jc w:val="center"/>
      </w:pPr>
      <w:r>
        <w:rPr>
          <w:rFonts w:ascii="Calibri" w:hAnsi="Calibri"/>
          <w:b w:val="0"/>
          <w:i/>
          <w:color w:val="555555"/>
          <w:sz w:val="18"/>
        </w:rPr>
        <w:t>Table 7 — Phase-4 quality assessment using the 11 questions of [Dybå &amp; Dingsøyr, 2008], mapped to the thesis research questions.</w:t>
      </w:r>
    </w:p>
    <w:p>
      <w:pPr>
        <w:pStyle w:val="Heading3"/>
        <w:keepNext/>
        <w:spacing w:before="280" w:after="120"/>
      </w:pPr>
      <w:r>
        <w:rPr>
          <w:rFonts w:ascii="Calibri" w:hAnsi="Calibri"/>
          <w:b/>
          <w:i w:val="0"/>
          <w:color w:val="1F3A5F"/>
          <w:sz w:val="24"/>
        </w:rPr>
        <w:t>3.2.9  Inter-rater Agreement, Data Extraction and Synthesis</w:t>
      </w:r>
    </w:p>
    <w:p>
      <w:pPr>
        <w:spacing w:before="0" w:after="40" w:line="276" w:lineRule="auto"/>
      </w:pPr>
      <w:r>
        <w:rPr>
          <w:rFonts w:ascii="Calibri" w:hAnsi="Calibri"/>
          <w:b/>
          <w:i w:val="0"/>
          <w:sz w:val="22"/>
        </w:rPr>
        <w:t>Inter-rater agreement.</w:t>
      </w:r>
    </w:p>
    <w:p>
      <w:pPr>
        <w:spacing w:before="0" w:after="80" w:line="276" w:lineRule="auto"/>
      </w:pPr>
      <w:r>
        <w:rPr>
          <w:rFonts w:ascii="Calibri" w:hAnsi="Calibri"/>
          <w:b w:val="0"/>
          <w:i w:val="0"/>
          <w:sz w:val="22"/>
        </w:rPr>
        <w:t>A sample of 31 candidate studies — the most recent records returned by the automated search — was independently classified by the candidate and one of the supervisors. Agreement was measured using Cohen's kappa coefficient. A substantial level of agreement (κ ≈ 0.63) was obtained. Disagreements were resolved through discussion. As an additional consistency check, the operationalised Phase-2 rule of §3.2.6 was applied retrospectively to the 47 V4 papers that were already classified during the preliminary V3 screening; the rule reproduced the candidate's INC/EXC decision in 72.3 % of cases. The remaining 27.7 % were manually reviewed; in 12 cases the candidate's decision was preserved because it relied on full-text reading beyond what an automated abstract-based rule can capture.</w:t>
      </w:r>
    </w:p>
    <w:p>
      <w:pPr>
        <w:spacing w:before="0" w:after="40" w:line="276" w:lineRule="auto"/>
      </w:pPr>
      <w:r>
        <w:rPr>
          <w:rFonts w:ascii="Calibri" w:hAnsi="Calibri"/>
          <w:b/>
          <w:i w:val="0"/>
          <w:sz w:val="22"/>
        </w:rPr>
        <w:t>Data extraction.</w:t>
      </w:r>
    </w:p>
    <w:p>
      <w:pPr>
        <w:spacing w:before="0" w:after="80" w:line="276" w:lineRule="auto"/>
      </w:pPr>
      <w:r>
        <w:rPr>
          <w:rFonts w:ascii="Calibri" w:hAnsi="Calibri"/>
          <w:b w:val="0"/>
          <w:i w:val="0"/>
          <w:sz w:val="22"/>
        </w:rPr>
        <w:t>For each of the 113 primary studies, the following items were extracted into a structured spreadsheet (Appendix B): (i) identifier (Sxxx); (ii) full reference; (iii) year and venue type; (iv) source (V4 search or snowballing); (v) domain and architectural style; (vi) approach taxonomy (F1); (vii) AI/ML technique used, if any (F3); (viii) evidence sources / telemetry signals (F4); (ix) architectural concern addressed (F5); (x) quality outcome targeted (F6); (xi) programming language focus (F7); (xii) validation method (F8); (xiii) tool/dataset availability (F9); (xiv) explainability provisions (F10); (xv) STAR-candidate flag; (xvi) answer(s) to RQs.</w:t>
      </w:r>
    </w:p>
    <w:p>
      <w:pPr>
        <w:spacing w:before="0" w:after="40" w:line="276" w:lineRule="auto"/>
      </w:pPr>
      <w:r>
        <w:rPr>
          <w:rFonts w:ascii="Calibri" w:hAnsi="Calibri"/>
          <w:b/>
          <w:i w:val="0"/>
          <w:sz w:val="22"/>
        </w:rPr>
        <w:t>Data synthesis.</w:t>
      </w:r>
    </w:p>
    <w:p>
      <w:pPr>
        <w:spacing w:before="0" w:after="80" w:line="276" w:lineRule="auto"/>
      </w:pPr>
      <w:r>
        <w:rPr>
          <w:rFonts w:ascii="Calibri" w:hAnsi="Calibri"/>
          <w:b w:val="0"/>
          <w:i w:val="0"/>
          <w:sz w:val="22"/>
        </w:rPr>
        <w:t>Synthesis follows a meta-ethnographic approach [Noblit &amp; Hare, 1988]. Per facet, frequencies are computed and used to reveal dominant strategies and gaps. The mapping between primary approach and architectural concern is shown in Figure 7 (heat-map). For each STAR-candidate study, a deep-dive paragraph in Sections 4.2, 4.6 and 4.11 reports the dataset/system used, the specific algorithm and the headline quantitative results.</w:t>
      </w:r>
    </w:p>
    <w:p>
      <w:pPr>
        <w:pStyle w:val="Heading1"/>
        <w:keepNext/>
        <w:spacing w:before="360" w:after="120"/>
      </w:pPr>
      <w:r>
        <w:rPr>
          <w:rFonts w:ascii="Calibri" w:hAnsi="Calibri"/>
          <w:b/>
          <w:i w:val="0"/>
          <w:color w:val="1F3A5F"/>
          <w:sz w:val="36"/>
        </w:rPr>
        <w:t>4  Results and Analysis</w:t>
      </w:r>
    </w:p>
    <w:p>
      <w:pPr>
        <w:spacing w:before="0" w:after="80" w:line="276" w:lineRule="auto"/>
      </w:pPr>
      <w:r>
        <w:rPr>
          <w:rFonts w:ascii="Calibri" w:hAnsi="Calibri"/>
          <w:b w:val="0"/>
          <w:i w:val="0"/>
          <w:sz w:val="22"/>
        </w:rPr>
        <w:t>This section presents the analysis of the 113 primary studies (S001–S113) along eleven facets (F1–F11). 79 studies come from the V4 search; 34 come from backward snowballing. The mapping from each study to its identifier and bibliographic details is given in Appendix A. The STAR-candidate studies — those most strongly aligned with the four research questions — are summarised in Appendix C and discussed in detail in Sections 4.2, 4.6 and 4.11.</w:t>
      </w:r>
    </w:p>
    <w:p>
      <w:pPr>
        <w:pStyle w:val="Heading2"/>
        <w:keepNext/>
        <w:spacing w:before="280" w:after="120"/>
      </w:pPr>
      <w:r>
        <w:rPr>
          <w:rFonts w:ascii="Calibri" w:hAnsi="Calibri"/>
          <w:b/>
          <w:i w:val="0"/>
          <w:color w:val="1F3A5F"/>
          <w:sz w:val="28"/>
        </w:rPr>
        <w:t>4.1  Overview of the Primary Studies</w:t>
      </w:r>
    </w:p>
    <w:tbl>
      <w:tblPr>
        <w:tblStyle w:val="LightGrid-Accent1"/>
        <w:tblW w:type="auto" w:w="0"/>
        <w:jc w:val="center"/>
        <w:tblLayout w:type="fixed"/>
        <w:tblLook w:firstColumn="1" w:firstRow="1" w:lastColumn="0" w:lastRow="0" w:noHBand="0" w:noVBand="1" w:val="04A0"/>
      </w:tblPr>
      <w:tblGrid>
        <w:gridCol w:w="3024"/>
        <w:gridCol w:w="3024"/>
        <w:gridCol w:w="3024"/>
      </w:tblGrid>
      <w:tr>
        <w:tc>
          <w:tcPr>
            <w:tcW w:type="dxa" w:w="1417"/>
            <w:shd w:val="clear" w:color="auto" w:fill="1F3A5F"/>
            <w:vAlign w:val="center"/>
          </w:tcPr>
          <w:p>
            <w:r/>
            <w:r>
              <w:rPr>
                <w:rFonts w:ascii="Calibri" w:hAnsi="Calibri"/>
                <w:b/>
                <w:i w:val="0"/>
                <w:color w:val="FFFFFF"/>
                <w:sz w:val="20"/>
              </w:rPr>
              <w:t>Year</w:t>
            </w:r>
          </w:p>
        </w:tc>
        <w:tc>
          <w:tcPr>
            <w:tcW w:type="dxa" w:w="1701"/>
            <w:shd w:val="clear" w:color="auto" w:fill="1F3A5F"/>
            <w:vAlign w:val="center"/>
          </w:tcPr>
          <w:p>
            <w:r/>
            <w:r>
              <w:rPr>
                <w:rFonts w:ascii="Calibri" w:hAnsi="Calibri"/>
                <w:b/>
                <w:i w:val="0"/>
                <w:color w:val="FFFFFF"/>
                <w:sz w:val="20"/>
              </w:rPr>
              <w:t># studies</w:t>
            </w:r>
          </w:p>
        </w:tc>
        <w:tc>
          <w:tcPr>
            <w:tcW w:type="dxa" w:w="1701"/>
            <w:shd w:val="clear" w:color="auto" w:fill="1F3A5F"/>
            <w:vAlign w:val="center"/>
          </w:tcPr>
          <w:p>
            <w:r/>
            <w:r>
              <w:rPr>
                <w:rFonts w:ascii="Calibri" w:hAnsi="Calibri"/>
                <w:b/>
                <w:i w:val="0"/>
                <w:color w:val="FFFFFF"/>
                <w:sz w:val="20"/>
              </w:rPr>
              <w:t>% of corpus</w:t>
            </w:r>
          </w:p>
        </w:tc>
      </w:tr>
      <w:tr>
        <w:tc>
          <w:tcPr>
            <w:tcW w:type="dxa" w:w="1417"/>
            <w:vAlign w:val="center"/>
          </w:tcPr>
          <w:p>
            <w:r/>
            <w:r>
              <w:rPr>
                <w:rFonts w:ascii="Calibri" w:hAnsi="Calibri"/>
                <w:b w:val="0"/>
                <w:i w:val="0"/>
                <w:sz w:val="20"/>
              </w:rPr>
              <w:t>2014</w:t>
            </w:r>
          </w:p>
        </w:tc>
        <w:tc>
          <w:tcPr>
            <w:tcW w:type="dxa" w:w="1701"/>
            <w:vAlign w:val="center"/>
          </w:tcPr>
          <w:p>
            <w:r/>
            <w:r>
              <w:rPr>
                <w:rFonts w:ascii="Calibri" w:hAnsi="Calibri"/>
                <w:b w:val="0"/>
                <w:i w:val="0"/>
                <w:sz w:val="20"/>
              </w:rPr>
              <w:t>2</w:t>
            </w:r>
          </w:p>
        </w:tc>
        <w:tc>
          <w:tcPr>
            <w:tcW w:type="dxa" w:w="1701"/>
            <w:vAlign w:val="center"/>
          </w:tcPr>
          <w:p>
            <w:r/>
            <w:r>
              <w:rPr>
                <w:rFonts w:ascii="Calibri" w:hAnsi="Calibri"/>
                <w:b w:val="0"/>
                <w:i w:val="0"/>
                <w:sz w:val="20"/>
              </w:rPr>
              <w:t>1.8%</w:t>
            </w:r>
          </w:p>
        </w:tc>
      </w:tr>
      <w:tr>
        <w:tc>
          <w:tcPr>
            <w:tcW w:type="dxa" w:w="1417"/>
            <w:vAlign w:val="center"/>
          </w:tcPr>
          <w:p>
            <w:r/>
            <w:r>
              <w:rPr>
                <w:rFonts w:ascii="Calibri" w:hAnsi="Calibri"/>
                <w:b w:val="0"/>
                <w:i w:val="0"/>
                <w:sz w:val="20"/>
              </w:rPr>
              <w:t>2015</w:t>
            </w:r>
          </w:p>
        </w:tc>
        <w:tc>
          <w:tcPr>
            <w:tcW w:type="dxa" w:w="1701"/>
            <w:vAlign w:val="center"/>
          </w:tcPr>
          <w:p>
            <w:r/>
            <w:r>
              <w:rPr>
                <w:rFonts w:ascii="Calibri" w:hAnsi="Calibri"/>
                <w:b w:val="0"/>
                <w:i w:val="0"/>
                <w:sz w:val="20"/>
              </w:rPr>
              <w:t>1</w:t>
            </w:r>
          </w:p>
        </w:tc>
        <w:tc>
          <w:tcPr>
            <w:tcW w:type="dxa" w:w="1701"/>
            <w:vAlign w:val="center"/>
          </w:tcPr>
          <w:p>
            <w:r/>
            <w:r>
              <w:rPr>
                <w:rFonts w:ascii="Calibri" w:hAnsi="Calibri"/>
                <w:b w:val="0"/>
                <w:i w:val="0"/>
                <w:sz w:val="20"/>
              </w:rPr>
              <w:t>0.9%</w:t>
            </w:r>
          </w:p>
        </w:tc>
      </w:tr>
      <w:tr>
        <w:tc>
          <w:tcPr>
            <w:tcW w:type="dxa" w:w="1417"/>
            <w:vAlign w:val="center"/>
          </w:tcPr>
          <w:p>
            <w:r/>
            <w:r>
              <w:rPr>
                <w:rFonts w:ascii="Calibri" w:hAnsi="Calibri"/>
                <w:b w:val="0"/>
                <w:i w:val="0"/>
                <w:sz w:val="20"/>
              </w:rPr>
              <w:t>2016</w:t>
            </w:r>
          </w:p>
        </w:tc>
        <w:tc>
          <w:tcPr>
            <w:tcW w:type="dxa" w:w="1701"/>
            <w:vAlign w:val="center"/>
          </w:tcPr>
          <w:p>
            <w:r/>
            <w:r>
              <w:rPr>
                <w:rFonts w:ascii="Calibri" w:hAnsi="Calibri"/>
                <w:b w:val="0"/>
                <w:i w:val="0"/>
                <w:sz w:val="20"/>
              </w:rPr>
              <w:t>2</w:t>
            </w:r>
          </w:p>
        </w:tc>
        <w:tc>
          <w:tcPr>
            <w:tcW w:type="dxa" w:w="1701"/>
            <w:vAlign w:val="center"/>
          </w:tcPr>
          <w:p>
            <w:r/>
            <w:r>
              <w:rPr>
                <w:rFonts w:ascii="Calibri" w:hAnsi="Calibri"/>
                <w:b w:val="0"/>
                <w:i w:val="0"/>
                <w:sz w:val="20"/>
              </w:rPr>
              <w:t>1.8%</w:t>
            </w:r>
          </w:p>
        </w:tc>
      </w:tr>
      <w:tr>
        <w:tc>
          <w:tcPr>
            <w:tcW w:type="dxa" w:w="1417"/>
            <w:vAlign w:val="center"/>
          </w:tcPr>
          <w:p>
            <w:r/>
            <w:r>
              <w:rPr>
                <w:rFonts w:ascii="Calibri" w:hAnsi="Calibri"/>
                <w:b w:val="0"/>
                <w:i w:val="0"/>
                <w:sz w:val="20"/>
              </w:rPr>
              <w:t>2017</w:t>
            </w:r>
          </w:p>
        </w:tc>
        <w:tc>
          <w:tcPr>
            <w:tcW w:type="dxa" w:w="1701"/>
            <w:vAlign w:val="center"/>
          </w:tcPr>
          <w:p>
            <w:r/>
            <w:r>
              <w:rPr>
                <w:rFonts w:ascii="Calibri" w:hAnsi="Calibri"/>
                <w:b w:val="0"/>
                <w:i w:val="0"/>
                <w:sz w:val="20"/>
              </w:rPr>
              <w:t>1</w:t>
            </w:r>
          </w:p>
        </w:tc>
        <w:tc>
          <w:tcPr>
            <w:tcW w:type="dxa" w:w="1701"/>
            <w:vAlign w:val="center"/>
          </w:tcPr>
          <w:p>
            <w:r/>
            <w:r>
              <w:rPr>
                <w:rFonts w:ascii="Calibri" w:hAnsi="Calibri"/>
                <w:b w:val="0"/>
                <w:i w:val="0"/>
                <w:sz w:val="20"/>
              </w:rPr>
              <w:t>0.9%</w:t>
            </w:r>
          </w:p>
        </w:tc>
      </w:tr>
      <w:tr>
        <w:tc>
          <w:tcPr>
            <w:tcW w:type="dxa" w:w="1417"/>
            <w:vAlign w:val="center"/>
          </w:tcPr>
          <w:p>
            <w:r/>
            <w:r>
              <w:rPr>
                <w:rFonts w:ascii="Calibri" w:hAnsi="Calibri"/>
                <w:b w:val="0"/>
                <w:i w:val="0"/>
                <w:sz w:val="20"/>
              </w:rPr>
              <w:t>2018</w:t>
            </w:r>
          </w:p>
        </w:tc>
        <w:tc>
          <w:tcPr>
            <w:tcW w:type="dxa" w:w="1701"/>
            <w:vAlign w:val="center"/>
          </w:tcPr>
          <w:p>
            <w:r/>
            <w:r>
              <w:rPr>
                <w:rFonts w:ascii="Calibri" w:hAnsi="Calibri"/>
                <w:b w:val="0"/>
                <w:i w:val="0"/>
                <w:sz w:val="20"/>
              </w:rPr>
              <w:t>7</w:t>
            </w:r>
          </w:p>
        </w:tc>
        <w:tc>
          <w:tcPr>
            <w:tcW w:type="dxa" w:w="1701"/>
            <w:vAlign w:val="center"/>
          </w:tcPr>
          <w:p>
            <w:r/>
            <w:r>
              <w:rPr>
                <w:rFonts w:ascii="Calibri" w:hAnsi="Calibri"/>
                <w:b w:val="0"/>
                <w:i w:val="0"/>
                <w:sz w:val="20"/>
              </w:rPr>
              <w:t>6.2%</w:t>
            </w:r>
          </w:p>
        </w:tc>
      </w:tr>
      <w:tr>
        <w:tc>
          <w:tcPr>
            <w:tcW w:type="dxa" w:w="1417"/>
            <w:vAlign w:val="center"/>
          </w:tcPr>
          <w:p>
            <w:r/>
            <w:r>
              <w:rPr>
                <w:rFonts w:ascii="Calibri" w:hAnsi="Calibri"/>
                <w:b w:val="0"/>
                <w:i w:val="0"/>
                <w:sz w:val="20"/>
              </w:rPr>
              <w:t>2019</w:t>
            </w:r>
          </w:p>
        </w:tc>
        <w:tc>
          <w:tcPr>
            <w:tcW w:type="dxa" w:w="1701"/>
            <w:vAlign w:val="center"/>
          </w:tcPr>
          <w:p>
            <w:r/>
            <w:r>
              <w:rPr>
                <w:rFonts w:ascii="Calibri" w:hAnsi="Calibri"/>
                <w:b w:val="0"/>
                <w:i w:val="0"/>
                <w:sz w:val="20"/>
              </w:rPr>
              <w:t>4</w:t>
            </w:r>
          </w:p>
        </w:tc>
        <w:tc>
          <w:tcPr>
            <w:tcW w:type="dxa" w:w="1701"/>
            <w:vAlign w:val="center"/>
          </w:tcPr>
          <w:p>
            <w:r/>
            <w:r>
              <w:rPr>
                <w:rFonts w:ascii="Calibri" w:hAnsi="Calibri"/>
                <w:b w:val="0"/>
                <w:i w:val="0"/>
                <w:sz w:val="20"/>
              </w:rPr>
              <w:t>3.5%</w:t>
            </w:r>
          </w:p>
        </w:tc>
      </w:tr>
      <w:tr>
        <w:tc>
          <w:tcPr>
            <w:tcW w:type="dxa" w:w="1417"/>
            <w:vAlign w:val="center"/>
          </w:tcPr>
          <w:p>
            <w:r/>
            <w:r>
              <w:rPr>
                <w:rFonts w:ascii="Calibri" w:hAnsi="Calibri"/>
                <w:b w:val="0"/>
                <w:i w:val="0"/>
                <w:sz w:val="20"/>
              </w:rPr>
              <w:t>2020</w:t>
            </w:r>
          </w:p>
        </w:tc>
        <w:tc>
          <w:tcPr>
            <w:tcW w:type="dxa" w:w="1701"/>
            <w:vAlign w:val="center"/>
          </w:tcPr>
          <w:p>
            <w:r/>
            <w:r>
              <w:rPr>
                <w:rFonts w:ascii="Calibri" w:hAnsi="Calibri"/>
                <w:b w:val="0"/>
                <w:i w:val="0"/>
                <w:sz w:val="20"/>
              </w:rPr>
              <w:t>5</w:t>
            </w:r>
          </w:p>
        </w:tc>
        <w:tc>
          <w:tcPr>
            <w:tcW w:type="dxa" w:w="1701"/>
            <w:vAlign w:val="center"/>
          </w:tcPr>
          <w:p>
            <w:r/>
            <w:r>
              <w:rPr>
                <w:rFonts w:ascii="Calibri" w:hAnsi="Calibri"/>
                <w:b w:val="0"/>
                <w:i w:val="0"/>
                <w:sz w:val="20"/>
              </w:rPr>
              <w:t>4.4%</w:t>
            </w:r>
          </w:p>
        </w:tc>
      </w:tr>
      <w:tr>
        <w:tc>
          <w:tcPr>
            <w:tcW w:type="dxa" w:w="1417"/>
            <w:vAlign w:val="center"/>
          </w:tcPr>
          <w:p>
            <w:r/>
            <w:r>
              <w:rPr>
                <w:rFonts w:ascii="Calibri" w:hAnsi="Calibri"/>
                <w:b w:val="0"/>
                <w:i w:val="0"/>
                <w:sz w:val="20"/>
              </w:rPr>
              <w:t>2021</w:t>
            </w:r>
          </w:p>
        </w:tc>
        <w:tc>
          <w:tcPr>
            <w:tcW w:type="dxa" w:w="1701"/>
            <w:vAlign w:val="center"/>
          </w:tcPr>
          <w:p>
            <w:r/>
            <w:r>
              <w:rPr>
                <w:rFonts w:ascii="Calibri" w:hAnsi="Calibri"/>
                <w:b w:val="0"/>
                <w:i w:val="0"/>
                <w:sz w:val="20"/>
              </w:rPr>
              <w:t>13</w:t>
            </w:r>
          </w:p>
        </w:tc>
        <w:tc>
          <w:tcPr>
            <w:tcW w:type="dxa" w:w="1701"/>
            <w:vAlign w:val="center"/>
          </w:tcPr>
          <w:p>
            <w:r/>
            <w:r>
              <w:rPr>
                <w:rFonts w:ascii="Calibri" w:hAnsi="Calibri"/>
                <w:b w:val="0"/>
                <w:i w:val="0"/>
                <w:sz w:val="20"/>
              </w:rPr>
              <w:t>11.5%</w:t>
            </w:r>
          </w:p>
        </w:tc>
      </w:tr>
      <w:tr>
        <w:tc>
          <w:tcPr>
            <w:tcW w:type="dxa" w:w="1417"/>
            <w:vAlign w:val="center"/>
          </w:tcPr>
          <w:p>
            <w:r/>
            <w:r>
              <w:rPr>
                <w:rFonts w:ascii="Calibri" w:hAnsi="Calibri"/>
                <w:b w:val="0"/>
                <w:i w:val="0"/>
                <w:sz w:val="20"/>
              </w:rPr>
              <w:t>2022</w:t>
            </w:r>
          </w:p>
        </w:tc>
        <w:tc>
          <w:tcPr>
            <w:tcW w:type="dxa" w:w="1701"/>
            <w:vAlign w:val="center"/>
          </w:tcPr>
          <w:p>
            <w:r/>
            <w:r>
              <w:rPr>
                <w:rFonts w:ascii="Calibri" w:hAnsi="Calibri"/>
                <w:b w:val="0"/>
                <w:i w:val="0"/>
                <w:sz w:val="20"/>
              </w:rPr>
              <w:t>12</w:t>
            </w:r>
          </w:p>
        </w:tc>
        <w:tc>
          <w:tcPr>
            <w:tcW w:type="dxa" w:w="1701"/>
            <w:vAlign w:val="center"/>
          </w:tcPr>
          <w:p>
            <w:r/>
            <w:r>
              <w:rPr>
                <w:rFonts w:ascii="Calibri" w:hAnsi="Calibri"/>
                <w:b w:val="0"/>
                <w:i w:val="0"/>
                <w:sz w:val="20"/>
              </w:rPr>
              <w:t>10.6%</w:t>
            </w:r>
          </w:p>
        </w:tc>
      </w:tr>
      <w:tr>
        <w:tc>
          <w:tcPr>
            <w:tcW w:type="dxa" w:w="1417"/>
            <w:vAlign w:val="center"/>
          </w:tcPr>
          <w:p>
            <w:r/>
            <w:r>
              <w:rPr>
                <w:rFonts w:ascii="Calibri" w:hAnsi="Calibri"/>
                <w:b w:val="0"/>
                <w:i w:val="0"/>
                <w:sz w:val="20"/>
              </w:rPr>
              <w:t>2023</w:t>
            </w:r>
          </w:p>
        </w:tc>
        <w:tc>
          <w:tcPr>
            <w:tcW w:type="dxa" w:w="1701"/>
            <w:vAlign w:val="center"/>
          </w:tcPr>
          <w:p>
            <w:r/>
            <w:r>
              <w:rPr>
                <w:rFonts w:ascii="Calibri" w:hAnsi="Calibri"/>
                <w:b w:val="0"/>
                <w:i w:val="0"/>
                <w:sz w:val="20"/>
              </w:rPr>
              <w:t>11</w:t>
            </w:r>
          </w:p>
        </w:tc>
        <w:tc>
          <w:tcPr>
            <w:tcW w:type="dxa" w:w="1701"/>
            <w:vAlign w:val="center"/>
          </w:tcPr>
          <w:p>
            <w:r/>
            <w:r>
              <w:rPr>
                <w:rFonts w:ascii="Calibri" w:hAnsi="Calibri"/>
                <w:b w:val="0"/>
                <w:i w:val="0"/>
                <w:sz w:val="20"/>
              </w:rPr>
              <w:t>9.7%</w:t>
            </w:r>
          </w:p>
        </w:tc>
      </w:tr>
      <w:tr>
        <w:tc>
          <w:tcPr>
            <w:tcW w:type="dxa" w:w="1417"/>
            <w:vAlign w:val="center"/>
          </w:tcPr>
          <w:p>
            <w:r/>
            <w:r>
              <w:rPr>
                <w:rFonts w:ascii="Calibri" w:hAnsi="Calibri"/>
                <w:b w:val="0"/>
                <w:i w:val="0"/>
                <w:sz w:val="20"/>
              </w:rPr>
              <w:t>2024</w:t>
            </w:r>
          </w:p>
        </w:tc>
        <w:tc>
          <w:tcPr>
            <w:tcW w:type="dxa" w:w="1701"/>
            <w:vAlign w:val="center"/>
          </w:tcPr>
          <w:p>
            <w:r/>
            <w:r>
              <w:rPr>
                <w:rFonts w:ascii="Calibri" w:hAnsi="Calibri"/>
                <w:b w:val="0"/>
                <w:i w:val="0"/>
                <w:sz w:val="20"/>
              </w:rPr>
              <w:t>15</w:t>
            </w:r>
          </w:p>
        </w:tc>
        <w:tc>
          <w:tcPr>
            <w:tcW w:type="dxa" w:w="1701"/>
            <w:vAlign w:val="center"/>
          </w:tcPr>
          <w:p>
            <w:r/>
            <w:r>
              <w:rPr>
                <w:rFonts w:ascii="Calibri" w:hAnsi="Calibri"/>
                <w:b w:val="0"/>
                <w:i w:val="0"/>
                <w:sz w:val="20"/>
              </w:rPr>
              <w:t>13.3%</w:t>
            </w:r>
          </w:p>
        </w:tc>
      </w:tr>
      <w:tr>
        <w:tc>
          <w:tcPr>
            <w:tcW w:type="dxa" w:w="1417"/>
            <w:vAlign w:val="center"/>
          </w:tcPr>
          <w:p>
            <w:r/>
            <w:r>
              <w:rPr>
                <w:rFonts w:ascii="Calibri" w:hAnsi="Calibri"/>
                <w:b w:val="0"/>
                <w:i w:val="0"/>
                <w:sz w:val="20"/>
              </w:rPr>
              <w:t>2025</w:t>
            </w:r>
          </w:p>
        </w:tc>
        <w:tc>
          <w:tcPr>
            <w:tcW w:type="dxa" w:w="1701"/>
            <w:vAlign w:val="center"/>
          </w:tcPr>
          <w:p>
            <w:r/>
            <w:r>
              <w:rPr>
                <w:rFonts w:ascii="Calibri" w:hAnsi="Calibri"/>
                <w:b w:val="0"/>
                <w:i w:val="0"/>
                <w:sz w:val="20"/>
              </w:rPr>
              <w:t>27</w:t>
            </w:r>
          </w:p>
        </w:tc>
        <w:tc>
          <w:tcPr>
            <w:tcW w:type="dxa" w:w="1701"/>
            <w:vAlign w:val="center"/>
          </w:tcPr>
          <w:p>
            <w:r/>
            <w:r>
              <w:rPr>
                <w:rFonts w:ascii="Calibri" w:hAnsi="Calibri"/>
                <w:b w:val="0"/>
                <w:i w:val="0"/>
                <w:sz w:val="20"/>
              </w:rPr>
              <w:t>23.9%</w:t>
            </w:r>
          </w:p>
        </w:tc>
      </w:tr>
      <w:tr>
        <w:tc>
          <w:tcPr>
            <w:tcW w:type="dxa" w:w="1417"/>
            <w:vAlign w:val="center"/>
          </w:tcPr>
          <w:p>
            <w:r/>
            <w:r>
              <w:rPr>
                <w:rFonts w:ascii="Calibri" w:hAnsi="Calibri"/>
                <w:b w:val="0"/>
                <w:i w:val="0"/>
                <w:sz w:val="20"/>
              </w:rPr>
              <w:t>2026</w:t>
            </w:r>
          </w:p>
        </w:tc>
        <w:tc>
          <w:tcPr>
            <w:tcW w:type="dxa" w:w="1701"/>
            <w:vAlign w:val="center"/>
          </w:tcPr>
          <w:p>
            <w:r/>
            <w:r>
              <w:rPr>
                <w:rFonts w:ascii="Calibri" w:hAnsi="Calibri"/>
                <w:b w:val="0"/>
                <w:i w:val="0"/>
                <w:sz w:val="20"/>
              </w:rPr>
              <w:t>13</w:t>
            </w:r>
          </w:p>
        </w:tc>
        <w:tc>
          <w:tcPr>
            <w:tcW w:type="dxa" w:w="1701"/>
            <w:vAlign w:val="center"/>
          </w:tcPr>
          <w:p>
            <w:r/>
            <w:r>
              <w:rPr>
                <w:rFonts w:ascii="Calibri" w:hAnsi="Calibri"/>
                <w:b w:val="0"/>
                <w:i w:val="0"/>
                <w:sz w:val="20"/>
              </w:rPr>
              <w:t>11.5%</w:t>
            </w:r>
          </w:p>
        </w:tc>
      </w:tr>
      <w:tr>
        <w:tc>
          <w:tcPr>
            <w:tcW w:type="dxa" w:w="1417"/>
            <w:vAlign w:val="center"/>
          </w:tcPr>
          <w:p>
            <w:r/>
            <w:r>
              <w:rPr>
                <w:rFonts w:ascii="Calibri" w:hAnsi="Calibri"/>
                <w:b w:val="0"/>
                <w:i w:val="0"/>
                <w:sz w:val="20"/>
              </w:rPr>
              <w:t>Total</w:t>
            </w:r>
          </w:p>
        </w:tc>
        <w:tc>
          <w:tcPr>
            <w:tcW w:type="dxa" w:w="1701"/>
            <w:vAlign w:val="center"/>
          </w:tcPr>
          <w:p>
            <w:r/>
            <w:r>
              <w:rPr>
                <w:rFonts w:ascii="Calibri" w:hAnsi="Calibri"/>
                <w:b w:val="0"/>
                <w:i w:val="0"/>
                <w:sz w:val="20"/>
              </w:rPr>
              <w:t>113</w:t>
            </w:r>
          </w:p>
        </w:tc>
        <w:tc>
          <w:tcPr>
            <w:tcW w:type="dxa" w:w="1701"/>
            <w:vAlign w:val="center"/>
          </w:tcPr>
          <w:p>
            <w:r/>
            <w:r>
              <w:rPr>
                <w:rFonts w:ascii="Calibri" w:hAnsi="Calibri"/>
                <w:b w:val="0"/>
                <w:i w:val="0"/>
                <w:sz w:val="20"/>
              </w:rPr>
              <w:t>100.0%</w:t>
            </w:r>
          </w:p>
        </w:tc>
      </w:tr>
    </w:tbl>
    <w:p>
      <w:pPr>
        <w:spacing w:before="40" w:after="200"/>
        <w:jc w:val="center"/>
      </w:pPr>
      <w:r>
        <w:rPr>
          <w:rFonts w:ascii="Calibri" w:hAnsi="Calibri"/>
          <w:b w:val="0"/>
          <w:i/>
          <w:color w:val="555555"/>
          <w:sz w:val="18"/>
        </w:rPr>
        <w:t>Table 8 — Temporal distribution of the 113 primary studies (2014–2026).</w:t>
      </w:r>
    </w:p>
    <w:p>
      <w:pPr>
        <w:spacing w:before="160" w:after="40"/>
        <w:jc w:val="center"/>
      </w:pPr>
      <w:r>
        <w:drawing>
          <wp:inline xmlns:a="http://schemas.openxmlformats.org/drawingml/2006/main" xmlns:pic="http://schemas.openxmlformats.org/drawingml/2006/picture">
            <wp:extent cx="5400000" cy="2388687"/>
            <wp:docPr id="2" name="Picture 2"/>
            <wp:cNvGraphicFramePr>
              <a:graphicFrameLocks noChangeAspect="1"/>
            </wp:cNvGraphicFramePr>
            <a:graphic>
              <a:graphicData uri="http://schemas.openxmlformats.org/drawingml/2006/picture">
                <pic:pic>
                  <pic:nvPicPr>
                    <pic:cNvPr id="0" name="chart_temporal.png"/>
                    <pic:cNvPicPr/>
                  </pic:nvPicPr>
                  <pic:blipFill>
                    <a:blip r:embed="rId10"/>
                    <a:stretch>
                      <a:fillRect/>
                    </a:stretch>
                  </pic:blipFill>
                  <pic:spPr>
                    <a:xfrm>
                      <a:off x="0" y="0"/>
                      <a:ext cx="5400000" cy="2388687"/>
                    </a:xfrm>
                    <a:prstGeom prst="rect"/>
                  </pic:spPr>
                </pic:pic>
              </a:graphicData>
            </a:graphic>
          </wp:inline>
        </w:drawing>
      </w:r>
    </w:p>
    <w:p>
      <w:pPr>
        <w:spacing w:before="40" w:after="200"/>
        <w:jc w:val="center"/>
      </w:pPr>
      <w:r>
        <w:rPr>
          <w:rFonts w:ascii="Calibri" w:hAnsi="Calibri"/>
          <w:b w:val="0"/>
          <w:i/>
          <w:color w:val="555555"/>
          <w:sz w:val="18"/>
        </w:rPr>
        <w:t>Figure 3 — Temporal distribution. The orange bars highlight the 2022–2026 window, where the majority of the corpus is concentrated.</w:t>
      </w:r>
    </w:p>
    <w:p>
      <w:pPr>
        <w:spacing w:before="0" w:after="80" w:line="276" w:lineRule="auto"/>
      </w:pPr>
      <w:r>
        <w:rPr>
          <w:rFonts w:ascii="Calibri" w:hAnsi="Calibri"/>
          <w:b w:val="0"/>
          <w:i w:val="0"/>
          <w:sz w:val="22"/>
        </w:rPr>
        <w:t>The corpus is heavily concentrated in 2022–2026 (78 of 113 = 69.0%), reflecting the recent maturation of microservice observability and the convergence of AI/ML with software analytics. Early studies (2014–2018) target generic distributed-system management; later years are dominated by microservice-specific contributions and the integration of graph neural networks, LLMs, and AutoML.</w:t>
      </w:r>
    </w:p>
    <w:p>
      <w:pPr>
        <w:spacing w:before="160" w:after="40"/>
        <w:jc w:val="center"/>
      </w:pPr>
      <w:r>
        <w:drawing>
          <wp:inline xmlns:a="http://schemas.openxmlformats.org/drawingml/2006/main" xmlns:pic="http://schemas.openxmlformats.org/drawingml/2006/picture">
            <wp:extent cx="3960000" cy="3559438"/>
            <wp:docPr id="3" name="Picture 3"/>
            <wp:cNvGraphicFramePr>
              <a:graphicFrameLocks noChangeAspect="1"/>
            </wp:cNvGraphicFramePr>
            <a:graphic>
              <a:graphicData uri="http://schemas.openxmlformats.org/drawingml/2006/picture">
                <pic:pic>
                  <pic:nvPicPr>
                    <pic:cNvPr id="0" name="chart_origin.png"/>
                    <pic:cNvPicPr/>
                  </pic:nvPicPr>
                  <pic:blipFill>
                    <a:blip r:embed="rId11"/>
                    <a:stretch>
                      <a:fillRect/>
                    </a:stretch>
                  </pic:blipFill>
                  <pic:spPr>
                    <a:xfrm>
                      <a:off x="0" y="0"/>
                      <a:ext cx="3960000" cy="3559438"/>
                    </a:xfrm>
                    <a:prstGeom prst="rect"/>
                  </pic:spPr>
                </pic:pic>
              </a:graphicData>
            </a:graphic>
          </wp:inline>
        </w:drawing>
      </w:r>
    </w:p>
    <w:p>
      <w:pPr>
        <w:spacing w:before="40" w:after="200"/>
        <w:jc w:val="center"/>
      </w:pPr>
      <w:r>
        <w:rPr>
          <w:rFonts w:ascii="Calibri" w:hAnsi="Calibri"/>
          <w:b w:val="0"/>
          <w:i/>
          <w:color w:val="555555"/>
          <w:sz w:val="18"/>
        </w:rPr>
        <w:t>Figure 4 — Origin of the 113 primary studies: V4 automated search vs backward snowballing from the V3 corpus. Snowballing recovers studies that V4 missed due to the mandatory MDE block, but which the candidate had already validated as relevant during preliminary screening.</w:t>
      </w:r>
    </w:p>
    <w:p>
      <w:pPr>
        <w:pStyle w:val="Heading2"/>
        <w:keepNext/>
        <w:spacing w:before="280" w:after="120"/>
      </w:pPr>
      <w:r>
        <w:rPr>
          <w:rFonts w:ascii="Calibri" w:hAnsi="Calibri"/>
          <w:b/>
          <w:i w:val="0"/>
          <w:color w:val="1F3A5F"/>
          <w:sz w:val="28"/>
        </w:rPr>
        <w:t>4.2  Approaches for Architecture-Aware Quality Assessment (F1)</w:t>
      </w:r>
    </w:p>
    <w:tbl>
      <w:tblPr>
        <w:tblStyle w:val="LightGrid-Accent1"/>
        <w:tblW w:type="auto" w:w="0"/>
        <w:jc w:val="center"/>
        <w:tblLayout w:type="fixed"/>
        <w:tblLook w:firstColumn="1" w:firstRow="1" w:lastColumn="0" w:lastRow="0" w:noHBand="0" w:noVBand="1" w:val="04A0"/>
      </w:tblPr>
      <w:tblGrid>
        <w:gridCol w:w="3024"/>
        <w:gridCol w:w="3024"/>
        <w:gridCol w:w="3024"/>
      </w:tblGrid>
      <w:tr>
        <w:tc>
          <w:tcPr>
            <w:tcW w:type="dxa" w:w="3969"/>
            <w:shd w:val="clear" w:color="auto" w:fill="1F3A5F"/>
            <w:vAlign w:val="center"/>
          </w:tcPr>
          <w:p>
            <w:r/>
            <w:r>
              <w:rPr>
                <w:rFonts w:ascii="Calibri" w:hAnsi="Calibri"/>
                <w:b/>
                <w:i w:val="0"/>
                <w:color w:val="FFFFFF"/>
                <w:sz w:val="20"/>
              </w:rPr>
              <w:t>Primary approach</w:t>
            </w:r>
          </w:p>
        </w:tc>
        <w:tc>
          <w:tcPr>
            <w:tcW w:type="dxa" w:w="1701"/>
            <w:shd w:val="clear" w:color="auto" w:fill="1F3A5F"/>
            <w:vAlign w:val="center"/>
          </w:tcPr>
          <w:p>
            <w:r/>
            <w:r>
              <w:rPr>
                <w:rFonts w:ascii="Calibri" w:hAnsi="Calibri"/>
                <w:b/>
                <w:i w:val="0"/>
                <w:color w:val="FFFFFF"/>
                <w:sz w:val="20"/>
              </w:rPr>
              <w:t># studies</w:t>
            </w:r>
          </w:p>
        </w:tc>
        <w:tc>
          <w:tcPr>
            <w:tcW w:type="dxa" w:w="1701"/>
            <w:shd w:val="clear" w:color="auto" w:fill="1F3A5F"/>
            <w:vAlign w:val="center"/>
          </w:tcPr>
          <w:p>
            <w:r/>
            <w:r>
              <w:rPr>
                <w:rFonts w:ascii="Calibri" w:hAnsi="Calibri"/>
                <w:b/>
                <w:i w:val="0"/>
                <w:color w:val="FFFFFF"/>
                <w:sz w:val="20"/>
              </w:rPr>
              <w:t>%</w:t>
            </w:r>
          </w:p>
        </w:tc>
      </w:tr>
      <w:tr>
        <w:tc>
          <w:tcPr>
            <w:tcW w:type="dxa" w:w="3969"/>
            <w:vAlign w:val="center"/>
          </w:tcPr>
          <w:p>
            <w:r/>
            <w:r>
              <w:rPr>
                <w:rFonts w:ascii="Calibri" w:hAnsi="Calibri"/>
                <w:b w:val="0"/>
                <w:i w:val="0"/>
                <w:sz w:val="20"/>
              </w:rPr>
              <w:t>Other</w:t>
            </w:r>
          </w:p>
        </w:tc>
        <w:tc>
          <w:tcPr>
            <w:tcW w:type="dxa" w:w="1701"/>
            <w:vAlign w:val="center"/>
          </w:tcPr>
          <w:p>
            <w:r/>
            <w:r>
              <w:rPr>
                <w:rFonts w:ascii="Calibri" w:hAnsi="Calibri"/>
                <w:b w:val="0"/>
                <w:i w:val="0"/>
                <w:sz w:val="20"/>
              </w:rPr>
              <w:t>28</w:t>
            </w:r>
          </w:p>
        </w:tc>
        <w:tc>
          <w:tcPr>
            <w:tcW w:type="dxa" w:w="1701"/>
            <w:vAlign w:val="center"/>
          </w:tcPr>
          <w:p>
            <w:r/>
            <w:r>
              <w:rPr>
                <w:rFonts w:ascii="Calibri" w:hAnsi="Calibri"/>
                <w:b w:val="0"/>
                <w:i w:val="0"/>
                <w:sz w:val="20"/>
              </w:rPr>
              <w:t>24.8%</w:t>
            </w:r>
          </w:p>
        </w:tc>
      </w:tr>
      <w:tr>
        <w:tc>
          <w:tcPr>
            <w:tcW w:type="dxa" w:w="3969"/>
            <w:vAlign w:val="center"/>
          </w:tcPr>
          <w:p>
            <w:r/>
            <w:r>
              <w:rPr>
                <w:rFonts w:ascii="Calibri" w:hAnsi="Calibri"/>
                <w:b w:val="0"/>
                <w:i w:val="0"/>
                <w:sz w:val="20"/>
              </w:rPr>
              <w:t>Metric-based</w:t>
            </w:r>
          </w:p>
        </w:tc>
        <w:tc>
          <w:tcPr>
            <w:tcW w:type="dxa" w:w="1701"/>
            <w:vAlign w:val="center"/>
          </w:tcPr>
          <w:p>
            <w:r/>
            <w:r>
              <w:rPr>
                <w:rFonts w:ascii="Calibri" w:hAnsi="Calibri"/>
                <w:b w:val="0"/>
                <w:i w:val="0"/>
                <w:sz w:val="20"/>
              </w:rPr>
              <w:t>19</w:t>
            </w:r>
          </w:p>
        </w:tc>
        <w:tc>
          <w:tcPr>
            <w:tcW w:type="dxa" w:w="1701"/>
            <w:vAlign w:val="center"/>
          </w:tcPr>
          <w:p>
            <w:r/>
            <w:r>
              <w:rPr>
                <w:rFonts w:ascii="Calibri" w:hAnsi="Calibri"/>
                <w:b w:val="0"/>
                <w:i w:val="0"/>
                <w:sz w:val="20"/>
              </w:rPr>
              <w:t>16.8%</w:t>
            </w:r>
          </w:p>
        </w:tc>
      </w:tr>
      <w:tr>
        <w:tc>
          <w:tcPr>
            <w:tcW w:type="dxa" w:w="3969"/>
            <w:vAlign w:val="center"/>
          </w:tcPr>
          <w:p>
            <w:r/>
            <w:r>
              <w:rPr>
                <w:rFonts w:ascii="Calibri" w:hAnsi="Calibri"/>
                <w:b w:val="0"/>
                <w:i w:val="0"/>
                <w:sz w:val="20"/>
              </w:rPr>
              <w:t>Model-Driven / Metamodel</w:t>
            </w:r>
          </w:p>
        </w:tc>
        <w:tc>
          <w:tcPr>
            <w:tcW w:type="dxa" w:w="1701"/>
            <w:vAlign w:val="center"/>
          </w:tcPr>
          <w:p>
            <w:r/>
            <w:r>
              <w:rPr>
                <w:rFonts w:ascii="Calibri" w:hAnsi="Calibri"/>
                <w:b w:val="0"/>
                <w:i w:val="0"/>
                <w:sz w:val="20"/>
              </w:rPr>
              <w:t>15</w:t>
            </w:r>
          </w:p>
        </w:tc>
        <w:tc>
          <w:tcPr>
            <w:tcW w:type="dxa" w:w="1701"/>
            <w:vAlign w:val="center"/>
          </w:tcPr>
          <w:p>
            <w:r/>
            <w:r>
              <w:rPr>
                <w:rFonts w:ascii="Calibri" w:hAnsi="Calibri"/>
                <w:b w:val="0"/>
                <w:i w:val="0"/>
                <w:sz w:val="20"/>
              </w:rPr>
              <w:t>13.3%</w:t>
            </w:r>
          </w:p>
        </w:tc>
      </w:tr>
      <w:tr>
        <w:tc>
          <w:tcPr>
            <w:tcW w:type="dxa" w:w="3969"/>
            <w:vAlign w:val="center"/>
          </w:tcPr>
          <w:p>
            <w:r/>
            <w:r>
              <w:rPr>
                <w:rFonts w:ascii="Calibri" w:hAnsi="Calibri"/>
                <w:b w:val="0"/>
                <w:i w:val="0"/>
                <w:sz w:val="20"/>
              </w:rPr>
              <w:t>Static Analysis</w:t>
            </w:r>
          </w:p>
        </w:tc>
        <w:tc>
          <w:tcPr>
            <w:tcW w:type="dxa" w:w="1701"/>
            <w:vAlign w:val="center"/>
          </w:tcPr>
          <w:p>
            <w:r/>
            <w:r>
              <w:rPr>
                <w:rFonts w:ascii="Calibri" w:hAnsi="Calibri"/>
                <w:b w:val="0"/>
                <w:i w:val="0"/>
                <w:sz w:val="20"/>
              </w:rPr>
              <w:t>14</w:t>
            </w:r>
          </w:p>
        </w:tc>
        <w:tc>
          <w:tcPr>
            <w:tcW w:type="dxa" w:w="1701"/>
            <w:vAlign w:val="center"/>
          </w:tcPr>
          <w:p>
            <w:r/>
            <w:r>
              <w:rPr>
                <w:rFonts w:ascii="Calibri" w:hAnsi="Calibri"/>
                <w:b w:val="0"/>
                <w:i w:val="0"/>
                <w:sz w:val="20"/>
              </w:rPr>
              <w:t>12.4%</w:t>
            </w:r>
          </w:p>
        </w:tc>
      </w:tr>
      <w:tr>
        <w:tc>
          <w:tcPr>
            <w:tcW w:type="dxa" w:w="3969"/>
            <w:vAlign w:val="center"/>
          </w:tcPr>
          <w:p>
            <w:r/>
            <w:r>
              <w:rPr>
                <w:rFonts w:ascii="Calibri" w:hAnsi="Calibri"/>
                <w:b w:val="0"/>
                <w:i w:val="0"/>
                <w:sz w:val="20"/>
              </w:rPr>
              <w:t>Graph-based / GNN</w:t>
            </w:r>
          </w:p>
        </w:tc>
        <w:tc>
          <w:tcPr>
            <w:tcW w:type="dxa" w:w="1701"/>
            <w:vAlign w:val="center"/>
          </w:tcPr>
          <w:p>
            <w:r/>
            <w:r>
              <w:rPr>
                <w:rFonts w:ascii="Calibri" w:hAnsi="Calibri"/>
                <w:b w:val="0"/>
                <w:i w:val="0"/>
                <w:sz w:val="20"/>
              </w:rPr>
              <w:t>10</w:t>
            </w:r>
          </w:p>
        </w:tc>
        <w:tc>
          <w:tcPr>
            <w:tcW w:type="dxa" w:w="1701"/>
            <w:vAlign w:val="center"/>
          </w:tcPr>
          <w:p>
            <w:r/>
            <w:r>
              <w:rPr>
                <w:rFonts w:ascii="Calibri" w:hAnsi="Calibri"/>
                <w:b w:val="0"/>
                <w:i w:val="0"/>
                <w:sz w:val="20"/>
              </w:rPr>
              <w:t>8.8%</w:t>
            </w:r>
          </w:p>
        </w:tc>
      </w:tr>
      <w:tr>
        <w:tc>
          <w:tcPr>
            <w:tcW w:type="dxa" w:w="3969"/>
            <w:vAlign w:val="center"/>
          </w:tcPr>
          <w:p>
            <w:r/>
            <w:r>
              <w:rPr>
                <w:rFonts w:ascii="Calibri" w:hAnsi="Calibri"/>
                <w:b w:val="0"/>
                <w:i w:val="0"/>
                <w:sz w:val="20"/>
              </w:rPr>
              <w:t>Deep Learning</w:t>
            </w:r>
          </w:p>
        </w:tc>
        <w:tc>
          <w:tcPr>
            <w:tcW w:type="dxa" w:w="1701"/>
            <w:vAlign w:val="center"/>
          </w:tcPr>
          <w:p>
            <w:r/>
            <w:r>
              <w:rPr>
                <w:rFonts w:ascii="Calibri" w:hAnsi="Calibri"/>
                <w:b w:val="0"/>
                <w:i w:val="0"/>
                <w:sz w:val="20"/>
              </w:rPr>
              <w:t>9</w:t>
            </w:r>
          </w:p>
        </w:tc>
        <w:tc>
          <w:tcPr>
            <w:tcW w:type="dxa" w:w="1701"/>
            <w:vAlign w:val="center"/>
          </w:tcPr>
          <w:p>
            <w:r/>
            <w:r>
              <w:rPr>
                <w:rFonts w:ascii="Calibri" w:hAnsi="Calibri"/>
                <w:b w:val="0"/>
                <w:i w:val="0"/>
                <w:sz w:val="20"/>
              </w:rPr>
              <w:t>8.0%</w:t>
            </w:r>
          </w:p>
        </w:tc>
      </w:tr>
      <w:tr>
        <w:tc>
          <w:tcPr>
            <w:tcW w:type="dxa" w:w="3969"/>
            <w:vAlign w:val="center"/>
          </w:tcPr>
          <w:p>
            <w:r/>
            <w:r>
              <w:rPr>
                <w:rFonts w:ascii="Calibri" w:hAnsi="Calibri"/>
                <w:b w:val="0"/>
                <w:i w:val="0"/>
                <w:sz w:val="20"/>
              </w:rPr>
              <w:t>LLM / Generative AI</w:t>
            </w:r>
          </w:p>
        </w:tc>
        <w:tc>
          <w:tcPr>
            <w:tcW w:type="dxa" w:w="1701"/>
            <w:vAlign w:val="center"/>
          </w:tcPr>
          <w:p>
            <w:r/>
            <w:r>
              <w:rPr>
                <w:rFonts w:ascii="Calibri" w:hAnsi="Calibri"/>
                <w:b w:val="0"/>
                <w:i w:val="0"/>
                <w:sz w:val="20"/>
              </w:rPr>
              <w:t>6</w:t>
            </w:r>
          </w:p>
        </w:tc>
        <w:tc>
          <w:tcPr>
            <w:tcW w:type="dxa" w:w="1701"/>
            <w:vAlign w:val="center"/>
          </w:tcPr>
          <w:p>
            <w:r/>
            <w:r>
              <w:rPr>
                <w:rFonts w:ascii="Calibri" w:hAnsi="Calibri"/>
                <w:b w:val="0"/>
                <w:i w:val="0"/>
                <w:sz w:val="20"/>
              </w:rPr>
              <w:t>5.3%</w:t>
            </w:r>
          </w:p>
        </w:tc>
      </w:tr>
      <w:tr>
        <w:tc>
          <w:tcPr>
            <w:tcW w:type="dxa" w:w="3969"/>
            <w:vAlign w:val="center"/>
          </w:tcPr>
          <w:p>
            <w:r/>
            <w:r>
              <w:rPr>
                <w:rFonts w:ascii="Calibri" w:hAnsi="Calibri"/>
                <w:b w:val="0"/>
                <w:i w:val="0"/>
                <w:sz w:val="20"/>
              </w:rPr>
              <w:t>Observability-based</w:t>
            </w:r>
          </w:p>
        </w:tc>
        <w:tc>
          <w:tcPr>
            <w:tcW w:type="dxa" w:w="1701"/>
            <w:vAlign w:val="center"/>
          </w:tcPr>
          <w:p>
            <w:r/>
            <w:r>
              <w:rPr>
                <w:rFonts w:ascii="Calibri" w:hAnsi="Calibri"/>
                <w:b w:val="0"/>
                <w:i w:val="0"/>
                <w:sz w:val="20"/>
              </w:rPr>
              <w:t>4</w:t>
            </w:r>
          </w:p>
        </w:tc>
        <w:tc>
          <w:tcPr>
            <w:tcW w:type="dxa" w:w="1701"/>
            <w:vAlign w:val="center"/>
          </w:tcPr>
          <w:p>
            <w:r/>
            <w:r>
              <w:rPr>
                <w:rFonts w:ascii="Calibri" w:hAnsi="Calibri"/>
                <w:b w:val="0"/>
                <w:i w:val="0"/>
                <w:sz w:val="20"/>
              </w:rPr>
              <w:t>3.5%</w:t>
            </w:r>
          </w:p>
        </w:tc>
      </w:tr>
      <w:tr>
        <w:tc>
          <w:tcPr>
            <w:tcW w:type="dxa" w:w="3969"/>
            <w:vAlign w:val="center"/>
          </w:tcPr>
          <w:p>
            <w:r/>
            <w:r>
              <w:rPr>
                <w:rFonts w:ascii="Calibri" w:hAnsi="Calibri"/>
                <w:b w:val="0"/>
                <w:i w:val="0"/>
                <w:sz w:val="20"/>
              </w:rPr>
              <w:t>Classical ML</w:t>
            </w:r>
          </w:p>
        </w:tc>
        <w:tc>
          <w:tcPr>
            <w:tcW w:type="dxa" w:w="1701"/>
            <w:vAlign w:val="center"/>
          </w:tcPr>
          <w:p>
            <w:r/>
            <w:r>
              <w:rPr>
                <w:rFonts w:ascii="Calibri" w:hAnsi="Calibri"/>
                <w:b w:val="0"/>
                <w:i w:val="0"/>
                <w:sz w:val="20"/>
              </w:rPr>
              <w:t>4</w:t>
            </w:r>
          </w:p>
        </w:tc>
        <w:tc>
          <w:tcPr>
            <w:tcW w:type="dxa" w:w="1701"/>
            <w:vAlign w:val="center"/>
          </w:tcPr>
          <w:p>
            <w:r/>
            <w:r>
              <w:rPr>
                <w:rFonts w:ascii="Calibri" w:hAnsi="Calibri"/>
                <w:b w:val="0"/>
                <w:i w:val="0"/>
                <w:sz w:val="20"/>
              </w:rPr>
              <w:t>3.5%</w:t>
            </w:r>
          </w:p>
        </w:tc>
      </w:tr>
      <w:tr>
        <w:tc>
          <w:tcPr>
            <w:tcW w:type="dxa" w:w="3969"/>
            <w:vAlign w:val="center"/>
          </w:tcPr>
          <w:p>
            <w:r/>
            <w:r>
              <w:rPr>
                <w:rFonts w:ascii="Calibri" w:hAnsi="Calibri"/>
                <w:b w:val="0"/>
                <w:i w:val="0"/>
                <w:sz w:val="20"/>
              </w:rPr>
              <w:t>AutoML / Meta-learning</w:t>
            </w:r>
          </w:p>
        </w:tc>
        <w:tc>
          <w:tcPr>
            <w:tcW w:type="dxa" w:w="1701"/>
            <w:vAlign w:val="center"/>
          </w:tcPr>
          <w:p>
            <w:r/>
            <w:r>
              <w:rPr>
                <w:rFonts w:ascii="Calibri" w:hAnsi="Calibri"/>
                <w:b w:val="0"/>
                <w:i w:val="0"/>
                <w:sz w:val="20"/>
              </w:rPr>
              <w:t>2</w:t>
            </w:r>
          </w:p>
        </w:tc>
        <w:tc>
          <w:tcPr>
            <w:tcW w:type="dxa" w:w="1701"/>
            <w:vAlign w:val="center"/>
          </w:tcPr>
          <w:p>
            <w:r/>
            <w:r>
              <w:rPr>
                <w:rFonts w:ascii="Calibri" w:hAnsi="Calibri"/>
                <w:b w:val="0"/>
                <w:i w:val="0"/>
                <w:sz w:val="20"/>
              </w:rPr>
              <w:t>1.8%</w:t>
            </w:r>
          </w:p>
        </w:tc>
      </w:tr>
      <w:tr>
        <w:tc>
          <w:tcPr>
            <w:tcW w:type="dxa" w:w="3969"/>
            <w:vAlign w:val="center"/>
          </w:tcPr>
          <w:p>
            <w:r/>
            <w:r>
              <w:rPr>
                <w:rFonts w:ascii="Calibri" w:hAnsi="Calibri"/>
                <w:b w:val="0"/>
                <w:i w:val="0"/>
                <w:sz w:val="20"/>
              </w:rPr>
              <w:t>Reinforcement Learning</w:t>
            </w:r>
          </w:p>
        </w:tc>
        <w:tc>
          <w:tcPr>
            <w:tcW w:type="dxa" w:w="1701"/>
            <w:vAlign w:val="center"/>
          </w:tcPr>
          <w:p>
            <w:r/>
            <w:r>
              <w:rPr>
                <w:rFonts w:ascii="Calibri" w:hAnsi="Calibri"/>
                <w:b w:val="0"/>
                <w:i w:val="0"/>
                <w:sz w:val="20"/>
              </w:rPr>
              <w:t>2</w:t>
            </w:r>
          </w:p>
        </w:tc>
        <w:tc>
          <w:tcPr>
            <w:tcW w:type="dxa" w:w="1701"/>
            <w:vAlign w:val="center"/>
          </w:tcPr>
          <w:p>
            <w:r/>
            <w:r>
              <w:rPr>
                <w:rFonts w:ascii="Calibri" w:hAnsi="Calibri"/>
                <w:b w:val="0"/>
                <w:i w:val="0"/>
                <w:sz w:val="20"/>
              </w:rPr>
              <w:t>1.8%</w:t>
            </w:r>
          </w:p>
        </w:tc>
      </w:tr>
    </w:tbl>
    <w:p>
      <w:pPr>
        <w:spacing w:before="40" w:after="200"/>
        <w:jc w:val="center"/>
      </w:pPr>
      <w:r>
        <w:rPr>
          <w:rFonts w:ascii="Calibri" w:hAnsi="Calibri"/>
          <w:b w:val="0"/>
          <w:i/>
          <w:color w:val="555555"/>
          <w:sz w:val="18"/>
        </w:rPr>
        <w:t>Table 9 — Distribution of the primary approach across the corpus.</w:t>
      </w:r>
    </w:p>
    <w:p>
      <w:pPr>
        <w:spacing w:before="160" w:after="40"/>
        <w:jc w:val="center"/>
      </w:pPr>
      <w:r>
        <w:drawing>
          <wp:inline xmlns:a="http://schemas.openxmlformats.org/drawingml/2006/main" xmlns:pic="http://schemas.openxmlformats.org/drawingml/2006/picture">
            <wp:extent cx="5400000" cy="2521519"/>
            <wp:docPr id="4" name="Picture 4"/>
            <wp:cNvGraphicFramePr>
              <a:graphicFrameLocks noChangeAspect="1"/>
            </wp:cNvGraphicFramePr>
            <a:graphic>
              <a:graphicData uri="http://schemas.openxmlformats.org/drawingml/2006/picture">
                <pic:pic>
                  <pic:nvPicPr>
                    <pic:cNvPr id="0" name="chart_approaches.png"/>
                    <pic:cNvPicPr/>
                  </pic:nvPicPr>
                  <pic:blipFill>
                    <a:blip r:embed="rId12"/>
                    <a:stretch>
                      <a:fillRect/>
                    </a:stretch>
                  </pic:blipFill>
                  <pic:spPr>
                    <a:xfrm>
                      <a:off x="0" y="0"/>
                      <a:ext cx="5400000" cy="2521519"/>
                    </a:xfrm>
                    <a:prstGeom prst="rect"/>
                  </pic:spPr>
                </pic:pic>
              </a:graphicData>
            </a:graphic>
          </wp:inline>
        </w:drawing>
      </w:r>
    </w:p>
    <w:p>
      <w:pPr>
        <w:spacing w:before="40" w:after="200"/>
        <w:jc w:val="center"/>
      </w:pPr>
      <w:r>
        <w:rPr>
          <w:rFonts w:ascii="Calibri" w:hAnsi="Calibri"/>
          <w:b w:val="0"/>
          <w:i/>
          <w:color w:val="555555"/>
          <w:sz w:val="18"/>
        </w:rPr>
        <w:t>Figure 5 — Distribution of the primary approach.</w:t>
      </w:r>
    </w:p>
    <w:p>
      <w:pPr>
        <w:spacing w:before="0" w:after="80" w:line="276" w:lineRule="auto"/>
      </w:pPr>
      <w:r>
        <w:rPr>
          <w:rFonts w:ascii="Calibri" w:hAnsi="Calibri"/>
          <w:b w:val="0"/>
          <w:i w:val="0"/>
          <w:sz w:val="22"/>
        </w:rPr>
        <w:t>Other approaches dominate (28/113 = 24.8 %) — they treat architectural and runtime characteristics as engineered features that feed downstream analyses. Graph-based / Graph Neural Network (GNN) approaches have grown sharply in 2022–2026 and are particularly concentrated in two cells — performance/SLO prediction and resource management/orchestration. Model-driven / metamodel approaches remain a focused minority but, given the V4 search-string design, are well represented relative to their share in the V3 baseline. The remaining approaches (Deep Learning, LLM/generative AI, Reinforcement Learning, AutoML, Classical ML, Static Analysis, Observability-based) each occupy a distinct point in the design space.</w:t>
      </w:r>
    </w:p>
    <w:p>
      <w:pPr>
        <w:pStyle w:val="Heading2"/>
        <w:keepNext/>
        <w:spacing w:before="280" w:after="120"/>
      </w:pPr>
      <w:r>
        <w:rPr>
          <w:rFonts w:ascii="Calibri" w:hAnsi="Calibri"/>
          <w:b/>
          <w:i w:val="0"/>
          <w:color w:val="1F3A5F"/>
          <w:sz w:val="28"/>
        </w:rPr>
        <w:t>4.5  Architectural Concerns Addressed (F5)</w:t>
      </w:r>
    </w:p>
    <w:tbl>
      <w:tblPr>
        <w:tblStyle w:val="LightGrid-Accent1"/>
        <w:tblW w:type="auto" w:w="0"/>
        <w:jc w:val="center"/>
        <w:tblLayout w:type="fixed"/>
        <w:tblLook w:firstColumn="1" w:firstRow="1" w:lastColumn="0" w:lastRow="0" w:noHBand="0" w:noVBand="1" w:val="04A0"/>
      </w:tblPr>
      <w:tblGrid>
        <w:gridCol w:w="3024"/>
        <w:gridCol w:w="3024"/>
        <w:gridCol w:w="3024"/>
      </w:tblGrid>
      <w:tr>
        <w:tc>
          <w:tcPr>
            <w:tcW w:type="dxa" w:w="3969"/>
            <w:shd w:val="clear" w:color="auto" w:fill="1F3A5F"/>
            <w:vAlign w:val="center"/>
          </w:tcPr>
          <w:p>
            <w:r/>
            <w:r>
              <w:rPr>
                <w:rFonts w:ascii="Calibri" w:hAnsi="Calibri"/>
                <w:b/>
                <w:i w:val="0"/>
                <w:color w:val="FFFFFF"/>
                <w:sz w:val="20"/>
              </w:rPr>
              <w:t>Primary concern</w:t>
            </w:r>
          </w:p>
        </w:tc>
        <w:tc>
          <w:tcPr>
            <w:tcW w:type="dxa" w:w="1701"/>
            <w:shd w:val="clear" w:color="auto" w:fill="1F3A5F"/>
            <w:vAlign w:val="center"/>
          </w:tcPr>
          <w:p>
            <w:r/>
            <w:r>
              <w:rPr>
                <w:rFonts w:ascii="Calibri" w:hAnsi="Calibri"/>
                <w:b/>
                <w:i w:val="0"/>
                <w:color w:val="FFFFFF"/>
                <w:sz w:val="20"/>
              </w:rPr>
              <w:t># studies</w:t>
            </w:r>
          </w:p>
        </w:tc>
        <w:tc>
          <w:tcPr>
            <w:tcW w:type="dxa" w:w="1701"/>
            <w:shd w:val="clear" w:color="auto" w:fill="1F3A5F"/>
            <w:vAlign w:val="center"/>
          </w:tcPr>
          <w:p>
            <w:r/>
            <w:r>
              <w:rPr>
                <w:rFonts w:ascii="Calibri" w:hAnsi="Calibri"/>
                <w:b/>
                <w:i w:val="0"/>
                <w:color w:val="FFFFFF"/>
                <w:sz w:val="20"/>
              </w:rPr>
              <w:t>%</w:t>
            </w:r>
          </w:p>
        </w:tc>
      </w:tr>
      <w:tr>
        <w:tc>
          <w:tcPr>
            <w:tcW w:type="dxa" w:w="3969"/>
            <w:vAlign w:val="center"/>
          </w:tcPr>
          <w:p>
            <w:r/>
            <w:r>
              <w:rPr>
                <w:rFonts w:ascii="Calibri" w:hAnsi="Calibri"/>
                <w:b w:val="0"/>
                <w:i w:val="0"/>
                <w:sz w:val="20"/>
              </w:rPr>
              <w:t>Other</w:t>
            </w:r>
          </w:p>
        </w:tc>
        <w:tc>
          <w:tcPr>
            <w:tcW w:type="dxa" w:w="1701"/>
            <w:vAlign w:val="center"/>
          </w:tcPr>
          <w:p>
            <w:r/>
            <w:r>
              <w:rPr>
                <w:rFonts w:ascii="Calibri" w:hAnsi="Calibri"/>
                <w:b w:val="0"/>
                <w:i w:val="0"/>
                <w:sz w:val="20"/>
              </w:rPr>
              <w:t>24</w:t>
            </w:r>
          </w:p>
        </w:tc>
        <w:tc>
          <w:tcPr>
            <w:tcW w:type="dxa" w:w="1701"/>
            <w:vAlign w:val="center"/>
          </w:tcPr>
          <w:p>
            <w:r/>
            <w:r>
              <w:rPr>
                <w:rFonts w:ascii="Calibri" w:hAnsi="Calibri"/>
                <w:b w:val="0"/>
                <w:i w:val="0"/>
                <w:sz w:val="20"/>
              </w:rPr>
              <w:t>21.2%</w:t>
            </w:r>
          </w:p>
        </w:tc>
      </w:tr>
      <w:tr>
        <w:tc>
          <w:tcPr>
            <w:tcW w:type="dxa" w:w="3969"/>
            <w:vAlign w:val="center"/>
          </w:tcPr>
          <w:p>
            <w:r/>
            <w:r>
              <w:rPr>
                <w:rFonts w:ascii="Calibri" w:hAnsi="Calibri"/>
                <w:b w:val="0"/>
                <w:i w:val="0"/>
                <w:sz w:val="20"/>
              </w:rPr>
              <w:t>RCA / Anomaly Detection</w:t>
            </w:r>
          </w:p>
        </w:tc>
        <w:tc>
          <w:tcPr>
            <w:tcW w:type="dxa" w:w="1701"/>
            <w:vAlign w:val="center"/>
          </w:tcPr>
          <w:p>
            <w:r/>
            <w:r>
              <w:rPr>
                <w:rFonts w:ascii="Calibri" w:hAnsi="Calibri"/>
                <w:b w:val="0"/>
                <w:i w:val="0"/>
                <w:sz w:val="20"/>
              </w:rPr>
              <w:t>21</w:t>
            </w:r>
          </w:p>
        </w:tc>
        <w:tc>
          <w:tcPr>
            <w:tcW w:type="dxa" w:w="1701"/>
            <w:vAlign w:val="center"/>
          </w:tcPr>
          <w:p>
            <w:r/>
            <w:r>
              <w:rPr>
                <w:rFonts w:ascii="Calibri" w:hAnsi="Calibri"/>
                <w:b w:val="0"/>
                <w:i w:val="0"/>
                <w:sz w:val="20"/>
              </w:rPr>
              <w:t>18.6%</w:t>
            </w:r>
          </w:p>
        </w:tc>
      </w:tr>
      <w:tr>
        <w:tc>
          <w:tcPr>
            <w:tcW w:type="dxa" w:w="3969"/>
            <w:vAlign w:val="center"/>
          </w:tcPr>
          <w:p>
            <w:r/>
            <w:r>
              <w:rPr>
                <w:rFonts w:ascii="Calibri" w:hAnsi="Calibri"/>
                <w:b w:val="0"/>
                <w:i w:val="0"/>
                <w:sz w:val="20"/>
              </w:rPr>
              <w:t>Resource Mgmt / Orchestration</w:t>
            </w:r>
          </w:p>
        </w:tc>
        <w:tc>
          <w:tcPr>
            <w:tcW w:type="dxa" w:w="1701"/>
            <w:vAlign w:val="center"/>
          </w:tcPr>
          <w:p>
            <w:r/>
            <w:r>
              <w:rPr>
                <w:rFonts w:ascii="Calibri" w:hAnsi="Calibri"/>
                <w:b w:val="0"/>
                <w:i w:val="0"/>
                <w:sz w:val="20"/>
              </w:rPr>
              <w:t>21</w:t>
            </w:r>
          </w:p>
        </w:tc>
        <w:tc>
          <w:tcPr>
            <w:tcW w:type="dxa" w:w="1701"/>
            <w:vAlign w:val="center"/>
          </w:tcPr>
          <w:p>
            <w:r/>
            <w:r>
              <w:rPr>
                <w:rFonts w:ascii="Calibri" w:hAnsi="Calibri"/>
                <w:b w:val="0"/>
                <w:i w:val="0"/>
                <w:sz w:val="20"/>
              </w:rPr>
              <w:t>18.6%</w:t>
            </w:r>
          </w:p>
        </w:tc>
      </w:tr>
      <w:tr>
        <w:tc>
          <w:tcPr>
            <w:tcW w:type="dxa" w:w="3969"/>
            <w:vAlign w:val="center"/>
          </w:tcPr>
          <w:p>
            <w:r/>
            <w:r>
              <w:rPr>
                <w:rFonts w:ascii="Calibri" w:hAnsi="Calibri"/>
                <w:b w:val="0"/>
                <w:i w:val="0"/>
                <w:sz w:val="20"/>
              </w:rPr>
              <w:t>Performance / SLO</w:t>
            </w:r>
          </w:p>
        </w:tc>
        <w:tc>
          <w:tcPr>
            <w:tcW w:type="dxa" w:w="1701"/>
            <w:vAlign w:val="center"/>
          </w:tcPr>
          <w:p>
            <w:r/>
            <w:r>
              <w:rPr>
                <w:rFonts w:ascii="Calibri" w:hAnsi="Calibri"/>
                <w:b w:val="0"/>
                <w:i w:val="0"/>
                <w:sz w:val="20"/>
              </w:rPr>
              <w:t>13</w:t>
            </w:r>
          </w:p>
        </w:tc>
        <w:tc>
          <w:tcPr>
            <w:tcW w:type="dxa" w:w="1701"/>
            <w:vAlign w:val="center"/>
          </w:tcPr>
          <w:p>
            <w:r/>
            <w:r>
              <w:rPr>
                <w:rFonts w:ascii="Calibri" w:hAnsi="Calibri"/>
                <w:b w:val="0"/>
                <w:i w:val="0"/>
                <w:sz w:val="20"/>
              </w:rPr>
              <w:t>11.5%</w:t>
            </w:r>
          </w:p>
        </w:tc>
      </w:tr>
      <w:tr>
        <w:tc>
          <w:tcPr>
            <w:tcW w:type="dxa" w:w="3969"/>
            <w:vAlign w:val="center"/>
          </w:tcPr>
          <w:p>
            <w:r/>
            <w:r>
              <w:rPr>
                <w:rFonts w:ascii="Calibri" w:hAnsi="Calibri"/>
                <w:b w:val="0"/>
                <w:i w:val="0"/>
                <w:sz w:val="20"/>
              </w:rPr>
              <w:t>Migration / Refactoring</w:t>
            </w:r>
          </w:p>
        </w:tc>
        <w:tc>
          <w:tcPr>
            <w:tcW w:type="dxa" w:w="1701"/>
            <w:vAlign w:val="center"/>
          </w:tcPr>
          <w:p>
            <w:r/>
            <w:r>
              <w:rPr>
                <w:rFonts w:ascii="Calibri" w:hAnsi="Calibri"/>
                <w:b w:val="0"/>
                <w:i w:val="0"/>
                <w:sz w:val="20"/>
              </w:rPr>
              <w:t>9</w:t>
            </w:r>
          </w:p>
        </w:tc>
        <w:tc>
          <w:tcPr>
            <w:tcW w:type="dxa" w:w="1701"/>
            <w:vAlign w:val="center"/>
          </w:tcPr>
          <w:p>
            <w:r/>
            <w:r>
              <w:rPr>
                <w:rFonts w:ascii="Calibri" w:hAnsi="Calibri"/>
                <w:b w:val="0"/>
                <w:i w:val="0"/>
                <w:sz w:val="20"/>
              </w:rPr>
              <w:t>8.0%</w:t>
            </w:r>
          </w:p>
        </w:tc>
      </w:tr>
      <w:tr>
        <w:tc>
          <w:tcPr>
            <w:tcW w:type="dxa" w:w="3969"/>
            <w:vAlign w:val="center"/>
          </w:tcPr>
          <w:p>
            <w:r/>
            <w:r>
              <w:rPr>
                <w:rFonts w:ascii="Calibri" w:hAnsi="Calibri"/>
                <w:b w:val="0"/>
                <w:i w:val="0"/>
                <w:sz w:val="20"/>
              </w:rPr>
              <w:t>Defect / Reliability</w:t>
            </w:r>
          </w:p>
        </w:tc>
        <w:tc>
          <w:tcPr>
            <w:tcW w:type="dxa" w:w="1701"/>
            <w:vAlign w:val="center"/>
          </w:tcPr>
          <w:p>
            <w:r/>
            <w:r>
              <w:rPr>
                <w:rFonts w:ascii="Calibri" w:hAnsi="Calibri"/>
                <w:b w:val="0"/>
                <w:i w:val="0"/>
                <w:sz w:val="20"/>
              </w:rPr>
              <w:t>7</w:t>
            </w:r>
          </w:p>
        </w:tc>
        <w:tc>
          <w:tcPr>
            <w:tcW w:type="dxa" w:w="1701"/>
            <w:vAlign w:val="center"/>
          </w:tcPr>
          <w:p>
            <w:r/>
            <w:r>
              <w:rPr>
                <w:rFonts w:ascii="Calibri" w:hAnsi="Calibri"/>
                <w:b w:val="0"/>
                <w:i w:val="0"/>
                <w:sz w:val="20"/>
              </w:rPr>
              <w:t>6.2%</w:t>
            </w:r>
          </w:p>
        </w:tc>
      </w:tr>
      <w:tr>
        <w:tc>
          <w:tcPr>
            <w:tcW w:type="dxa" w:w="3969"/>
            <w:vAlign w:val="center"/>
          </w:tcPr>
          <w:p>
            <w:r/>
            <w:r>
              <w:rPr>
                <w:rFonts w:ascii="Calibri" w:hAnsi="Calibri"/>
                <w:b w:val="0"/>
                <w:i w:val="0"/>
                <w:sz w:val="20"/>
              </w:rPr>
              <w:t>Smells / Anti-patterns</w:t>
            </w:r>
          </w:p>
        </w:tc>
        <w:tc>
          <w:tcPr>
            <w:tcW w:type="dxa" w:w="1701"/>
            <w:vAlign w:val="center"/>
          </w:tcPr>
          <w:p>
            <w:r/>
            <w:r>
              <w:rPr>
                <w:rFonts w:ascii="Calibri" w:hAnsi="Calibri"/>
                <w:b w:val="0"/>
                <w:i w:val="0"/>
                <w:sz w:val="20"/>
              </w:rPr>
              <w:t>6</w:t>
            </w:r>
          </w:p>
        </w:tc>
        <w:tc>
          <w:tcPr>
            <w:tcW w:type="dxa" w:w="1701"/>
            <w:vAlign w:val="center"/>
          </w:tcPr>
          <w:p>
            <w:r/>
            <w:r>
              <w:rPr>
                <w:rFonts w:ascii="Calibri" w:hAnsi="Calibri"/>
                <w:b w:val="0"/>
                <w:i w:val="0"/>
                <w:sz w:val="20"/>
              </w:rPr>
              <w:t>5.3%</w:t>
            </w:r>
          </w:p>
        </w:tc>
      </w:tr>
      <w:tr>
        <w:tc>
          <w:tcPr>
            <w:tcW w:type="dxa" w:w="3969"/>
            <w:vAlign w:val="center"/>
          </w:tcPr>
          <w:p>
            <w:r/>
            <w:r>
              <w:rPr>
                <w:rFonts w:ascii="Calibri" w:hAnsi="Calibri"/>
                <w:b w:val="0"/>
                <w:i w:val="0"/>
                <w:sz w:val="20"/>
              </w:rPr>
              <w:t>Change Impact / Issue Mgmt</w:t>
            </w:r>
          </w:p>
        </w:tc>
        <w:tc>
          <w:tcPr>
            <w:tcW w:type="dxa" w:w="1701"/>
            <w:vAlign w:val="center"/>
          </w:tcPr>
          <w:p>
            <w:r/>
            <w:r>
              <w:rPr>
                <w:rFonts w:ascii="Calibri" w:hAnsi="Calibri"/>
                <w:b w:val="0"/>
                <w:i w:val="0"/>
                <w:sz w:val="20"/>
              </w:rPr>
              <w:t>5</w:t>
            </w:r>
          </w:p>
        </w:tc>
        <w:tc>
          <w:tcPr>
            <w:tcW w:type="dxa" w:w="1701"/>
            <w:vAlign w:val="center"/>
          </w:tcPr>
          <w:p>
            <w:r/>
            <w:r>
              <w:rPr>
                <w:rFonts w:ascii="Calibri" w:hAnsi="Calibri"/>
                <w:b w:val="0"/>
                <w:i w:val="0"/>
                <w:sz w:val="20"/>
              </w:rPr>
              <w:t>4.4%</w:t>
            </w:r>
          </w:p>
        </w:tc>
      </w:tr>
      <w:tr>
        <w:tc>
          <w:tcPr>
            <w:tcW w:type="dxa" w:w="3969"/>
            <w:vAlign w:val="center"/>
          </w:tcPr>
          <w:p>
            <w:r/>
            <w:r>
              <w:rPr>
                <w:rFonts w:ascii="Calibri" w:hAnsi="Calibri"/>
                <w:b w:val="0"/>
                <w:i w:val="0"/>
                <w:sz w:val="20"/>
              </w:rPr>
              <w:t>Security</w:t>
            </w:r>
          </w:p>
        </w:tc>
        <w:tc>
          <w:tcPr>
            <w:tcW w:type="dxa" w:w="1701"/>
            <w:vAlign w:val="center"/>
          </w:tcPr>
          <w:p>
            <w:r/>
            <w:r>
              <w:rPr>
                <w:rFonts w:ascii="Calibri" w:hAnsi="Calibri"/>
                <w:b w:val="0"/>
                <w:i w:val="0"/>
                <w:sz w:val="20"/>
              </w:rPr>
              <w:t>3</w:t>
            </w:r>
          </w:p>
        </w:tc>
        <w:tc>
          <w:tcPr>
            <w:tcW w:type="dxa" w:w="1701"/>
            <w:vAlign w:val="center"/>
          </w:tcPr>
          <w:p>
            <w:r/>
            <w:r>
              <w:rPr>
                <w:rFonts w:ascii="Calibri" w:hAnsi="Calibri"/>
                <w:b w:val="0"/>
                <w:i w:val="0"/>
                <w:sz w:val="20"/>
              </w:rPr>
              <w:t>2.7%</w:t>
            </w:r>
          </w:p>
        </w:tc>
      </w:tr>
      <w:tr>
        <w:tc>
          <w:tcPr>
            <w:tcW w:type="dxa" w:w="3969"/>
            <w:vAlign w:val="center"/>
          </w:tcPr>
          <w:p>
            <w:r/>
            <w:r>
              <w:rPr>
                <w:rFonts w:ascii="Calibri" w:hAnsi="Calibri"/>
                <w:b w:val="0"/>
                <w:i w:val="0"/>
                <w:sz w:val="20"/>
              </w:rPr>
              <w:t>Architecture Documentation</w:t>
            </w:r>
          </w:p>
        </w:tc>
        <w:tc>
          <w:tcPr>
            <w:tcW w:type="dxa" w:w="1701"/>
            <w:vAlign w:val="center"/>
          </w:tcPr>
          <w:p>
            <w:r/>
            <w:r>
              <w:rPr>
                <w:rFonts w:ascii="Calibri" w:hAnsi="Calibri"/>
                <w:b w:val="0"/>
                <w:i w:val="0"/>
                <w:sz w:val="20"/>
              </w:rPr>
              <w:t>2</w:t>
            </w:r>
          </w:p>
        </w:tc>
        <w:tc>
          <w:tcPr>
            <w:tcW w:type="dxa" w:w="1701"/>
            <w:vAlign w:val="center"/>
          </w:tcPr>
          <w:p>
            <w:r/>
            <w:r>
              <w:rPr>
                <w:rFonts w:ascii="Calibri" w:hAnsi="Calibri"/>
                <w:b w:val="0"/>
                <w:i w:val="0"/>
                <w:sz w:val="20"/>
              </w:rPr>
              <w:t>1.8%</w:t>
            </w:r>
          </w:p>
        </w:tc>
      </w:tr>
      <w:tr>
        <w:tc>
          <w:tcPr>
            <w:tcW w:type="dxa" w:w="3969"/>
            <w:vAlign w:val="center"/>
          </w:tcPr>
          <w:p>
            <w:r/>
            <w:r>
              <w:rPr>
                <w:rFonts w:ascii="Calibri" w:hAnsi="Calibri"/>
                <w:b w:val="0"/>
                <w:i w:val="0"/>
                <w:sz w:val="20"/>
              </w:rPr>
              <w:t>Sustainability</w:t>
            </w:r>
          </w:p>
        </w:tc>
        <w:tc>
          <w:tcPr>
            <w:tcW w:type="dxa" w:w="1701"/>
            <w:vAlign w:val="center"/>
          </w:tcPr>
          <w:p>
            <w:r/>
            <w:r>
              <w:rPr>
                <w:rFonts w:ascii="Calibri" w:hAnsi="Calibri"/>
                <w:b w:val="0"/>
                <w:i w:val="0"/>
                <w:sz w:val="20"/>
              </w:rPr>
              <w:t>2</w:t>
            </w:r>
          </w:p>
        </w:tc>
        <w:tc>
          <w:tcPr>
            <w:tcW w:type="dxa" w:w="1701"/>
            <w:vAlign w:val="center"/>
          </w:tcPr>
          <w:p>
            <w:r/>
            <w:r>
              <w:rPr>
                <w:rFonts w:ascii="Calibri" w:hAnsi="Calibri"/>
                <w:b w:val="0"/>
                <w:i w:val="0"/>
                <w:sz w:val="20"/>
              </w:rPr>
              <w:t>1.8%</w:t>
            </w:r>
          </w:p>
        </w:tc>
      </w:tr>
    </w:tbl>
    <w:p>
      <w:pPr>
        <w:spacing w:before="40" w:after="200"/>
        <w:jc w:val="center"/>
      </w:pPr>
      <w:r>
        <w:rPr>
          <w:rFonts w:ascii="Calibri" w:hAnsi="Calibri"/>
          <w:b w:val="0"/>
          <w:i/>
          <w:color w:val="555555"/>
          <w:sz w:val="18"/>
        </w:rPr>
        <w:t>Table 10 — Architectural concerns addressed by the corpus.</w:t>
      </w:r>
    </w:p>
    <w:p>
      <w:pPr>
        <w:spacing w:before="160" w:after="40"/>
        <w:jc w:val="center"/>
      </w:pPr>
      <w:r>
        <w:drawing>
          <wp:inline xmlns:a="http://schemas.openxmlformats.org/drawingml/2006/main" xmlns:pic="http://schemas.openxmlformats.org/drawingml/2006/picture">
            <wp:extent cx="5400000" cy="2521519"/>
            <wp:docPr id="5" name="Picture 5"/>
            <wp:cNvGraphicFramePr>
              <a:graphicFrameLocks noChangeAspect="1"/>
            </wp:cNvGraphicFramePr>
            <a:graphic>
              <a:graphicData uri="http://schemas.openxmlformats.org/drawingml/2006/picture">
                <pic:pic>
                  <pic:nvPicPr>
                    <pic:cNvPr id="0" name="chart_concerns.png"/>
                    <pic:cNvPicPr/>
                  </pic:nvPicPr>
                  <pic:blipFill>
                    <a:blip r:embed="rId13"/>
                    <a:stretch>
                      <a:fillRect/>
                    </a:stretch>
                  </pic:blipFill>
                  <pic:spPr>
                    <a:xfrm>
                      <a:off x="0" y="0"/>
                      <a:ext cx="5400000" cy="2521519"/>
                    </a:xfrm>
                    <a:prstGeom prst="rect"/>
                  </pic:spPr>
                </pic:pic>
              </a:graphicData>
            </a:graphic>
          </wp:inline>
        </w:drawing>
      </w:r>
    </w:p>
    <w:p>
      <w:pPr>
        <w:spacing w:before="40" w:after="200"/>
        <w:jc w:val="center"/>
      </w:pPr>
      <w:r>
        <w:rPr>
          <w:rFonts w:ascii="Calibri" w:hAnsi="Calibri"/>
          <w:b w:val="0"/>
          <w:i/>
          <w:color w:val="555555"/>
          <w:sz w:val="18"/>
        </w:rPr>
        <w:t>Figure 6 — Architectural concerns.</w:t>
      </w:r>
    </w:p>
    <w:p>
      <w:pPr>
        <w:pStyle w:val="Heading2"/>
        <w:keepNext/>
        <w:spacing w:before="280" w:after="120"/>
      </w:pPr>
      <w:r>
        <w:rPr>
          <w:rFonts w:ascii="Calibri" w:hAnsi="Calibri"/>
          <w:b/>
          <w:i w:val="0"/>
          <w:color w:val="1F3A5F"/>
          <w:sz w:val="28"/>
        </w:rPr>
        <w:t>4.8  Programming Language Coverage (F7)</w:t>
      </w:r>
    </w:p>
    <w:tbl>
      <w:tblPr>
        <w:tblStyle w:val="LightGrid-Accent1"/>
        <w:tblW w:type="auto" w:w="0"/>
        <w:jc w:val="center"/>
        <w:tblLayout w:type="fixed"/>
        <w:tblLook w:firstColumn="1" w:firstRow="1" w:lastColumn="0" w:lastRow="0" w:noHBand="0" w:noVBand="1" w:val="04A0"/>
      </w:tblPr>
      <w:tblGrid>
        <w:gridCol w:w="3024"/>
        <w:gridCol w:w="3024"/>
        <w:gridCol w:w="3024"/>
      </w:tblGrid>
      <w:tr>
        <w:tc>
          <w:tcPr>
            <w:tcW w:type="dxa" w:w="3685"/>
            <w:shd w:val="clear" w:color="auto" w:fill="1F3A5F"/>
            <w:vAlign w:val="center"/>
          </w:tcPr>
          <w:p>
            <w:r/>
            <w:r>
              <w:rPr>
                <w:rFonts w:ascii="Calibri" w:hAnsi="Calibri"/>
                <w:b/>
                <w:i w:val="0"/>
                <w:color w:val="FFFFFF"/>
                <w:sz w:val="20"/>
              </w:rPr>
              <w:t>Java focus</w:t>
            </w:r>
          </w:p>
        </w:tc>
        <w:tc>
          <w:tcPr>
            <w:tcW w:type="dxa" w:w="1701"/>
            <w:shd w:val="clear" w:color="auto" w:fill="1F3A5F"/>
            <w:vAlign w:val="center"/>
          </w:tcPr>
          <w:p>
            <w:r/>
            <w:r>
              <w:rPr>
                <w:rFonts w:ascii="Calibri" w:hAnsi="Calibri"/>
                <w:b/>
                <w:i w:val="0"/>
                <w:color w:val="FFFFFF"/>
                <w:sz w:val="20"/>
              </w:rPr>
              <w:t># studies</w:t>
            </w:r>
          </w:p>
        </w:tc>
        <w:tc>
          <w:tcPr>
            <w:tcW w:type="dxa" w:w="1701"/>
            <w:shd w:val="clear" w:color="auto" w:fill="1F3A5F"/>
            <w:vAlign w:val="center"/>
          </w:tcPr>
          <w:p>
            <w:r/>
            <w:r>
              <w:rPr>
                <w:rFonts w:ascii="Calibri" w:hAnsi="Calibri"/>
                <w:b/>
                <w:i w:val="0"/>
                <w:color w:val="FFFFFF"/>
                <w:sz w:val="20"/>
              </w:rPr>
              <w:t>%</w:t>
            </w:r>
          </w:p>
        </w:tc>
      </w:tr>
      <w:tr>
        <w:tc>
          <w:tcPr>
            <w:tcW w:type="dxa" w:w="3685"/>
            <w:vAlign w:val="center"/>
          </w:tcPr>
          <w:p>
            <w:r/>
            <w:r>
              <w:rPr>
                <w:rFonts w:ascii="Calibri" w:hAnsi="Calibri"/>
                <w:b w:val="0"/>
                <w:i w:val="0"/>
                <w:sz w:val="20"/>
              </w:rPr>
              <w:t>Yes</w:t>
            </w:r>
          </w:p>
        </w:tc>
        <w:tc>
          <w:tcPr>
            <w:tcW w:type="dxa" w:w="1701"/>
            <w:vAlign w:val="center"/>
          </w:tcPr>
          <w:p>
            <w:r/>
            <w:r>
              <w:rPr>
                <w:rFonts w:ascii="Calibri" w:hAnsi="Calibri"/>
                <w:b w:val="0"/>
                <w:i w:val="0"/>
                <w:sz w:val="20"/>
              </w:rPr>
              <w:t>5</w:t>
            </w:r>
          </w:p>
        </w:tc>
        <w:tc>
          <w:tcPr>
            <w:tcW w:type="dxa" w:w="1701"/>
            <w:vAlign w:val="center"/>
          </w:tcPr>
          <w:p>
            <w:r/>
            <w:r>
              <w:rPr>
                <w:rFonts w:ascii="Calibri" w:hAnsi="Calibri"/>
                <w:b w:val="0"/>
                <w:i w:val="0"/>
                <w:sz w:val="20"/>
              </w:rPr>
              <w:t>4.4%</w:t>
            </w:r>
          </w:p>
        </w:tc>
      </w:tr>
      <w:tr>
        <w:tc>
          <w:tcPr>
            <w:tcW w:type="dxa" w:w="3685"/>
            <w:vAlign w:val="center"/>
          </w:tcPr>
          <w:p>
            <w:r/>
            <w:r>
              <w:rPr>
                <w:rFonts w:ascii="Calibri" w:hAnsi="Calibri"/>
                <w:b w:val="0"/>
                <w:i w:val="0"/>
                <w:sz w:val="20"/>
              </w:rPr>
              <w:t>No / language-agnostic</w:t>
            </w:r>
          </w:p>
        </w:tc>
        <w:tc>
          <w:tcPr>
            <w:tcW w:type="dxa" w:w="1701"/>
            <w:vAlign w:val="center"/>
          </w:tcPr>
          <w:p>
            <w:r/>
            <w:r>
              <w:rPr>
                <w:rFonts w:ascii="Calibri" w:hAnsi="Calibri"/>
                <w:b w:val="0"/>
                <w:i w:val="0"/>
                <w:sz w:val="20"/>
              </w:rPr>
              <w:t>108</w:t>
            </w:r>
          </w:p>
        </w:tc>
        <w:tc>
          <w:tcPr>
            <w:tcW w:type="dxa" w:w="1701"/>
            <w:vAlign w:val="center"/>
          </w:tcPr>
          <w:p>
            <w:r/>
            <w:r>
              <w:rPr>
                <w:rFonts w:ascii="Calibri" w:hAnsi="Calibri"/>
                <w:b w:val="0"/>
                <w:i w:val="0"/>
                <w:sz w:val="20"/>
              </w:rPr>
              <w:t>95.6%</w:t>
            </w:r>
          </w:p>
        </w:tc>
      </w:tr>
    </w:tbl>
    <w:p>
      <w:pPr>
        <w:spacing w:before="40" w:after="200"/>
        <w:jc w:val="center"/>
      </w:pPr>
      <w:r>
        <w:rPr>
          <w:rFonts w:ascii="Calibri" w:hAnsi="Calibri"/>
          <w:b w:val="0"/>
          <w:i/>
          <w:color w:val="555555"/>
          <w:sz w:val="18"/>
        </w:rPr>
        <w:t>Table 11 — Studies with explicit Java focus.</w:t>
      </w:r>
    </w:p>
    <w:p>
      <w:pPr>
        <w:spacing w:before="0" w:after="80" w:line="276" w:lineRule="auto"/>
      </w:pPr>
      <w:r>
        <w:rPr>
          <w:rFonts w:ascii="Calibri" w:hAnsi="Calibri"/>
          <w:b w:val="0"/>
          <w:i w:val="0"/>
          <w:sz w:val="22"/>
        </w:rPr>
        <w:t>Only 5 of 113 (4.4 %) primary studies explicitly target Java-based systems. The remainder are language-agnostic or focused on a different ecosystem (Python, Go, mixed-language). This confirms the positioning opportunity: the thesis can leverage Java's rich ecosystem of static-analysis tools (Spoon, JavaParser, Eclipse JDT) and Spring-Boot/Quarkus annotations to derive the architectural metamodel called for in RQ1.</w:t>
      </w:r>
    </w:p>
    <w:p>
      <w:pPr>
        <w:pStyle w:val="Heading2"/>
        <w:keepNext/>
        <w:spacing w:before="280" w:after="120"/>
      </w:pPr>
      <w:r>
        <w:rPr>
          <w:rFonts w:ascii="Calibri" w:hAnsi="Calibri"/>
          <w:b/>
          <w:i w:val="0"/>
          <w:color w:val="1F3A5F"/>
          <w:sz w:val="28"/>
        </w:rPr>
        <w:t>4.12  Cross-Cutting View: Architecture, Metrics, and AI (F11)</w:t>
      </w:r>
    </w:p>
    <w:p>
      <w:pPr>
        <w:spacing w:before="160" w:after="40"/>
        <w:jc w:val="center"/>
      </w:pPr>
      <w:r>
        <w:drawing>
          <wp:inline xmlns:a="http://schemas.openxmlformats.org/drawingml/2006/main" xmlns:pic="http://schemas.openxmlformats.org/drawingml/2006/picture">
            <wp:extent cx="6120000" cy="3311229"/>
            <wp:docPr id="6" name="Picture 6"/>
            <wp:cNvGraphicFramePr>
              <a:graphicFrameLocks noChangeAspect="1"/>
            </wp:cNvGraphicFramePr>
            <a:graphic>
              <a:graphicData uri="http://schemas.openxmlformats.org/drawingml/2006/picture">
                <pic:pic>
                  <pic:nvPicPr>
                    <pic:cNvPr id="0" name="chart_heatmap.png"/>
                    <pic:cNvPicPr/>
                  </pic:nvPicPr>
                  <pic:blipFill>
                    <a:blip r:embed="rId14"/>
                    <a:stretch>
                      <a:fillRect/>
                    </a:stretch>
                  </pic:blipFill>
                  <pic:spPr>
                    <a:xfrm>
                      <a:off x="0" y="0"/>
                      <a:ext cx="6120000" cy="3311229"/>
                    </a:xfrm>
                    <a:prstGeom prst="rect"/>
                  </pic:spPr>
                </pic:pic>
              </a:graphicData>
            </a:graphic>
          </wp:inline>
        </w:drawing>
      </w:r>
    </w:p>
    <w:p>
      <w:pPr>
        <w:spacing w:before="40" w:after="200"/>
        <w:jc w:val="center"/>
      </w:pPr>
      <w:r>
        <w:rPr>
          <w:rFonts w:ascii="Calibri" w:hAnsi="Calibri"/>
          <w:b w:val="0"/>
          <w:i/>
          <w:color w:val="555555"/>
          <w:sz w:val="18"/>
        </w:rPr>
        <w:t>Figure 7 — Heat-map of primary approach (rows) × architectural concern (columns). Each cell shows the number of primary studies in that combination. Empty cells highlight gaps in the literature.</w:t>
      </w:r>
    </w:p>
    <w:p>
      <w:pPr>
        <w:pStyle w:val="Heading1"/>
        <w:keepNext/>
        <w:spacing w:before="360" w:after="120"/>
      </w:pPr>
      <w:r>
        <w:rPr>
          <w:rFonts w:ascii="Calibri" w:hAnsi="Calibri"/>
          <w:b/>
          <w:i w:val="0"/>
          <w:color w:val="1F3A5F"/>
          <w:sz w:val="36"/>
        </w:rPr>
        <w:t>5  Discussion</w:t>
      </w:r>
    </w:p>
    <w:p>
      <w:pPr>
        <w:pStyle w:val="Heading2"/>
        <w:keepNext/>
        <w:spacing w:before="280" w:after="120"/>
      </w:pPr>
      <w:r>
        <w:rPr>
          <w:rFonts w:ascii="Calibri" w:hAnsi="Calibri"/>
          <w:b/>
          <w:i w:val="0"/>
          <w:color w:val="1F3A5F"/>
          <w:sz w:val="28"/>
        </w:rPr>
        <w:t>5.1  Answers to the Research Questions</w:t>
      </w:r>
    </w:p>
    <w:p>
      <w:pPr>
        <w:spacing w:before="0" w:after="80" w:line="276" w:lineRule="auto"/>
      </w:pPr>
      <w:r>
        <w:rPr>
          <w:rFonts w:ascii="Calibri" w:hAnsi="Calibri"/>
          <w:b w:val="0"/>
          <w:i w:val="0"/>
          <w:sz w:val="22"/>
        </w:rPr>
        <w:t>Detailed RQ-by-RQ analysis follows the same template as in v3 of this draft, updated with the V4 corpus. The headline findings are unchanged: the literature offers partial coverage of architectural properties (RQ1), inconsistent operationalisation of architecture-aware metrics (RQ2), encouraging but narrowly-scoped hybrid metric+AI models (RQ3), and almost no Java-centric developer-facing tooling with explainable feedback grounded in architecture (RQ4). Section 5.2 summarises the gaps and their mapping to the thesis contributions.</w:t>
      </w:r>
    </w:p>
    <w:p>
      <w:pPr>
        <w:pStyle w:val="Heading2"/>
        <w:keepNext/>
        <w:spacing w:before="280" w:after="120"/>
      </w:pPr>
      <w:r>
        <w:rPr>
          <w:rFonts w:ascii="Calibri" w:hAnsi="Calibri"/>
          <w:b/>
          <w:i w:val="0"/>
          <w:color w:val="1F3A5F"/>
          <w:sz w:val="28"/>
        </w:rPr>
        <w:t>5.2  Mapping Gaps to the Thesis Contributions</w:t>
      </w:r>
    </w:p>
    <w:tbl>
      <w:tblPr>
        <w:tblStyle w:val="LightGrid-Accent1"/>
        <w:tblW w:type="auto" w:w="0"/>
        <w:jc w:val="center"/>
        <w:tblLayout w:type="fixed"/>
        <w:tblLook w:firstColumn="1" w:firstRow="1" w:lastColumn="0" w:lastRow="0" w:noHBand="0" w:noVBand="1" w:val="04A0"/>
      </w:tblPr>
      <w:tblGrid>
        <w:gridCol w:w="2268"/>
        <w:gridCol w:w="2268"/>
        <w:gridCol w:w="2268"/>
        <w:gridCol w:w="2268"/>
      </w:tblGrid>
      <w:tr>
        <w:tc>
          <w:tcPr>
            <w:tcW w:type="dxa" w:w="680"/>
            <w:shd w:val="clear" w:color="auto" w:fill="1F3A5F"/>
            <w:vAlign w:val="center"/>
          </w:tcPr>
          <w:p>
            <w:r/>
            <w:r>
              <w:rPr>
                <w:rFonts w:ascii="Calibri" w:hAnsi="Calibri"/>
                <w:b/>
                <w:i w:val="0"/>
                <w:color w:val="FFFFFF"/>
                <w:sz w:val="20"/>
              </w:rPr>
              <w:t>Gap</w:t>
            </w:r>
          </w:p>
        </w:tc>
        <w:tc>
          <w:tcPr>
            <w:tcW w:type="dxa" w:w="3118"/>
            <w:shd w:val="clear" w:color="auto" w:fill="1F3A5F"/>
            <w:vAlign w:val="center"/>
          </w:tcPr>
          <w:p>
            <w:r/>
            <w:r>
              <w:rPr>
                <w:rFonts w:ascii="Calibri" w:hAnsi="Calibri"/>
                <w:b/>
                <w:i w:val="0"/>
                <w:color w:val="FFFFFF"/>
                <w:sz w:val="20"/>
              </w:rPr>
              <w:t>Description</w:t>
            </w:r>
          </w:p>
        </w:tc>
        <w:tc>
          <w:tcPr>
            <w:tcW w:type="dxa" w:w="2268"/>
            <w:shd w:val="clear" w:color="auto" w:fill="1F3A5F"/>
            <w:vAlign w:val="center"/>
          </w:tcPr>
          <w:p>
            <w:r/>
            <w:r>
              <w:rPr>
                <w:rFonts w:ascii="Calibri" w:hAnsi="Calibri"/>
                <w:b/>
                <w:i w:val="0"/>
                <w:color w:val="FFFFFF"/>
                <w:sz w:val="20"/>
              </w:rPr>
              <w:t>Supporting evidence</w:t>
            </w:r>
          </w:p>
        </w:tc>
        <w:tc>
          <w:tcPr>
            <w:tcW w:type="dxa" w:w="3288"/>
            <w:shd w:val="clear" w:color="auto" w:fill="1F3A5F"/>
            <w:vAlign w:val="center"/>
          </w:tcPr>
          <w:p>
            <w:r/>
            <w:r>
              <w:rPr>
                <w:rFonts w:ascii="Calibri" w:hAnsi="Calibri"/>
                <w:b/>
                <w:i w:val="0"/>
                <w:color w:val="FFFFFF"/>
                <w:sz w:val="20"/>
              </w:rPr>
              <w:t>Thesis contribution</w:t>
            </w:r>
          </w:p>
        </w:tc>
      </w:tr>
      <w:tr>
        <w:tc>
          <w:tcPr>
            <w:tcW w:type="dxa" w:w="680"/>
            <w:vAlign w:val="center"/>
          </w:tcPr>
          <w:p>
            <w:r/>
            <w:r>
              <w:rPr>
                <w:rFonts w:ascii="Calibri" w:hAnsi="Calibri"/>
                <w:b w:val="0"/>
                <w:i w:val="0"/>
                <w:sz w:val="20"/>
              </w:rPr>
              <w:t>G1</w:t>
            </w:r>
          </w:p>
        </w:tc>
        <w:tc>
          <w:tcPr>
            <w:tcW w:type="dxa" w:w="3118"/>
            <w:vAlign w:val="center"/>
          </w:tcPr>
          <w:p>
            <w:r/>
            <w:r>
              <w:rPr>
                <w:rFonts w:ascii="Calibri" w:hAnsi="Calibri"/>
                <w:b w:val="0"/>
                <w:i w:val="0"/>
                <w:sz w:val="20"/>
              </w:rPr>
              <w:t>Lack of a technology-agnostic architectural metamodel combining static, configuration and runtime evidence</w:t>
            </w:r>
          </w:p>
        </w:tc>
        <w:tc>
          <w:tcPr>
            <w:tcW w:type="dxa" w:w="2268"/>
            <w:vAlign w:val="center"/>
          </w:tcPr>
          <w:p>
            <w:r/>
            <w:r>
              <w:rPr>
                <w:rFonts w:ascii="Calibri" w:hAnsi="Calibri"/>
                <w:b w:val="0"/>
                <w:i w:val="0"/>
                <w:sz w:val="20"/>
              </w:rPr>
              <w:t>§4.5, §4.6; RQ1 analysis</w:t>
            </w:r>
          </w:p>
        </w:tc>
        <w:tc>
          <w:tcPr>
            <w:tcW w:type="dxa" w:w="3288"/>
            <w:vAlign w:val="center"/>
          </w:tcPr>
          <w:p>
            <w:r/>
            <w:r>
              <w:rPr>
                <w:rFonts w:ascii="Calibri" w:hAnsi="Calibri"/>
                <w:b w:val="0"/>
                <w:i w:val="0"/>
                <w:sz w:val="20"/>
              </w:rPr>
              <w:t>Architectural metamodel for Java distributed systems (Obj. 1 / WP T2)</w:t>
            </w:r>
          </w:p>
        </w:tc>
      </w:tr>
      <w:tr>
        <w:tc>
          <w:tcPr>
            <w:tcW w:type="dxa" w:w="680"/>
            <w:vAlign w:val="center"/>
          </w:tcPr>
          <w:p>
            <w:r/>
            <w:r>
              <w:rPr>
                <w:rFonts w:ascii="Calibri" w:hAnsi="Calibri"/>
                <w:b w:val="0"/>
                <w:i w:val="0"/>
                <w:sz w:val="20"/>
              </w:rPr>
              <w:t>G2</w:t>
            </w:r>
          </w:p>
        </w:tc>
        <w:tc>
          <w:tcPr>
            <w:tcW w:type="dxa" w:w="3118"/>
            <w:vAlign w:val="center"/>
          </w:tcPr>
          <w:p>
            <w:r/>
            <w:r>
              <w:rPr>
                <w:rFonts w:ascii="Calibri" w:hAnsi="Calibri"/>
                <w:b w:val="0"/>
                <w:i w:val="0"/>
                <w:sz w:val="20"/>
              </w:rPr>
              <w:t>Fragmented and informally-defined architecture-aware metrics</w:t>
            </w:r>
          </w:p>
        </w:tc>
        <w:tc>
          <w:tcPr>
            <w:tcW w:type="dxa" w:w="2268"/>
            <w:vAlign w:val="center"/>
          </w:tcPr>
          <w:p>
            <w:r/>
            <w:r>
              <w:rPr>
                <w:rFonts w:ascii="Calibri" w:hAnsi="Calibri"/>
                <w:b w:val="0"/>
                <w:i w:val="0"/>
                <w:sz w:val="20"/>
              </w:rPr>
              <w:t>§4.2, §4.6; RQ2 analysis</w:t>
            </w:r>
          </w:p>
        </w:tc>
        <w:tc>
          <w:tcPr>
            <w:tcW w:type="dxa" w:w="3288"/>
            <w:vAlign w:val="center"/>
          </w:tcPr>
          <w:p>
            <w:r/>
            <w:r>
              <w:rPr>
                <w:rFonts w:ascii="Calibri" w:hAnsi="Calibri"/>
                <w:b w:val="0"/>
                <w:i w:val="0"/>
                <w:sz w:val="20"/>
              </w:rPr>
              <w:t>OCL-grounded metric catalogue (Obj. 2 / WP T3)</w:t>
            </w:r>
          </w:p>
        </w:tc>
      </w:tr>
      <w:tr>
        <w:tc>
          <w:tcPr>
            <w:tcW w:type="dxa" w:w="680"/>
            <w:vAlign w:val="center"/>
          </w:tcPr>
          <w:p>
            <w:r/>
            <w:r>
              <w:rPr>
                <w:rFonts w:ascii="Calibri" w:hAnsi="Calibri"/>
                <w:b w:val="0"/>
                <w:i w:val="0"/>
                <w:sz w:val="20"/>
              </w:rPr>
              <w:t>G3</w:t>
            </w:r>
          </w:p>
        </w:tc>
        <w:tc>
          <w:tcPr>
            <w:tcW w:type="dxa" w:w="3118"/>
            <w:vAlign w:val="center"/>
          </w:tcPr>
          <w:p>
            <w:r/>
            <w:r>
              <w:rPr>
                <w:rFonts w:ascii="Calibri" w:hAnsi="Calibri"/>
                <w:b w:val="0"/>
                <w:i w:val="0"/>
                <w:sz w:val="20"/>
              </w:rPr>
              <w:t>Hybrid metric+AI pipelines without explainability anchored on architecture</w:t>
            </w:r>
          </w:p>
        </w:tc>
        <w:tc>
          <w:tcPr>
            <w:tcW w:type="dxa" w:w="2268"/>
            <w:vAlign w:val="center"/>
          </w:tcPr>
          <w:p>
            <w:r/>
            <w:r>
              <w:rPr>
                <w:rFonts w:ascii="Calibri" w:hAnsi="Calibri"/>
                <w:b w:val="0"/>
                <w:i w:val="0"/>
                <w:sz w:val="20"/>
              </w:rPr>
              <w:t>§4.4, §4.11; RQ3 analysis</w:t>
            </w:r>
          </w:p>
        </w:tc>
        <w:tc>
          <w:tcPr>
            <w:tcW w:type="dxa" w:w="3288"/>
            <w:vAlign w:val="center"/>
          </w:tcPr>
          <w:p>
            <w:r/>
            <w:r>
              <w:rPr>
                <w:rFonts w:ascii="Calibri" w:hAnsi="Calibri"/>
                <w:b w:val="0"/>
                <w:i w:val="0"/>
                <w:sz w:val="20"/>
              </w:rPr>
              <w:t>Hybrid metric+AI models with explanations grounded in architecture-aware metrics (Obj. 4 / WP T5)</w:t>
            </w:r>
          </w:p>
        </w:tc>
      </w:tr>
      <w:tr>
        <w:tc>
          <w:tcPr>
            <w:tcW w:type="dxa" w:w="680"/>
            <w:vAlign w:val="center"/>
          </w:tcPr>
          <w:p>
            <w:r/>
            <w:r>
              <w:rPr>
                <w:rFonts w:ascii="Calibri" w:hAnsi="Calibri"/>
                <w:b w:val="0"/>
                <w:i w:val="0"/>
                <w:sz w:val="20"/>
              </w:rPr>
              <w:t>G4</w:t>
            </w:r>
          </w:p>
        </w:tc>
        <w:tc>
          <w:tcPr>
            <w:tcW w:type="dxa" w:w="3118"/>
            <w:vAlign w:val="center"/>
          </w:tcPr>
          <w:p>
            <w:r/>
            <w:r>
              <w:rPr>
                <w:rFonts w:ascii="Calibri" w:hAnsi="Calibri"/>
                <w:b w:val="0"/>
                <w:i w:val="0"/>
                <w:sz w:val="20"/>
              </w:rPr>
              <w:t>Limited developer-oriented evaluation of architecture-aware feedback</w:t>
            </w:r>
          </w:p>
        </w:tc>
        <w:tc>
          <w:tcPr>
            <w:tcW w:type="dxa" w:w="2268"/>
            <w:vAlign w:val="center"/>
          </w:tcPr>
          <w:p>
            <w:r/>
            <w:r>
              <w:rPr>
                <w:rFonts w:ascii="Calibri" w:hAnsi="Calibri"/>
                <w:b w:val="0"/>
                <w:i w:val="0"/>
                <w:sz w:val="20"/>
              </w:rPr>
              <w:t>§4.9, §4.10; RQ4 analysis</w:t>
            </w:r>
          </w:p>
        </w:tc>
        <w:tc>
          <w:tcPr>
            <w:tcW w:type="dxa" w:w="3288"/>
            <w:vAlign w:val="center"/>
          </w:tcPr>
          <w:p>
            <w:r/>
            <w:r>
              <w:rPr>
                <w:rFonts w:ascii="Calibri" w:hAnsi="Calibri"/>
                <w:b w:val="0"/>
                <w:i w:val="0"/>
                <w:sz w:val="20"/>
              </w:rPr>
              <w:t>API/export backbone + developer studies on usefulness and interpretability (Obj. 5 / WP T6–T7)</w:t>
            </w:r>
          </w:p>
        </w:tc>
      </w:tr>
    </w:tbl>
    <w:p>
      <w:pPr>
        <w:spacing w:before="40" w:after="200"/>
        <w:jc w:val="center"/>
      </w:pPr>
      <w:r>
        <w:rPr>
          <w:rFonts w:ascii="Calibri" w:hAnsi="Calibri"/>
          <w:b w:val="0"/>
          <w:i/>
          <w:color w:val="555555"/>
          <w:sz w:val="18"/>
        </w:rPr>
        <w:t>Table 12 — Mapping of literature gaps to thesis contributions.</w:t>
      </w:r>
    </w:p>
    <w:p>
      <w:pPr>
        <w:pStyle w:val="Heading2"/>
        <w:keepNext/>
        <w:spacing w:before="280" w:after="120"/>
      </w:pPr>
      <w:r>
        <w:rPr>
          <w:rFonts w:ascii="Calibri" w:hAnsi="Calibri"/>
          <w:b/>
          <w:i w:val="0"/>
          <w:color w:val="1F3A5F"/>
          <w:sz w:val="28"/>
        </w:rPr>
        <w:t>5.3  Threats to Validity</w:t>
      </w:r>
    </w:p>
    <w:p>
      <w:pPr>
        <w:spacing w:before="0" w:after="80" w:line="276" w:lineRule="auto"/>
      </w:pPr>
      <w:r>
        <w:rPr>
          <w:rFonts w:ascii="Calibri" w:hAnsi="Calibri"/>
          <w:b w:val="0"/>
          <w:i w:val="0"/>
          <w:sz w:val="22"/>
        </w:rPr>
        <w:t>Threats to validity follow the four classical categories of [Wohlin et al., 2012] adapted to secondary studies. Internal validity: the operationalised Phase-2 rule of §3.2.6 was applied programmatically over title + abstract + keywords; for the 47 candidates already classified manually, the rule reproduced the decision in 72.3 % of cases — the remaining 27.7 % were manually reviewed. External validity: the corpus is biased toward Java-based / microservice / Kubernetes literature by the V4 search string. Construct validity: the concepts of "architecture-aware metric" and "hybrid metric+AI model" are not standardised; working definitions are aligned with [Bogner et al., 2019], [Taibi &amp; Lenarduzzi, 2018], [Dam et al., 2019] and [Ribeiro et al., 2016]. Conclusion validity: the relatively modest corpus size (113 papers) limits the statistical power of frequency-based observations; counts are reported as descriptive statistics, not as inferences. Two specific threats deserve dedicated discussion: (i) the V4 search string deliberately narrows the corpus to MDE-aligned literature, which excludes 30 architectural-metric studies that the candidate had previously validated under V3 — these are recovered through the backward-snowballing branch (§3.2.5 and Appendix E); (ii) WoS coverage of recent CS conference proceedings is comparatively limited, yielding only 28 hits with V4 vs Scopus's 175 — Scopus was therefore used as the principal aggregator for journals not indexed elsewhere.</w:t>
      </w:r>
    </w:p>
    <w:p>
      <w:pPr>
        <w:pStyle w:val="Heading1"/>
        <w:keepNext/>
        <w:spacing w:before="360" w:after="120"/>
      </w:pPr>
      <w:r>
        <w:rPr>
          <w:rFonts w:ascii="Calibri" w:hAnsi="Calibri"/>
          <w:b/>
          <w:i w:val="0"/>
          <w:color w:val="1F3A5F"/>
          <w:sz w:val="36"/>
        </w:rPr>
        <w:t>6  Conclusion</w:t>
      </w:r>
    </w:p>
    <w:p>
      <w:pPr>
        <w:pStyle w:val="Heading2"/>
        <w:keepNext/>
        <w:spacing w:before="280" w:after="120"/>
      </w:pPr>
      <w:r>
        <w:rPr>
          <w:rFonts w:ascii="Calibri" w:hAnsi="Calibri"/>
          <w:b/>
          <w:i w:val="0"/>
          <w:color w:val="1F3A5F"/>
          <w:sz w:val="28"/>
        </w:rPr>
        <w:t>6.1  Conclusions on this SLR</w:t>
      </w:r>
    </w:p>
    <w:p>
      <w:pPr>
        <w:spacing w:before="0" w:after="80" w:line="276" w:lineRule="auto"/>
      </w:pPr>
      <w:r>
        <w:rPr>
          <w:rFonts w:ascii="Calibri" w:hAnsi="Calibri"/>
          <w:b w:val="0"/>
          <w:i w:val="0"/>
          <w:sz w:val="22"/>
        </w:rPr>
        <w:t>This SLR has reviewed 113 unique primary studies covering 2014–2026 on the intersection of software metrics, distributed-system architecture, observability, and AI/ML for quality assessment. Following the methodological template of [Pereira dos Reis et al., 2022] and the protocol of [Kitchenham &amp; Charters, 2007], the corpus was classified along eleven facets, mapped to four research questions, and screened with operationalised Phase-2 criteria derived from the keyword↔RQ traceability matrix (§3.2.6). Six STAR studies were highlighted as the highest-alignment baselines for the PhD project. Three high-level conclusions emerge:</w:t>
      </w:r>
    </w:p>
    <w:p>
      <w:pPr>
        <w:pStyle w:val="ListBullet"/>
        <w:spacing w:after="40"/>
      </w:pPr>
      <w:r>
        <w:rPr>
          <w:rFonts w:ascii="Calibri" w:hAnsi="Calibri"/>
          <w:b w:val="0"/>
          <w:i w:val="0"/>
          <w:sz w:val="22"/>
        </w:rPr>
        <w:t>The intersection of metrics, microservices, observability and AI/ML is now a mature research area, but the architectural perspective is still under-developed — most studies treat the architecture either implicitly or as a fixed graph of services without a formal metamodel.</w:t>
      </w:r>
    </w:p>
    <w:p>
      <w:pPr>
        <w:pStyle w:val="ListBullet"/>
        <w:spacing w:after="40"/>
      </w:pPr>
      <w:r>
        <w:rPr>
          <w:rFonts w:ascii="Calibri" w:hAnsi="Calibri"/>
          <w:b w:val="0"/>
          <w:i w:val="0"/>
          <w:sz w:val="22"/>
        </w:rPr>
        <w:t>Java-based distributed systems, despite being the dominant industrial technology stack, are under-represented in the academic literature targeted at architecture-aware metrics; only 5 of 113 primary studies are Java-centric.</w:t>
      </w:r>
    </w:p>
    <w:p>
      <w:pPr>
        <w:pStyle w:val="ListBullet"/>
        <w:spacing w:after="40"/>
      </w:pPr>
      <w:r>
        <w:rPr>
          <w:rFonts w:ascii="Calibri" w:hAnsi="Calibri"/>
          <w:b w:val="0"/>
          <w:i w:val="0"/>
          <w:sz w:val="22"/>
        </w:rPr>
        <w:t>Explainability and developer-facing tooling, while frequently invoked as motivation, are rarely realised in practice; explanations grounded in architectural concepts and metrics are essentially absent. This is the clearest opportunity for the PhD contribution.</w:t>
      </w:r>
    </w:p>
    <w:p>
      <w:pPr>
        <w:pStyle w:val="Heading2"/>
        <w:keepNext/>
        <w:spacing w:before="280" w:after="120"/>
      </w:pPr>
      <w:r>
        <w:rPr>
          <w:rFonts w:ascii="Calibri" w:hAnsi="Calibri"/>
          <w:b/>
          <w:i w:val="0"/>
          <w:color w:val="1F3A5F"/>
          <w:sz w:val="28"/>
        </w:rPr>
        <w:t>6.2  Open Issues and Future Work</w:t>
      </w:r>
    </w:p>
    <w:p>
      <w:pPr>
        <w:pStyle w:val="ListBullet"/>
        <w:spacing w:after="40"/>
      </w:pPr>
      <w:r>
        <w:rPr>
          <w:rFonts w:ascii="Calibri" w:hAnsi="Calibri"/>
          <w:b w:val="0"/>
          <w:i w:val="0"/>
          <w:sz w:val="22"/>
        </w:rPr>
        <w:t>Define a technology-agnostic architectural metamodel for Java-based microservice and event-driven systems that combines services, endpoints, communication, deployment, and runtime evidence (Obj. 1; addresses gap G1).</w:t>
      </w:r>
    </w:p>
    <w:p>
      <w:pPr>
        <w:pStyle w:val="ListBullet"/>
        <w:spacing w:after="40"/>
      </w:pPr>
      <w:r>
        <w:rPr>
          <w:rFonts w:ascii="Calibri" w:hAnsi="Calibri"/>
          <w:b w:val="0"/>
          <w:i w:val="0"/>
          <w:sz w:val="22"/>
        </w:rPr>
        <w:t>Specify, formalise (e.g., using OCL over the metamodel) and validate a catalogue of architecture-aware metrics including coupling, communication complexity, granularity, centrality, and smell indicators (Obj. 2; addresses gap G2).</w:t>
      </w:r>
    </w:p>
    <w:p>
      <w:pPr>
        <w:pStyle w:val="ListBullet"/>
        <w:spacing w:after="40"/>
      </w:pPr>
      <w:r>
        <w:rPr>
          <w:rFonts w:ascii="Calibri" w:hAnsi="Calibri"/>
          <w:b w:val="0"/>
          <w:i w:val="0"/>
          <w:sz w:val="22"/>
        </w:rPr>
        <w:t>Develop hybrid metric+AI models that use the catalogue as interpretable inputs and surface explanations grounded in architectural concepts (Obj. 4; addresses gap G3).</w:t>
      </w:r>
    </w:p>
    <w:p>
      <w:pPr>
        <w:pStyle w:val="ListBullet"/>
        <w:spacing w:after="40"/>
      </w:pPr>
      <w:r>
        <w:rPr>
          <w:rFonts w:ascii="Calibri" w:hAnsi="Calibri"/>
          <w:b w:val="0"/>
          <w:i w:val="0"/>
          <w:sz w:val="22"/>
        </w:rPr>
        <w:t>Provide an API/export backbone exposing the metric profiles to downstream tooling (CI/CD dashboards, analytical notebooks) and evaluate the resulting developer feedback empirically (Obj. 5; addresses gap G4).</w:t>
      </w:r>
    </w:p>
    <w:p>
      <w:pPr>
        <w:pStyle w:val="ListBullet"/>
        <w:spacing w:after="40"/>
      </w:pPr>
      <w:r>
        <w:rPr>
          <w:rFonts w:ascii="Calibri" w:hAnsi="Calibri"/>
          <w:b w:val="0"/>
          <w:i w:val="0"/>
          <w:sz w:val="22"/>
        </w:rPr>
        <w:t>Complete Phase 3 (full intro/methods/conclusion reading) and Phase 4 (Dybå QA scoring) on the 113 Phase-2 survivors to produce the final consolidated primary-studies list and re-run the per-facet synthesis on the consolidated corpus.</w:t>
      </w:r>
    </w:p>
    <w:p>
      <w:pPr>
        <w:pStyle w:val="Heading1"/>
        <w:keepNext/>
        <w:spacing w:before="360" w:after="120"/>
      </w:pPr>
      <w:r>
        <w:rPr>
          <w:rFonts w:ascii="Calibri" w:hAnsi="Calibri"/>
          <w:b/>
          <w:i w:val="0"/>
          <w:color w:val="1F3A5F"/>
          <w:sz w:val="36"/>
        </w:rPr>
        <w:t>References</w:t>
      </w:r>
    </w:p>
    <w:p>
      <w:pPr>
        <w:spacing w:before="0" w:after="80" w:line="276" w:lineRule="auto"/>
      </w:pPr>
      <w:r>
        <w:rPr>
          <w:rFonts w:ascii="Calibri" w:hAnsi="Calibri"/>
          <w:b w:val="0"/>
          <w:i/>
          <w:sz w:val="22"/>
        </w:rPr>
        <w:t>References to primary studies are given by their Sxxx identifier and listed in Appendix A. Secondary references are listed below in alphabetical order.</w:t>
      </w:r>
    </w:p>
    <w:p>
      <w:pPr>
        <w:spacing w:after="80"/>
        <w:ind w:hanging="425" w:left="425"/>
      </w:pPr>
      <w:r>
        <w:rPr>
          <w:rFonts w:ascii="Calibri" w:hAnsi="Calibri"/>
          <w:b w:val="0"/>
          <w:i w:val="0"/>
          <w:sz w:val="20"/>
        </w:rPr>
        <w:t>Basili, V. R., Briand, L. C., &amp; Melo, W. L. (1996). A Validation of Object-Oriented Design Metrics as Quality Indicators. IEEE Transactions on Software Engineering, 22(10), 751–761. https://doi.org/10.1109/32.544352</w:t>
      </w:r>
    </w:p>
    <w:p>
      <w:pPr>
        <w:spacing w:after="80"/>
        <w:ind w:hanging="425" w:left="425"/>
      </w:pPr>
      <w:r>
        <w:rPr>
          <w:rFonts w:ascii="Calibri" w:hAnsi="Calibri"/>
          <w:b w:val="0"/>
          <w:i w:val="0"/>
          <w:sz w:val="20"/>
        </w:rPr>
        <w:t>Bogner, J., Fritzsch, J., Wagner, S., &amp; Zimmermann, A. (2019). Microservices in Industry: Insights into Technologies, Characteristics, and Software Quality. 2019 IEEE International Conference on Software Architecture Companion (ICSA-C), 187–195. https://doi.org/10.1109/ICSA-C.2019.00041</w:t>
      </w:r>
    </w:p>
    <w:p>
      <w:pPr>
        <w:spacing w:after="80"/>
        <w:ind w:hanging="425" w:left="425"/>
      </w:pPr>
      <w:r>
        <w:rPr>
          <w:rFonts w:ascii="Calibri" w:hAnsi="Calibri"/>
          <w:b w:val="0"/>
          <w:i w:val="0"/>
          <w:sz w:val="20"/>
        </w:rPr>
        <w:t>Chidamber, S. R., &amp; Kemerer, C. F. (1994). A metrics suite for object oriented design. IEEE Transactions on Software Engineering, 20(6), 476–493. https://doi.org/10.1109/32.295895</w:t>
      </w:r>
    </w:p>
    <w:p>
      <w:pPr>
        <w:spacing w:after="80"/>
        <w:ind w:hanging="425" w:left="425"/>
      </w:pPr>
      <w:r>
        <w:rPr>
          <w:rFonts w:ascii="Calibri" w:hAnsi="Calibri"/>
          <w:b w:val="0"/>
          <w:i w:val="0"/>
          <w:sz w:val="20"/>
        </w:rPr>
        <w:t>Dam, H. K., Pham, T., Ng, S. W., Tran, T., Grundy, J., Ghose, A., Kim, T., &amp; Kim, C.-J. (2019). Lessons learned from using a deep tree-based model for software defect prediction in practice. Proceedings of the 16th International Conference on Mining Software Repositories, 46–57. https://doi.org/10.1109/MSR.2019.00017</w:t>
      </w:r>
    </w:p>
    <w:p>
      <w:pPr>
        <w:spacing w:after="80"/>
        <w:ind w:hanging="425" w:left="425"/>
      </w:pPr>
      <w:r>
        <w:rPr>
          <w:rFonts w:ascii="Calibri" w:hAnsi="Calibri"/>
          <w:b w:val="0"/>
          <w:i w:val="0"/>
          <w:sz w:val="20"/>
        </w:rPr>
        <w:t>Di Francesco, P., Malavolta, I., &amp; Lago, P. (2017). Research on Architecting Microservices: Trends, Focus, and Potential for Industrial Adoption. Proceedings of the 2017 IEEE International Conference on Software Architecture (ICSA), 21–30. https://doi.org/10.1109/ICSA.2017.24</w:t>
      </w:r>
    </w:p>
    <w:p>
      <w:pPr>
        <w:spacing w:after="80"/>
        <w:ind w:hanging="425" w:left="425"/>
      </w:pPr>
      <w:r>
        <w:rPr>
          <w:rFonts w:ascii="Calibri" w:hAnsi="Calibri"/>
          <w:b w:val="0"/>
          <w:i w:val="0"/>
          <w:sz w:val="20"/>
        </w:rPr>
        <w:t>Dragoni, N., Giallorenzo, S., Lafuente, A. L., Mazzara, M., Montesi, F., Mustafin, R., &amp; Safina, L. (2017). Microservices: Yesterday, Today, and Tomorrow. In M. Mazzara &amp; B. Meyer (Eds.), Present and Ulterior Software Engineering (pp. 195–216). Springer International Publishing. https://doi.org/10.1007/978-3-319-67425-4_12</w:t>
      </w:r>
    </w:p>
    <w:p>
      <w:pPr>
        <w:spacing w:after="80"/>
        <w:ind w:hanging="425" w:left="425"/>
      </w:pPr>
      <w:r>
        <w:rPr>
          <w:rFonts w:ascii="Calibri" w:hAnsi="Calibri"/>
          <w:b w:val="0"/>
          <w:i w:val="0"/>
          <w:sz w:val="20"/>
        </w:rPr>
        <w:t>Dybå, T., &amp; Dingsøyr, T. (2008). Empirical studies of agile software development: A systematic review. Information and Software Technology, 50(9–10), 833–859. https://doi.org/10.1016/j.infsof.2008.01.006</w:t>
      </w:r>
    </w:p>
    <w:p>
      <w:pPr>
        <w:spacing w:after="80"/>
        <w:ind w:hanging="425" w:left="425"/>
      </w:pPr>
      <w:r>
        <w:rPr>
          <w:rFonts w:ascii="Calibri" w:hAnsi="Calibri"/>
          <w:b w:val="0"/>
          <w:i w:val="0"/>
          <w:sz w:val="20"/>
        </w:rPr>
        <w:t>Kitchenham, B., &amp; Charters, S. (2007). Guidelines for performing systematic literature reviews in software engineering (Version 2.3). Technical Report EBSE-2007-01, Keele University and Durham University Joint Report.</w:t>
      </w:r>
    </w:p>
    <w:p>
      <w:pPr>
        <w:spacing w:after="80"/>
        <w:ind w:hanging="425" w:left="425"/>
      </w:pPr>
      <w:r>
        <w:rPr>
          <w:rFonts w:ascii="Calibri" w:hAnsi="Calibri"/>
          <w:b w:val="0"/>
          <w:i w:val="0"/>
          <w:sz w:val="20"/>
        </w:rPr>
        <w:t>Kitchenham, B., Brereton, O. P., Budgen, D., Turner, M., Bailey, J., &amp; Linkman, S. (2009). Systematic literature reviews in software engineering – A systematic literature review. Information and Software Technology, 51(1), 7–15. https://doi.org/10.1016/j.infsof.2008.09.009</w:t>
      </w:r>
    </w:p>
    <w:p>
      <w:pPr>
        <w:spacing w:after="80"/>
        <w:ind w:hanging="425" w:left="425"/>
      </w:pPr>
      <w:r>
        <w:rPr>
          <w:rFonts w:ascii="Calibri" w:hAnsi="Calibri"/>
          <w:b w:val="0"/>
          <w:i w:val="0"/>
          <w:sz w:val="20"/>
        </w:rPr>
        <w:t>Landis, J. R., &amp; Koch, G. G. (1977). The Measurement of Observer Agreement for Categorical Data. Biometrics, 33(1), 159–174.</w:t>
      </w:r>
    </w:p>
    <w:p>
      <w:pPr>
        <w:spacing w:after="80"/>
        <w:ind w:hanging="425" w:left="425"/>
      </w:pPr>
      <w:r>
        <w:rPr>
          <w:rFonts w:ascii="Calibri" w:hAnsi="Calibri"/>
          <w:b w:val="0"/>
          <w:i w:val="0"/>
          <w:sz w:val="20"/>
        </w:rPr>
        <w:t>Lanza, M., &amp; Marinescu, R. (2006). Object-Oriented Metrics in Practice. Springer.</w:t>
      </w:r>
    </w:p>
    <w:p>
      <w:pPr>
        <w:spacing w:after="80"/>
        <w:ind w:hanging="425" w:left="425"/>
      </w:pPr>
      <w:r>
        <w:rPr>
          <w:rFonts w:ascii="Calibri" w:hAnsi="Calibri"/>
          <w:b w:val="0"/>
          <w:i w:val="0"/>
          <w:sz w:val="20"/>
        </w:rPr>
        <w:t>Malhotra, R. (2015). A systematic review of machine learning techniques for software fault prediction. Applied Soft Computing, 27, 504–518. https://doi.org/10.1016/j.asoc.2014.11.023</w:t>
      </w:r>
    </w:p>
    <w:p>
      <w:pPr>
        <w:spacing w:after="80"/>
        <w:ind w:hanging="425" w:left="425"/>
      </w:pPr>
      <w:r>
        <w:rPr>
          <w:rFonts w:ascii="Calibri" w:hAnsi="Calibri"/>
          <w:b w:val="0"/>
          <w:i w:val="0"/>
          <w:sz w:val="20"/>
        </w:rPr>
        <w:t>Noblit, G. W., &amp; Hare, R. D. (1988). Meta-Ethnography: Synthesizing Qualitative Studies. Sage Publications.</w:t>
      </w:r>
    </w:p>
    <w:p>
      <w:pPr>
        <w:spacing w:after="80"/>
        <w:ind w:hanging="425" w:left="425"/>
      </w:pPr>
      <w:r>
        <w:rPr>
          <w:rFonts w:ascii="Calibri" w:hAnsi="Calibri"/>
          <w:b w:val="0"/>
          <w:i w:val="0"/>
          <w:sz w:val="20"/>
        </w:rPr>
        <w:t>Object Management Group (OMG). (2014). Object Constraint Language, Version 2.4. OMG.</w:t>
      </w:r>
    </w:p>
    <w:p>
      <w:pPr>
        <w:spacing w:after="80"/>
        <w:ind w:hanging="425" w:left="425"/>
      </w:pPr>
      <w:r>
        <w:rPr>
          <w:rFonts w:ascii="Calibri" w:hAnsi="Calibri"/>
          <w:b w:val="0"/>
          <w:i w:val="0"/>
          <w:sz w:val="20"/>
        </w:rPr>
        <w:t>Pereira dos Reis, J., Brito e Abreu, F., de Figueiredo Carneiro, G., &amp; Anslow, C. (2022). Code Smells Detection and Visualization: A Systematic Literature Review. Archives of Computational Methods in Engineering, 29, 47–94. https://doi.org/10.1007/s11831-021-09566-x</w:t>
      </w:r>
    </w:p>
    <w:p>
      <w:pPr>
        <w:spacing w:after="80"/>
        <w:ind w:hanging="425" w:left="425"/>
      </w:pPr>
      <w:r>
        <w:rPr>
          <w:rFonts w:ascii="Calibri" w:hAnsi="Calibri"/>
          <w:b w:val="0"/>
          <w:i w:val="0"/>
          <w:sz w:val="20"/>
        </w:rPr>
        <w:t>Radjenović, D., Heričko, M., Torkar, R., &amp; Živkovič, A. (2013). Software fault prediction metrics: A systematic literature review. Information and Software Technology, 55(8), 1397–1418. https://doi.org/10.1016/j.infsof.2013.02.009</w:t>
      </w:r>
    </w:p>
    <w:p>
      <w:pPr>
        <w:spacing w:after="80"/>
        <w:ind w:hanging="425" w:left="425"/>
      </w:pPr>
      <w:r>
        <w:rPr>
          <w:rFonts w:ascii="Calibri" w:hAnsi="Calibri"/>
          <w:b w:val="0"/>
          <w:i w:val="0"/>
          <w:sz w:val="20"/>
        </w:rPr>
        <w:t>Ribeiro, M. T., Singh, S., &amp; Guestrin, C. (2016). "Why Should I Trust You?" Explaining the Predictions of Any Classifier. Proceedings of the 22nd ACM SIGKDD International Conference, 1135–1144. https://doi.org/10.1145/2939672.2939778</w:t>
      </w:r>
    </w:p>
    <w:p>
      <w:pPr>
        <w:spacing w:after="80"/>
        <w:ind w:hanging="425" w:left="425"/>
      </w:pPr>
      <w:r>
        <w:rPr>
          <w:rFonts w:ascii="Calibri" w:hAnsi="Calibri"/>
          <w:b w:val="0"/>
          <w:i w:val="0"/>
          <w:sz w:val="20"/>
        </w:rPr>
        <w:t>Steinberg, D., Budinsky, F., Paternostro, M., &amp; Merks, E. (2008). EMF: Eclipse Modeling Framework (2nd ed.). Addison-Wesley.</w:t>
      </w:r>
    </w:p>
    <w:p>
      <w:pPr>
        <w:spacing w:after="80"/>
        <w:ind w:hanging="425" w:left="425"/>
      </w:pPr>
      <w:r>
        <w:rPr>
          <w:rFonts w:ascii="Calibri" w:hAnsi="Calibri"/>
          <w:b w:val="0"/>
          <w:i w:val="0"/>
          <w:sz w:val="20"/>
        </w:rPr>
        <w:t>Taibi, D., &amp; Lenarduzzi, V. (2018). On the Definition of Microservice Bad Smells. IEEE Software, 35(3), 56–62. https://doi.org/10.1109/MS.2018.2141031</w:t>
      </w:r>
    </w:p>
    <w:p>
      <w:pPr>
        <w:spacing w:after="80"/>
        <w:ind w:hanging="425" w:left="425"/>
      </w:pPr>
      <w:r>
        <w:rPr>
          <w:rFonts w:ascii="Calibri" w:hAnsi="Calibri"/>
          <w:b w:val="0"/>
          <w:i w:val="0"/>
          <w:sz w:val="20"/>
        </w:rPr>
        <w:t>Taibi, D., Lenarduzzi, V., &amp; Pahl, C. (2020). Microservices Anti-patterns: A Taxonomy. In A. Bucchiarone et al. (Eds.), Microservices: Science and Engineering (pp. 111–128). Springer.</w:t>
      </w:r>
    </w:p>
    <w:p>
      <w:pPr>
        <w:spacing w:after="80"/>
        <w:ind w:hanging="425" w:left="425"/>
      </w:pPr>
      <w:r>
        <w:rPr>
          <w:rFonts w:ascii="Calibri" w:hAnsi="Calibri"/>
          <w:b w:val="0"/>
          <w:i w:val="0"/>
          <w:sz w:val="20"/>
        </w:rPr>
        <w:t>Wieringa, R. J. (2014). Design Science Methodology for Information Systems and Software Engineering. Springer. https://doi.org/10.1007/978-3-662-43839-8</w:t>
      </w:r>
    </w:p>
    <w:p>
      <w:pPr>
        <w:spacing w:after="80"/>
        <w:ind w:hanging="425" w:left="425"/>
      </w:pPr>
      <w:r>
        <w:rPr>
          <w:rFonts w:ascii="Calibri" w:hAnsi="Calibri"/>
          <w:b w:val="0"/>
          <w:i w:val="0"/>
          <w:sz w:val="20"/>
        </w:rPr>
        <w:t>Wohlin, C. (2014). Guidelines for snowballing in systematic literature studies and a replication in software engineering. Proceedings of the 18th International Conference on Evaluation and Assessment in Software Engineering. https://doi.org/10.1145/2601248.2601268</w:t>
      </w:r>
    </w:p>
    <w:p>
      <w:pPr>
        <w:spacing w:after="80"/>
        <w:ind w:hanging="425" w:left="425"/>
      </w:pPr>
      <w:r>
        <w:rPr>
          <w:rFonts w:ascii="Calibri" w:hAnsi="Calibri"/>
          <w:b w:val="0"/>
          <w:i w:val="0"/>
          <w:sz w:val="20"/>
        </w:rPr>
        <w:t>Wohlin, C., Runeson, P., Höst, M., Ohlsson, M. C., Regnell, B., &amp; Wesslén, A. (2012). Experimentation in Software Engineering. Springer.</w:t>
      </w:r>
    </w:p>
    <w:p>
      <w:r>
        <w:br w:type="page"/>
      </w:r>
    </w:p>
    <w:p>
      <w:pPr>
        <w:pStyle w:val="Heading1"/>
        <w:keepNext/>
        <w:spacing w:before="360" w:after="120"/>
      </w:pPr>
      <w:r>
        <w:rPr>
          <w:rFonts w:ascii="Calibri" w:hAnsi="Calibri"/>
          <w:b/>
          <w:i w:val="0"/>
          <w:color w:val="1F3A5F"/>
          <w:sz w:val="36"/>
        </w:rPr>
        <w:t>Appendix A — Primary Studies</w:t>
      </w:r>
    </w:p>
    <w:p>
      <w:pPr>
        <w:spacing w:before="0" w:after="80" w:line="276" w:lineRule="auto"/>
      </w:pPr>
      <w:r>
        <w:rPr>
          <w:rFonts w:ascii="Calibri" w:hAnsi="Calibri"/>
          <w:b w:val="0"/>
          <w:i w:val="0"/>
          <w:sz w:val="22"/>
        </w:rPr>
        <w:t>The 113 primary studies retained after Phase 2 screening are listed below in reverse-chronological order. Each entry is labelled with its identifier (Sxxx), its source (V4 search or snowballing), and the database(s) where it can be located. STAR-flagged studies are marked with ★ (orange).</w:t>
      </w:r>
    </w:p>
    <w:p>
      <w:pPr>
        <w:spacing w:after="80"/>
        <w:ind w:hanging="567" w:left="567"/>
      </w:pPr>
      <w:r>
        <w:rPr>
          <w:rFonts w:ascii="Calibri" w:hAnsi="Calibri"/>
          <w:b/>
          <w:i w:val="0"/>
          <w:sz w:val="20"/>
        </w:rPr>
        <w:t xml:space="preserve">S001.  </w:t>
      </w:r>
      <w:r>
        <w:rPr>
          <w:rFonts w:ascii="Calibri" w:hAnsi="Calibri"/>
          <w:b w:val="0"/>
          <w:i/>
          <w:color w:val="555555"/>
          <w:sz w:val="18"/>
        </w:rPr>
        <w:t xml:space="preserve">[V4] </w:t>
      </w:r>
      <w:r>
        <w:rPr>
          <w:rFonts w:ascii="Calibri" w:hAnsi="Calibri"/>
          <w:b w:val="0"/>
          <w:i w:val="0"/>
          <w:sz w:val="20"/>
        </w:rPr>
        <w:t xml:space="preserve">Tzanettis, Ioannis and Kakkavas, Grigorios and Stylos, Alexandros and Mountakis, Gerasimos and Zafeiropoulos, Anastasios and Papavassiliou, Symeon (2026). </w:t>
      </w:r>
      <w:r>
        <w:rPr>
          <w:rFonts w:ascii="Calibri" w:hAnsi="Calibri"/>
          <w:b w:val="0"/>
          <w:i/>
          <w:sz w:val="20"/>
        </w:rPr>
        <w:t>Advanced AI-Driven Automation for Smarter Networks: The Modern</w:t>
        <w:br/>
        <w:t xml:space="preserve">Observability Advantage. </w:t>
      </w:r>
      <w:r>
        <w:rPr>
          <w:rFonts w:ascii="Calibri" w:hAnsi="Calibri"/>
          <w:b w:val="0"/>
          <w:i w:val="0"/>
          <w:sz w:val="20"/>
        </w:rPr>
        <w:t xml:space="preserve">IEEE COMMUNICATIONS MAGAZINE. </w:t>
      </w:r>
      <w:r>
        <w:rPr>
          <w:rFonts w:ascii="Calibri" w:hAnsi="Calibri"/>
          <w:b w:val="0"/>
          <w:i w:val="0"/>
          <w:color w:val="1F3A5F"/>
          <w:sz w:val="20"/>
        </w:rPr>
        <w:t>https://doi.org/10.1109/mcom.001.2500256</w:t>
      </w:r>
    </w:p>
    <w:p>
      <w:pPr>
        <w:spacing w:after="80"/>
        <w:ind w:hanging="567" w:left="567"/>
      </w:pPr>
      <w:r>
        <w:rPr>
          <w:rFonts w:ascii="Calibri" w:hAnsi="Calibri"/>
          <w:b/>
          <w:i w:val="0"/>
          <w:sz w:val="20"/>
        </w:rPr>
        <w:t xml:space="preserve">S002.  </w:t>
      </w:r>
      <w:r>
        <w:rPr>
          <w:rFonts w:ascii="Calibri" w:hAnsi="Calibri"/>
          <w:b w:val="0"/>
          <w:i/>
          <w:color w:val="555555"/>
          <w:sz w:val="18"/>
        </w:rPr>
        <w:t xml:space="preserve">[V4] </w:t>
      </w:r>
      <w:r>
        <w:rPr>
          <w:rFonts w:ascii="Calibri" w:hAnsi="Calibri"/>
          <w:b w:val="0"/>
          <w:i w:val="0"/>
          <w:sz w:val="20"/>
        </w:rPr>
        <w:t xml:space="preserve">Zhang, Jiaqi and Yang, Hao (2026). </w:t>
      </w:r>
      <w:r>
        <w:rPr>
          <w:rFonts w:ascii="Calibri" w:hAnsi="Calibri"/>
          <w:b w:val="0"/>
          <w:i/>
          <w:sz w:val="20"/>
        </w:rPr>
        <w:t>CPU-Only Spatiotemporal Anomaly Detection in Microservice Systems via</w:t>
        <w:br/>
        <w:t xml:space="preserve">Dynamic Graph Neural Networks and LSTM. </w:t>
      </w:r>
      <w:r>
        <w:rPr>
          <w:rFonts w:ascii="Calibri" w:hAnsi="Calibri"/>
          <w:b w:val="0"/>
          <w:i w:val="0"/>
          <w:sz w:val="20"/>
        </w:rPr>
        <w:t xml:space="preserve">SYMMETRY-BASEL. </w:t>
      </w:r>
      <w:r>
        <w:rPr>
          <w:rFonts w:ascii="Calibri" w:hAnsi="Calibri"/>
          <w:b w:val="0"/>
          <w:i w:val="0"/>
          <w:color w:val="1F3A5F"/>
          <w:sz w:val="20"/>
        </w:rPr>
        <w:t>https://doi.org/10.3390/sym18010087</w:t>
      </w:r>
    </w:p>
    <w:p>
      <w:pPr>
        <w:spacing w:after="80"/>
        <w:ind w:hanging="567" w:left="567"/>
      </w:pPr>
      <w:r>
        <w:rPr>
          <w:rFonts w:ascii="Calibri" w:hAnsi="Calibri"/>
          <w:b/>
          <w:i w:val="0"/>
          <w:sz w:val="20"/>
        </w:rPr>
        <w:t xml:space="preserve">S003.  </w:t>
      </w:r>
      <w:r>
        <w:rPr>
          <w:rFonts w:ascii="Calibri" w:hAnsi="Calibri"/>
          <w:b w:val="0"/>
          <w:i/>
          <w:color w:val="555555"/>
          <w:sz w:val="18"/>
        </w:rPr>
        <w:t xml:space="preserve">[Snowball] </w:t>
      </w:r>
      <w:r>
        <w:rPr>
          <w:rFonts w:ascii="Calibri" w:hAnsi="Calibri"/>
          <w:b w:val="0"/>
          <w:i w:val="0"/>
          <w:sz w:val="20"/>
        </w:rPr>
        <w:t xml:space="preserve">(2026). </w:t>
      </w:r>
      <w:r>
        <w:rPr>
          <w:rFonts w:ascii="Calibri" w:hAnsi="Calibri"/>
          <w:b w:val="0"/>
          <w:i/>
          <w:sz w:val="20"/>
        </w:rPr>
        <w:t xml:space="preserve">Catalog, Impact, and Evaluation of Microservice Bad Smells: A Systematic Literature Review. </w:t>
      </w:r>
      <w:r>
        <w:rPr>
          <w:rFonts w:ascii="Calibri" w:hAnsi="Calibri"/>
          <w:b w:val="0"/>
          <w:i w:val="0"/>
          <w:sz w:val="20"/>
        </w:rPr>
        <w:t xml:space="preserve">Software, practice &amp;amp; experience. </w:t>
      </w:r>
    </w:p>
    <w:p>
      <w:pPr>
        <w:spacing w:after="80"/>
        <w:ind w:hanging="567" w:left="567"/>
      </w:pPr>
      <w:r>
        <w:rPr>
          <w:rFonts w:ascii="Calibri" w:hAnsi="Calibri"/>
          <w:b/>
          <w:i w:val="0"/>
          <w:sz w:val="20"/>
        </w:rPr>
        <w:t xml:space="preserve">S004.  </w:t>
      </w:r>
      <w:r>
        <w:rPr>
          <w:rFonts w:ascii="Calibri" w:hAnsi="Calibri"/>
          <w:b w:val="0"/>
          <w:i/>
          <w:color w:val="555555"/>
          <w:sz w:val="18"/>
        </w:rPr>
        <w:t xml:space="preserve">[V4] </w:t>
      </w:r>
      <w:r>
        <w:rPr>
          <w:rFonts w:ascii="Calibri" w:hAnsi="Calibri"/>
          <w:b w:val="0"/>
          <w:i w:val="0"/>
          <w:sz w:val="20"/>
        </w:rPr>
        <w:t xml:space="preserve">Tian, Xiangbo and Ying, Shi and Li, Tiangang and Zhang, Ting and Wang, Yong (2026). </w:t>
      </w:r>
      <w:r>
        <w:rPr>
          <w:rFonts w:ascii="Calibri" w:hAnsi="Calibri"/>
          <w:b w:val="0"/>
          <w:i/>
          <w:sz w:val="20"/>
        </w:rPr>
        <w:t xml:space="preserve">DALAD: Unsupervised Detection of Global and Local Anomalies in Microservice Systems. </w:t>
      </w:r>
      <w:r>
        <w:rPr>
          <w:rFonts w:ascii="Calibri" w:hAnsi="Calibri"/>
          <w:b w:val="0"/>
          <w:i w:val="0"/>
          <w:sz w:val="20"/>
        </w:rPr>
        <w:t xml:space="preserve">IEEE TRANSACTIONS ON SERVICES COMPUTING. </w:t>
      </w:r>
      <w:r>
        <w:rPr>
          <w:rFonts w:ascii="Calibri" w:hAnsi="Calibri"/>
          <w:b w:val="0"/>
          <w:i w:val="0"/>
          <w:color w:val="1F3A5F"/>
          <w:sz w:val="20"/>
        </w:rPr>
        <w:t>https://doi.org/10.1109/tsc.2025.3649198</w:t>
      </w:r>
    </w:p>
    <w:p>
      <w:pPr>
        <w:spacing w:after="80"/>
        <w:ind w:hanging="567" w:left="567"/>
      </w:pPr>
      <w:r>
        <w:rPr>
          <w:rFonts w:ascii="Calibri" w:hAnsi="Calibri"/>
          <w:b/>
          <w:i w:val="0"/>
          <w:sz w:val="20"/>
        </w:rPr>
        <w:t xml:space="preserve">S005.  </w:t>
      </w:r>
      <w:r>
        <w:rPr>
          <w:rFonts w:ascii="Calibri" w:hAnsi="Calibri"/>
          <w:b w:val="0"/>
          <w:i/>
          <w:color w:val="555555"/>
          <w:sz w:val="18"/>
        </w:rPr>
        <w:t xml:space="preserve">[V4] </w:t>
      </w:r>
      <w:r>
        <w:rPr>
          <w:rFonts w:ascii="Calibri" w:hAnsi="Calibri"/>
          <w:b w:val="0"/>
          <w:i w:val="0"/>
          <w:sz w:val="20"/>
        </w:rPr>
        <w:t xml:space="preserve">Daas, Tymur and Tkachuk, Mykola (2026). </w:t>
      </w:r>
      <w:r>
        <w:rPr>
          <w:rFonts w:ascii="Calibri" w:hAnsi="Calibri"/>
          <w:b w:val="0"/>
          <w:i/>
          <w:sz w:val="20"/>
        </w:rPr>
        <w:t xml:space="preserve">DEVELOPMENT OF INTELLIGENT MODEL-TECHNOLOGICAL TOOLS FOR E-BANKING SYSTEMS BASED ON MICROSERVICES. </w:t>
      </w:r>
      <w:r>
        <w:rPr>
          <w:rFonts w:ascii="Calibri" w:hAnsi="Calibri"/>
          <w:b w:val="0"/>
          <w:i w:val="0"/>
          <w:sz w:val="20"/>
        </w:rPr>
        <w:t xml:space="preserve">Eastern-European Journal of Enterprise Technologies. </w:t>
      </w:r>
      <w:r>
        <w:rPr>
          <w:rFonts w:ascii="Calibri" w:hAnsi="Calibri"/>
          <w:b w:val="0"/>
          <w:i w:val="0"/>
          <w:color w:val="1F3A5F"/>
          <w:sz w:val="20"/>
        </w:rPr>
        <w:t>https://doi.org/10.15587/1729-4061.2026.351604</w:t>
      </w:r>
    </w:p>
    <w:p>
      <w:pPr>
        <w:spacing w:after="80"/>
        <w:ind w:hanging="567" w:left="567"/>
      </w:pPr>
      <w:r>
        <w:rPr>
          <w:rFonts w:ascii="Calibri" w:hAnsi="Calibri"/>
          <w:b/>
          <w:i w:val="0"/>
          <w:sz w:val="20"/>
        </w:rPr>
        <w:t xml:space="preserve">S006.  </w:t>
      </w:r>
      <w:r>
        <w:rPr>
          <w:rFonts w:ascii="Calibri" w:hAnsi="Calibri"/>
          <w:b w:val="0"/>
          <w:i/>
          <w:color w:val="555555"/>
          <w:sz w:val="18"/>
        </w:rPr>
        <w:t xml:space="preserve">[Snowball] </w:t>
      </w:r>
      <w:r>
        <w:rPr>
          <w:rFonts w:ascii="Calibri" w:hAnsi="Calibri"/>
          <w:b w:val="0"/>
          <w:i w:val="0"/>
          <w:sz w:val="20"/>
        </w:rPr>
        <w:t xml:space="preserve">(2026). </w:t>
      </w:r>
      <w:r>
        <w:rPr>
          <w:rFonts w:ascii="Calibri" w:hAnsi="Calibri"/>
          <w:b w:val="0"/>
          <w:i/>
          <w:sz w:val="20"/>
        </w:rPr>
        <w:t xml:space="preserve">Design and Implementation of a Cloud-Native Project Repository System for Articulated Software Engineering Education. </w:t>
      </w:r>
      <w:r>
        <w:rPr>
          <w:rFonts w:ascii="Calibri" w:hAnsi="Calibri"/>
          <w:b w:val="0"/>
          <w:i w:val="0"/>
          <w:sz w:val="20"/>
        </w:rPr>
        <w:t xml:space="preserve">Proceedings of the 2026 2nd International Conference on Digital Education and Information Technology. </w:t>
      </w:r>
      <w:r>
        <w:rPr>
          <w:rFonts w:ascii="Calibri" w:hAnsi="Calibri"/>
          <w:b w:val="0"/>
          <w:i w:val="0"/>
          <w:color w:val="1F3A5F"/>
          <w:sz w:val="20"/>
        </w:rPr>
        <w:t>https://doi.org/10.1145/3802607.3802608</w:t>
      </w:r>
    </w:p>
    <w:p>
      <w:pPr>
        <w:spacing w:after="80"/>
        <w:ind w:hanging="567" w:left="567"/>
      </w:pPr>
      <w:r>
        <w:rPr>
          <w:rFonts w:ascii="Calibri" w:hAnsi="Calibri"/>
          <w:b/>
          <w:i w:val="0"/>
          <w:sz w:val="20"/>
        </w:rPr>
        <w:t xml:space="preserve">S007.  </w:t>
      </w:r>
      <w:r>
        <w:rPr>
          <w:rFonts w:ascii="Calibri" w:hAnsi="Calibri"/>
          <w:b w:val="0"/>
          <w:i/>
          <w:color w:val="555555"/>
          <w:sz w:val="18"/>
        </w:rPr>
        <w:t xml:space="preserve">[V4] </w:t>
      </w:r>
      <w:r>
        <w:rPr>
          <w:rFonts w:ascii="Calibri" w:hAnsi="Calibri"/>
          <w:b w:val="0"/>
          <w:i w:val="0"/>
          <w:sz w:val="20"/>
        </w:rPr>
        <w:t xml:space="preserve">Gacitua, Ricardo and Pereira, Javier and Klafft, Michael (2026). </w:t>
      </w:r>
      <w:r>
        <w:rPr>
          <w:rFonts w:ascii="Calibri" w:hAnsi="Calibri"/>
          <w:b w:val="0"/>
          <w:i/>
          <w:sz w:val="20"/>
        </w:rPr>
        <w:t xml:space="preserve">Explainability in Software Architectural Decisions: The ADR-E Framework and Empirical Evaluation. </w:t>
      </w:r>
      <w:r>
        <w:rPr>
          <w:rFonts w:ascii="Calibri" w:hAnsi="Calibri"/>
          <w:b w:val="0"/>
          <w:i w:val="0"/>
          <w:sz w:val="20"/>
        </w:rPr>
        <w:t xml:space="preserve">IEEE ACCESS. </w:t>
      </w:r>
      <w:r>
        <w:rPr>
          <w:rFonts w:ascii="Calibri" w:hAnsi="Calibri"/>
          <w:b w:val="0"/>
          <w:i w:val="0"/>
          <w:color w:val="1F3A5F"/>
          <w:sz w:val="20"/>
        </w:rPr>
        <w:t>https://doi.org/10.1109/access.2025.3648573</w:t>
      </w:r>
    </w:p>
    <w:p>
      <w:pPr>
        <w:spacing w:after="80"/>
        <w:ind w:hanging="567" w:left="567"/>
      </w:pPr>
      <w:r>
        <w:rPr>
          <w:rFonts w:ascii="Calibri" w:hAnsi="Calibri"/>
          <w:b/>
          <w:i w:val="0"/>
          <w:sz w:val="20"/>
        </w:rPr>
        <w:t xml:space="preserve">S008.  </w:t>
      </w:r>
      <w:r>
        <w:rPr>
          <w:rFonts w:ascii="Calibri" w:hAnsi="Calibri"/>
          <w:b w:val="0"/>
          <w:i/>
          <w:color w:val="555555"/>
          <w:sz w:val="18"/>
        </w:rPr>
        <w:t xml:space="preserve">[V4] </w:t>
      </w:r>
      <w:r>
        <w:rPr>
          <w:rFonts w:ascii="Calibri" w:hAnsi="Calibri"/>
          <w:b w:val="0"/>
          <w:i w:val="0"/>
          <w:sz w:val="20"/>
        </w:rPr>
        <w:t xml:space="preserve">Zhang, Wujian and Xin, Ruyue and Chen, Peng and Li, Xi and Bian, Ang and Zhao, Yibin and Zhao, Zhiming (2026). </w:t>
      </w:r>
      <w:r>
        <w:rPr>
          <w:rFonts w:ascii="Calibri" w:hAnsi="Calibri"/>
          <w:b w:val="0"/>
          <w:i/>
          <w:sz w:val="20"/>
        </w:rPr>
        <w:t>MODIFy: A multi-modal anomaly diagnosis framework with</w:t>
        <w:br/>
        <w:t xml:space="preserve">diffusion-enhanced adaptive fusion in microservices. </w:t>
      </w:r>
      <w:r>
        <w:rPr>
          <w:rFonts w:ascii="Calibri" w:hAnsi="Calibri"/>
          <w:b w:val="0"/>
          <w:i w:val="0"/>
          <w:sz w:val="20"/>
        </w:rPr>
        <w:t xml:space="preserve">JOURNAL OF SYSTEMS AND SOFTWARE. </w:t>
      </w:r>
      <w:r>
        <w:rPr>
          <w:rFonts w:ascii="Calibri" w:hAnsi="Calibri"/>
          <w:b w:val="0"/>
          <w:i w:val="0"/>
          <w:color w:val="1F3A5F"/>
          <w:sz w:val="20"/>
        </w:rPr>
        <w:t>https://doi.org/10.1016/j.jss.2026.112844</w:t>
      </w:r>
    </w:p>
    <w:p>
      <w:pPr>
        <w:spacing w:after="80"/>
        <w:ind w:hanging="567" w:left="567"/>
      </w:pPr>
      <w:r>
        <w:rPr>
          <w:rFonts w:ascii="Calibri" w:hAnsi="Calibri"/>
          <w:b/>
          <w:i w:val="0"/>
          <w:sz w:val="20"/>
        </w:rPr>
        <w:t xml:space="preserve">S009.  </w:t>
      </w:r>
      <w:r>
        <w:rPr>
          <w:rFonts w:ascii="Calibri" w:hAnsi="Calibri"/>
          <w:b w:val="0"/>
          <w:i/>
          <w:color w:val="555555"/>
          <w:sz w:val="18"/>
        </w:rPr>
        <w:t xml:space="preserve">[V4] </w:t>
      </w:r>
      <w:r>
        <w:rPr>
          <w:rFonts w:ascii="Calibri" w:hAnsi="Calibri"/>
          <w:b w:val="0"/>
          <w:i w:val="0"/>
          <w:sz w:val="20"/>
        </w:rPr>
        <w:t xml:space="preserve">He, Shiming and Feng, Keyao and Meng, Kaixuan and Xie, Kun and Zhao, Xibin (2026). </w:t>
      </w:r>
      <w:r>
        <w:rPr>
          <w:rFonts w:ascii="Calibri" w:hAnsi="Calibri"/>
          <w:b w:val="0"/>
          <w:i/>
          <w:sz w:val="20"/>
        </w:rPr>
        <w:t xml:space="preserve">Multimodal Anomaly Detection for Microservice Systems via Grassmann Manifolds-Based Graph Fusion. </w:t>
      </w:r>
      <w:r>
        <w:rPr>
          <w:rFonts w:ascii="Calibri" w:hAnsi="Calibri"/>
          <w:b w:val="0"/>
          <w:i w:val="0"/>
          <w:sz w:val="20"/>
        </w:rPr>
        <w:t xml:space="preserve">IEEE Transactions on Services Computing. </w:t>
      </w:r>
      <w:r>
        <w:rPr>
          <w:rFonts w:ascii="Calibri" w:hAnsi="Calibri"/>
          <w:b w:val="0"/>
          <w:i w:val="0"/>
          <w:color w:val="1F3A5F"/>
          <w:sz w:val="20"/>
        </w:rPr>
        <w:t>https://doi.org/10.1109/tsc.2026.3665382</w:t>
      </w:r>
    </w:p>
    <w:p>
      <w:pPr>
        <w:spacing w:after="80"/>
        <w:ind w:hanging="567" w:left="567"/>
      </w:pPr>
      <w:r>
        <w:rPr>
          <w:rFonts w:ascii="Calibri" w:hAnsi="Calibri"/>
          <w:b/>
          <w:i w:val="0"/>
          <w:sz w:val="20"/>
        </w:rPr>
        <w:t xml:space="preserve">S010.  </w:t>
      </w:r>
      <w:r>
        <w:rPr>
          <w:rFonts w:ascii="Calibri" w:hAnsi="Calibri"/>
          <w:b w:val="0"/>
          <w:i/>
          <w:color w:val="555555"/>
          <w:sz w:val="18"/>
        </w:rPr>
        <w:t xml:space="preserve">[Snowball] </w:t>
      </w:r>
      <w:r>
        <w:rPr>
          <w:rFonts w:ascii="Calibri" w:hAnsi="Calibri"/>
          <w:b w:val="0"/>
          <w:i w:val="0"/>
          <w:sz w:val="20"/>
        </w:rPr>
        <w:t xml:space="preserve">(2026). </w:t>
      </w:r>
      <w:r>
        <w:rPr>
          <w:rFonts w:ascii="Calibri" w:hAnsi="Calibri"/>
          <w:b w:val="0"/>
          <w:i/>
          <w:sz w:val="20"/>
        </w:rPr>
        <w:t xml:space="preserve">Past, Present, and Future of Bug Tracking in the Generative AI Era. </w:t>
      </w:r>
      <w:r>
        <w:rPr>
          <w:rFonts w:ascii="Calibri" w:hAnsi="Calibri"/>
          <w:b w:val="0"/>
          <w:i w:val="0"/>
          <w:sz w:val="20"/>
        </w:rPr>
        <w:t xml:space="preserve">ACM Trans. Softw. Eng. Methodol.. </w:t>
      </w:r>
      <w:r>
        <w:rPr>
          <w:rFonts w:ascii="Calibri" w:hAnsi="Calibri"/>
          <w:b w:val="0"/>
          <w:i w:val="0"/>
          <w:color w:val="1F3A5F"/>
          <w:sz w:val="20"/>
        </w:rPr>
        <w:t>https://doi.org/10.1145/3806655</w:t>
      </w:r>
    </w:p>
    <w:p>
      <w:pPr>
        <w:spacing w:after="80"/>
        <w:ind w:hanging="567" w:left="567"/>
      </w:pPr>
      <w:r>
        <w:rPr>
          <w:rFonts w:ascii="Calibri" w:hAnsi="Calibri"/>
          <w:b/>
          <w:i w:val="0"/>
          <w:sz w:val="20"/>
        </w:rPr>
        <w:t xml:space="preserve">S011.  </w:t>
      </w:r>
      <w:r>
        <w:rPr>
          <w:rFonts w:ascii="Calibri" w:hAnsi="Calibri"/>
          <w:b w:val="0"/>
          <w:i/>
          <w:color w:val="555555"/>
          <w:sz w:val="18"/>
        </w:rPr>
        <w:t xml:space="preserve">[V4] </w:t>
      </w:r>
      <w:r>
        <w:rPr>
          <w:rFonts w:ascii="Calibri" w:hAnsi="Calibri"/>
          <w:b w:val="0"/>
          <w:i w:val="0"/>
          <w:sz w:val="20"/>
        </w:rPr>
        <w:t xml:space="preserve">Fukuda, Nobukazu and Nozue, Haruhisa and Oishi, Haruo and Wu, Chao and Horiuchi, Shingo and Tayama, Kenichi (2026). </w:t>
      </w:r>
      <w:r>
        <w:rPr>
          <w:rFonts w:ascii="Calibri" w:hAnsi="Calibri"/>
          <w:b w:val="0"/>
          <w:i/>
          <w:sz w:val="20"/>
        </w:rPr>
        <w:t xml:space="preserve">Semi-Supervised and Disentangled Causal Discovery for Analyzing Fault Propagation in Microservices. </w:t>
      </w:r>
      <w:r>
        <w:rPr>
          <w:rFonts w:ascii="Calibri" w:hAnsi="Calibri"/>
          <w:b w:val="0"/>
          <w:i w:val="0"/>
          <w:sz w:val="20"/>
        </w:rPr>
        <w:t xml:space="preserve">IEEE Access. </w:t>
      </w:r>
      <w:r>
        <w:rPr>
          <w:rFonts w:ascii="Calibri" w:hAnsi="Calibri"/>
          <w:b w:val="0"/>
          <w:i w:val="0"/>
          <w:color w:val="1F3A5F"/>
          <w:sz w:val="20"/>
        </w:rPr>
        <w:t>https://doi.org/10.1109/access.2026.3667143</w:t>
      </w:r>
    </w:p>
    <w:p>
      <w:pPr>
        <w:spacing w:after="80"/>
        <w:ind w:hanging="567" w:left="567"/>
      </w:pPr>
      <w:r>
        <w:rPr>
          <w:rFonts w:ascii="Calibri" w:hAnsi="Calibri"/>
          <w:b/>
          <w:i w:val="0"/>
          <w:sz w:val="20"/>
        </w:rPr>
        <w:t xml:space="preserve">S012.  </w:t>
      </w:r>
      <w:r>
        <w:rPr>
          <w:rFonts w:ascii="Calibri" w:hAnsi="Calibri"/>
          <w:b w:val="0"/>
          <w:i/>
          <w:color w:val="555555"/>
          <w:sz w:val="18"/>
        </w:rPr>
        <w:t xml:space="preserve">[Snowball] </w:t>
      </w:r>
      <w:r>
        <w:rPr>
          <w:rFonts w:ascii="Calibri" w:hAnsi="Calibri"/>
          <w:b w:val="0"/>
          <w:i w:val="0"/>
          <w:sz w:val="20"/>
        </w:rPr>
        <w:t xml:space="preserve">(2026). </w:t>
      </w:r>
      <w:r>
        <w:rPr>
          <w:rFonts w:ascii="Calibri" w:hAnsi="Calibri"/>
          <w:b w:val="0"/>
          <w:i/>
          <w:sz w:val="20"/>
        </w:rPr>
        <w:t xml:space="preserve">Software Performance Engineering for Foundation Model-Powered Software. </w:t>
      </w:r>
      <w:r>
        <w:rPr>
          <w:rFonts w:ascii="Calibri" w:hAnsi="Calibri"/>
          <w:b w:val="0"/>
          <w:i w:val="0"/>
          <w:sz w:val="20"/>
        </w:rPr>
        <w:t xml:space="preserve">ACM Trans. Softw. Eng. Methodol.. </w:t>
      </w:r>
      <w:r>
        <w:rPr>
          <w:rFonts w:ascii="Calibri" w:hAnsi="Calibri"/>
          <w:b w:val="0"/>
          <w:i w:val="0"/>
          <w:color w:val="1F3A5F"/>
          <w:sz w:val="20"/>
        </w:rPr>
        <w:t>https://doi.org/10.1145/3794844</w:t>
      </w:r>
    </w:p>
    <w:p>
      <w:pPr>
        <w:spacing w:after="80"/>
        <w:ind w:hanging="567" w:left="567"/>
      </w:pPr>
      <w:r>
        <w:rPr>
          <w:rFonts w:ascii="Calibri" w:hAnsi="Calibri"/>
          <w:b/>
          <w:i w:val="0"/>
          <w:sz w:val="20"/>
        </w:rPr>
        <w:t xml:space="preserve">S013.  </w:t>
      </w:r>
      <w:r>
        <w:rPr>
          <w:rFonts w:ascii="Calibri" w:hAnsi="Calibri"/>
          <w:b w:val="0"/>
          <w:i/>
          <w:color w:val="555555"/>
          <w:sz w:val="18"/>
        </w:rPr>
        <w:t xml:space="preserve">[V4] </w:t>
      </w:r>
      <w:r>
        <w:rPr>
          <w:rFonts w:ascii="Calibri" w:hAnsi="Calibri"/>
          <w:b w:val="0"/>
          <w:i w:val="0"/>
          <w:sz w:val="20"/>
        </w:rPr>
        <w:t xml:space="preserve">Huang, Xiaosong and Liu, Hongyi and Wu, Yifan and Zhang, Lingzhe and Jia, Tong and Li, Ying and Wu, Zhonghai (2026). </w:t>
      </w:r>
      <w:r>
        <w:rPr>
          <w:rFonts w:ascii="Calibri" w:hAnsi="Calibri"/>
          <w:b w:val="0"/>
          <w:i/>
          <w:sz w:val="20"/>
        </w:rPr>
        <w:t xml:space="preserve">UDA-RCL: Unsupervised Domain Adaptation for Microservice Root Cause Localization Utilizing Multimodal Data. </w:t>
      </w:r>
      <w:r>
        <w:rPr>
          <w:rFonts w:ascii="Calibri" w:hAnsi="Calibri"/>
          <w:b w:val="0"/>
          <w:i w:val="0"/>
          <w:sz w:val="20"/>
        </w:rPr>
        <w:t xml:space="preserve">IEEE TRANSACTIONS ON SERVICES COMPUTING. </w:t>
      </w:r>
      <w:r>
        <w:rPr>
          <w:rFonts w:ascii="Calibri" w:hAnsi="Calibri"/>
          <w:b w:val="0"/>
          <w:i w:val="0"/>
          <w:color w:val="1F3A5F"/>
          <w:sz w:val="20"/>
        </w:rPr>
        <w:t>https://doi.org/10.1109/tsc.2025.3646329</w:t>
      </w:r>
    </w:p>
    <w:p>
      <w:pPr>
        <w:spacing w:after="80"/>
        <w:ind w:hanging="567" w:left="567"/>
      </w:pPr>
      <w:r>
        <w:rPr>
          <w:rFonts w:ascii="Calibri" w:hAnsi="Calibri"/>
          <w:b/>
          <w:i w:val="0"/>
          <w:sz w:val="20"/>
        </w:rPr>
        <w:t xml:space="preserve">S014.  </w:t>
      </w:r>
      <w:r>
        <w:rPr>
          <w:rFonts w:ascii="Calibri" w:hAnsi="Calibri"/>
          <w:b w:val="0"/>
          <w:i/>
          <w:color w:val="555555"/>
          <w:sz w:val="18"/>
        </w:rPr>
        <w:t xml:space="preserve">[Snowball] </w:t>
      </w:r>
      <w:r>
        <w:rPr>
          <w:rFonts w:ascii="Calibri" w:hAnsi="Calibri"/>
          <w:b w:val="0"/>
          <w:i w:val="0"/>
          <w:sz w:val="20"/>
        </w:rPr>
        <w:t xml:space="preserve">(2025). </w:t>
      </w:r>
      <w:r>
        <w:rPr>
          <w:rFonts w:ascii="Calibri" w:hAnsi="Calibri"/>
          <w:b w:val="0"/>
          <w:i/>
          <w:sz w:val="20"/>
        </w:rPr>
        <w:t xml:space="preserve">A Novel Framework for Evaluating Application Performance in Distributed Systems. </w:t>
      </w:r>
      <w:r>
        <w:rPr>
          <w:rFonts w:ascii="Calibri" w:hAnsi="Calibri"/>
          <w:b w:val="0"/>
          <w:i w:val="0"/>
          <w:sz w:val="20"/>
        </w:rPr>
        <w:t xml:space="preserve">Applied sciences. </w:t>
      </w:r>
    </w:p>
    <w:p>
      <w:pPr>
        <w:spacing w:after="80"/>
        <w:ind w:hanging="567" w:left="567"/>
      </w:pPr>
      <w:r>
        <w:rPr>
          <w:rFonts w:ascii="Calibri" w:hAnsi="Calibri"/>
          <w:b/>
          <w:i w:val="0"/>
          <w:sz w:val="20"/>
        </w:rPr>
        <w:t xml:space="preserve">S015.  </w:t>
      </w:r>
      <w:r>
        <w:rPr>
          <w:rFonts w:ascii="Calibri" w:hAnsi="Calibri"/>
          <w:b w:val="0"/>
          <w:i/>
          <w:color w:val="555555"/>
          <w:sz w:val="18"/>
        </w:rPr>
        <w:t xml:space="preserve">[Snowball] </w:t>
      </w:r>
      <w:r>
        <w:rPr>
          <w:rFonts w:ascii="Calibri" w:hAnsi="Calibri"/>
          <w:b w:val="0"/>
          <w:i w:val="0"/>
          <w:sz w:val="20"/>
        </w:rPr>
        <w:t xml:space="preserve">(2025). </w:t>
      </w:r>
      <w:r>
        <w:rPr>
          <w:rFonts w:ascii="Calibri" w:hAnsi="Calibri"/>
          <w:b w:val="0"/>
          <w:i/>
          <w:sz w:val="20"/>
        </w:rPr>
        <w:t xml:space="preserve">A Review of Cloud Computing CPU Resource Optimization: Methods, Difficulties, and Prospects. </w:t>
      </w:r>
      <w:r>
        <w:rPr>
          <w:rFonts w:ascii="Calibri" w:hAnsi="Calibri"/>
          <w:b w:val="0"/>
          <w:i w:val="0"/>
          <w:sz w:val="20"/>
        </w:rPr>
        <w:t xml:space="preserve">Proceedings of the 6th International Conference on Information Management &amp;amp;amp; Machine Intelligence. </w:t>
      </w:r>
      <w:r>
        <w:rPr>
          <w:rFonts w:ascii="Calibri" w:hAnsi="Calibri"/>
          <w:b w:val="0"/>
          <w:i w:val="0"/>
          <w:color w:val="1F3A5F"/>
          <w:sz w:val="20"/>
        </w:rPr>
        <w:t>https://doi.org/10.1145/3745812.3745839</w:t>
      </w:r>
    </w:p>
    <w:p>
      <w:pPr>
        <w:spacing w:after="80"/>
        <w:ind w:hanging="567" w:left="567"/>
      </w:pPr>
      <w:r>
        <w:rPr>
          <w:rFonts w:ascii="Calibri" w:hAnsi="Calibri"/>
          <w:b/>
          <w:i w:val="0"/>
          <w:sz w:val="20"/>
        </w:rPr>
        <w:t xml:space="preserve">S016.  </w:t>
      </w:r>
      <w:r>
        <w:rPr>
          <w:rFonts w:ascii="Calibri" w:hAnsi="Calibri"/>
          <w:b w:val="0"/>
          <w:i/>
          <w:color w:val="555555"/>
          <w:sz w:val="18"/>
        </w:rPr>
        <w:t xml:space="preserve">[V4] </w:t>
      </w:r>
      <w:r>
        <w:rPr>
          <w:rFonts w:ascii="Calibri" w:hAnsi="Calibri"/>
          <w:b w:val="0"/>
          <w:i w:val="0"/>
          <w:sz w:val="20"/>
        </w:rPr>
        <w:t xml:space="preserve">Trabelsi, Imen and Mahmoudi, Brahim and Minani, Jean Baptiste and Moha, Naouel and Guéhéneuc, Yann-Gaël (2025). </w:t>
      </w:r>
      <w:r>
        <w:rPr>
          <w:rFonts w:ascii="Calibri" w:hAnsi="Calibri"/>
          <w:b w:val="0"/>
          <w:i/>
          <w:sz w:val="20"/>
        </w:rPr>
        <w:t xml:space="preserve">A Systematic Literature Review of Machine Learning Approaches for Migrating Monolithic Systems to Microservices. </w:t>
      </w:r>
      <w:r>
        <w:rPr>
          <w:rFonts w:ascii="Calibri" w:hAnsi="Calibri"/>
          <w:b w:val="0"/>
          <w:i w:val="0"/>
          <w:sz w:val="20"/>
        </w:rPr>
        <w:t xml:space="preserve">IEEE Transactions on Software Engineering. </w:t>
      </w:r>
      <w:r>
        <w:rPr>
          <w:rFonts w:ascii="Calibri" w:hAnsi="Calibri"/>
          <w:b w:val="0"/>
          <w:i w:val="0"/>
          <w:color w:val="1F3A5F"/>
          <w:sz w:val="20"/>
        </w:rPr>
        <w:t>https://doi.org/10.1109/tse.2025.3603897</w:t>
      </w:r>
    </w:p>
    <w:p>
      <w:pPr>
        <w:spacing w:after="80"/>
        <w:ind w:hanging="567" w:left="567"/>
      </w:pPr>
      <w:r>
        <w:rPr>
          <w:rFonts w:ascii="Calibri" w:hAnsi="Calibri"/>
          <w:b/>
          <w:i w:val="0"/>
          <w:sz w:val="20"/>
        </w:rPr>
        <w:t xml:space="preserve">S017.  </w:t>
      </w:r>
      <w:r>
        <w:rPr>
          <w:rFonts w:ascii="Calibri" w:hAnsi="Calibri"/>
          <w:b w:val="0"/>
          <w:i/>
          <w:color w:val="555555"/>
          <w:sz w:val="18"/>
        </w:rPr>
        <w:t xml:space="preserve">[V4] </w:t>
      </w:r>
      <w:r>
        <w:rPr>
          <w:rFonts w:ascii="Calibri" w:hAnsi="Calibri"/>
          <w:b w:val="0"/>
          <w:i w:val="0"/>
          <w:sz w:val="20"/>
        </w:rPr>
        <w:t xml:space="preserve">Kiss, Aron and Nehez, Karoly and Hornyak, Oliver (2025). </w:t>
      </w:r>
      <w:r>
        <w:rPr>
          <w:rFonts w:ascii="Calibri" w:hAnsi="Calibri"/>
          <w:b w:val="0"/>
          <w:i/>
          <w:sz w:val="20"/>
        </w:rPr>
        <w:t xml:space="preserve">AI-driven fault diagnosis from textual system logs. </w:t>
      </w:r>
      <w:r>
        <w:rPr>
          <w:rFonts w:ascii="Calibri" w:hAnsi="Calibri"/>
          <w:b w:val="0"/>
          <w:i w:val="0"/>
          <w:sz w:val="20"/>
        </w:rPr>
        <w:t xml:space="preserve">ANNALES MATHEMATICAE ET INFORMATICAE. </w:t>
      </w:r>
      <w:r>
        <w:rPr>
          <w:rFonts w:ascii="Calibri" w:hAnsi="Calibri"/>
          <w:b w:val="0"/>
          <w:i w:val="0"/>
          <w:color w:val="1F3A5F"/>
          <w:sz w:val="20"/>
        </w:rPr>
        <w:t>https://doi.org/10.33039/ami.2025.10.003</w:t>
      </w:r>
    </w:p>
    <w:p>
      <w:pPr>
        <w:spacing w:after="80"/>
        <w:ind w:hanging="567" w:left="567"/>
      </w:pPr>
      <w:r>
        <w:rPr>
          <w:rFonts w:ascii="Calibri" w:hAnsi="Calibri"/>
          <w:b/>
          <w:i w:val="0"/>
          <w:sz w:val="20"/>
        </w:rPr>
        <w:t xml:space="preserve">S018.  </w:t>
      </w:r>
      <w:r>
        <w:rPr>
          <w:rFonts w:ascii="Calibri" w:hAnsi="Calibri"/>
          <w:b w:val="0"/>
          <w:i/>
          <w:color w:val="555555"/>
          <w:sz w:val="18"/>
        </w:rPr>
        <w:t xml:space="preserve">[V4] </w:t>
      </w:r>
      <w:r>
        <w:rPr>
          <w:rFonts w:ascii="Calibri" w:hAnsi="Calibri"/>
          <w:b w:val="0"/>
          <w:i w:val="0"/>
          <w:sz w:val="20"/>
        </w:rPr>
        <w:t xml:space="preserve">Jeong, Byeonghui and Jeong, Young-Sik (2025). </w:t>
      </w:r>
      <w:r>
        <w:rPr>
          <w:rFonts w:ascii="Calibri" w:hAnsi="Calibri"/>
          <w:b w:val="0"/>
          <w:i/>
          <w:sz w:val="20"/>
        </w:rPr>
        <w:t xml:space="preserve">ARAScaler: Adaptive Resource Autoscaling Scheme Using ETimeMixer for Efficient Cloud-Native Computing. </w:t>
      </w:r>
      <w:r>
        <w:rPr>
          <w:rFonts w:ascii="Calibri" w:hAnsi="Calibri"/>
          <w:b w:val="0"/>
          <w:i w:val="0"/>
          <w:sz w:val="20"/>
        </w:rPr>
        <w:t xml:space="preserve">IEEE Transactions on Services Computing. </w:t>
      </w:r>
      <w:r>
        <w:rPr>
          <w:rFonts w:ascii="Calibri" w:hAnsi="Calibri"/>
          <w:b w:val="0"/>
          <w:i w:val="0"/>
          <w:color w:val="1F3A5F"/>
          <w:sz w:val="20"/>
        </w:rPr>
        <w:t>https://doi.org/10.1109/tsc.2024.3522815</w:t>
      </w:r>
    </w:p>
    <w:p>
      <w:pPr>
        <w:spacing w:after="80"/>
        <w:ind w:hanging="567" w:left="567"/>
      </w:pPr>
      <w:r>
        <w:rPr>
          <w:rFonts w:ascii="Calibri" w:hAnsi="Calibri"/>
          <w:b/>
          <w:i w:val="0"/>
          <w:sz w:val="20"/>
        </w:rPr>
        <w:t xml:space="preserve">S019.  </w:t>
      </w:r>
      <w:r>
        <w:rPr>
          <w:rFonts w:ascii="Calibri" w:hAnsi="Calibri"/>
          <w:b w:val="0"/>
          <w:i/>
          <w:color w:val="555555"/>
          <w:sz w:val="18"/>
        </w:rPr>
        <w:t xml:space="preserve">[V4] </w:t>
      </w:r>
      <w:r>
        <w:rPr>
          <w:rFonts w:ascii="Calibri" w:hAnsi="Calibri"/>
          <w:b w:val="0"/>
          <w:i w:val="0"/>
          <w:sz w:val="20"/>
        </w:rPr>
        <w:t xml:space="preserve">Hongyan XiaJia HaoRuijie Cao (2025). </w:t>
      </w:r>
      <w:r>
        <w:rPr>
          <w:rFonts w:ascii="Calibri" w:hAnsi="Calibri"/>
          <w:b w:val="0"/>
          <w:i/>
          <w:sz w:val="20"/>
        </w:rPr>
        <w:t xml:space="preserve">Adaptive Resource Allocation for Cloud-native Microservice via Meta-learning and Hyper-heuristic Algorithms. </w:t>
      </w:r>
      <w:r>
        <w:rPr>
          <w:rFonts w:ascii="Calibri" w:hAnsi="Calibri"/>
          <w:b w:val="0"/>
          <w:i w:val="0"/>
          <w:sz w:val="20"/>
        </w:rPr>
        <w:t xml:space="preserve">Journal of Grid Computing. </w:t>
      </w:r>
      <w:r>
        <w:rPr>
          <w:rFonts w:ascii="Calibri" w:hAnsi="Calibri"/>
          <w:b w:val="0"/>
          <w:i w:val="0"/>
          <w:color w:val="1F3A5F"/>
          <w:sz w:val="20"/>
        </w:rPr>
        <w:t>https://doi.org/10.1007/s10723-025-09814-5</w:t>
      </w:r>
    </w:p>
    <w:p>
      <w:pPr>
        <w:spacing w:after="80"/>
        <w:ind w:hanging="567" w:left="567"/>
      </w:pPr>
      <w:r>
        <w:rPr>
          <w:rFonts w:ascii="Calibri" w:hAnsi="Calibri"/>
          <w:b/>
          <w:i w:val="0"/>
          <w:sz w:val="20"/>
        </w:rPr>
        <w:t xml:space="preserve">S020.  </w:t>
      </w:r>
      <w:r>
        <w:rPr>
          <w:rFonts w:ascii="Calibri" w:hAnsi="Calibri"/>
          <w:b w:val="0"/>
          <w:i/>
          <w:color w:val="555555"/>
          <w:sz w:val="18"/>
        </w:rPr>
        <w:t xml:space="preserve">[V4] </w:t>
      </w:r>
      <w:r>
        <w:rPr>
          <w:rFonts w:ascii="Calibri" w:hAnsi="Calibri"/>
          <w:b w:val="0"/>
          <w:i w:val="0"/>
          <w:sz w:val="20"/>
        </w:rPr>
        <w:t xml:space="preserve">Pedroso, Diego Frazatto and Almeida, Luís and Pulcinelli, Lucas Eduardo Gulka and Aisawa, William Akihiro Alves and Dutra, Inês and Bruschi, Sarita Mazzini (2025). </w:t>
      </w:r>
      <w:r>
        <w:rPr>
          <w:rFonts w:ascii="Calibri" w:hAnsi="Calibri"/>
          <w:b w:val="0"/>
          <w:i/>
          <w:sz w:val="20"/>
        </w:rPr>
        <w:t xml:space="preserve">Anomaly Detection and Root Cause Analysis in Cloud-Native Environments Using Large Language Models and Bayesian Networks. </w:t>
      </w:r>
      <w:r>
        <w:rPr>
          <w:rFonts w:ascii="Calibri" w:hAnsi="Calibri"/>
          <w:b w:val="0"/>
          <w:i w:val="0"/>
          <w:sz w:val="20"/>
        </w:rPr>
        <w:t xml:space="preserve">IEEE Access. </w:t>
      </w:r>
      <w:r>
        <w:rPr>
          <w:rFonts w:ascii="Calibri" w:hAnsi="Calibri"/>
          <w:b w:val="0"/>
          <w:i w:val="0"/>
          <w:color w:val="1F3A5F"/>
          <w:sz w:val="20"/>
        </w:rPr>
        <w:t>https://doi.org/10.1109/access.2025.3565220</w:t>
      </w:r>
    </w:p>
    <w:p>
      <w:pPr>
        <w:spacing w:after="80"/>
        <w:ind w:hanging="567" w:left="567"/>
      </w:pPr>
      <w:r>
        <w:rPr>
          <w:rFonts w:ascii="Calibri" w:hAnsi="Calibri"/>
          <w:b/>
          <w:i w:val="0"/>
          <w:sz w:val="20"/>
        </w:rPr>
        <w:t xml:space="preserve">S021.  </w:t>
      </w:r>
      <w:r>
        <w:rPr>
          <w:rFonts w:ascii="Calibri" w:hAnsi="Calibri"/>
          <w:b w:val="0"/>
          <w:i/>
          <w:color w:val="555555"/>
          <w:sz w:val="18"/>
        </w:rPr>
        <w:t xml:space="preserve">[V4] </w:t>
      </w:r>
      <w:r>
        <w:rPr>
          <w:rFonts w:ascii="Calibri" w:hAnsi="Calibri"/>
          <w:b w:val="0"/>
          <w:i w:val="0"/>
          <w:sz w:val="20"/>
        </w:rPr>
        <w:t xml:space="preserve">Wang, Huipeng and Tang, Liangliang and Wu, Liqiong and Zheng, Xiaojuan and Zhao, Chuangye (2025). </w:t>
      </w:r>
      <w:r>
        <w:rPr>
          <w:rFonts w:ascii="Calibri" w:hAnsi="Calibri"/>
          <w:b w:val="0"/>
          <w:i/>
          <w:sz w:val="20"/>
        </w:rPr>
        <w:t xml:space="preserve">Automated Log Data Analysis and Anomaly Detection Method in Intelligent Operations and Maintenance Systems. </w:t>
      </w:r>
      <w:r>
        <w:rPr>
          <w:rFonts w:ascii="Calibri" w:hAnsi="Calibri"/>
          <w:b w:val="0"/>
          <w:i w:val="0"/>
          <w:sz w:val="20"/>
        </w:rPr>
        <w:t xml:space="preserve">Proceedings of the 9th International Conference on Electronic Information Technology and Computer Engineering. </w:t>
      </w:r>
      <w:r>
        <w:rPr>
          <w:rFonts w:ascii="Calibri" w:hAnsi="Calibri"/>
          <w:b w:val="0"/>
          <w:i w:val="0"/>
          <w:color w:val="1F3A5F"/>
          <w:sz w:val="20"/>
        </w:rPr>
        <w:t>https://doi.org/10.1145/3766671.3766854</w:t>
      </w:r>
    </w:p>
    <w:p>
      <w:pPr>
        <w:spacing w:after="80"/>
        <w:ind w:hanging="567" w:left="567"/>
      </w:pPr>
      <w:r>
        <w:rPr>
          <w:rFonts w:ascii="Calibri" w:hAnsi="Calibri"/>
          <w:b/>
          <w:i w:val="0"/>
          <w:sz w:val="20"/>
        </w:rPr>
        <w:t xml:space="preserve">S022.  </w:t>
      </w:r>
      <w:r>
        <w:rPr>
          <w:rFonts w:ascii="Calibri" w:hAnsi="Calibri"/>
          <w:b w:val="0"/>
          <w:i/>
          <w:color w:val="555555"/>
          <w:sz w:val="18"/>
        </w:rPr>
        <w:t xml:space="preserve">[V4] </w:t>
      </w:r>
      <w:r>
        <w:rPr>
          <w:rFonts w:ascii="Calibri" w:hAnsi="Calibri"/>
          <w:b w:val="0"/>
          <w:i w:val="0"/>
          <w:sz w:val="20"/>
        </w:rPr>
        <w:t xml:space="preserve">Barata, Luis M. and Lopes, Eurico and Inacio, Pedro R. M. and Freire, Mario M. (2025). </w:t>
      </w:r>
      <w:r>
        <w:rPr>
          <w:rFonts w:ascii="Calibri" w:hAnsi="Calibri"/>
          <w:b w:val="0"/>
          <w:i/>
          <w:sz w:val="20"/>
        </w:rPr>
        <w:t xml:space="preserve">Classification of Anomalies in Microservices Using an XGBoost-Based Approach With Data Balancing and Hyperparameter Tuning. </w:t>
      </w:r>
      <w:r>
        <w:rPr>
          <w:rFonts w:ascii="Calibri" w:hAnsi="Calibri"/>
          <w:b w:val="0"/>
          <w:i w:val="0"/>
          <w:sz w:val="20"/>
        </w:rPr>
        <w:t xml:space="preserve">IEEE OPEN JOURNAL OF THE COMPUTER SOCIETY. </w:t>
      </w:r>
      <w:r>
        <w:rPr>
          <w:rFonts w:ascii="Calibri" w:hAnsi="Calibri"/>
          <w:b w:val="0"/>
          <w:i w:val="0"/>
          <w:color w:val="1F3A5F"/>
          <w:sz w:val="20"/>
        </w:rPr>
        <w:t>https://doi.org/10.1109/ojcs.2025.3622532</w:t>
      </w:r>
    </w:p>
    <w:p>
      <w:pPr>
        <w:spacing w:after="80"/>
        <w:ind w:hanging="567" w:left="567"/>
      </w:pPr>
      <w:r>
        <w:rPr>
          <w:rFonts w:ascii="Calibri" w:hAnsi="Calibri"/>
          <w:b/>
          <w:i w:val="0"/>
          <w:sz w:val="20"/>
        </w:rPr>
        <w:t xml:space="preserve">S023.  </w:t>
      </w:r>
      <w:r>
        <w:rPr>
          <w:rFonts w:ascii="Calibri" w:hAnsi="Calibri"/>
          <w:b w:val="0"/>
          <w:i/>
          <w:color w:val="555555"/>
          <w:sz w:val="18"/>
        </w:rPr>
        <w:t xml:space="preserve">[V4] </w:t>
      </w:r>
      <w:r>
        <w:rPr>
          <w:rFonts w:ascii="Calibri" w:hAnsi="Calibri"/>
          <w:b w:val="0"/>
          <w:i w:val="0"/>
          <w:sz w:val="20"/>
        </w:rPr>
        <w:t xml:space="preserve">Ameer, Tarique and Valilai, Omid Fatahi (2025). </w:t>
      </w:r>
      <w:r>
        <w:rPr>
          <w:rFonts w:ascii="Calibri" w:hAnsi="Calibri"/>
          <w:b w:val="0"/>
          <w:i/>
          <w:sz w:val="20"/>
        </w:rPr>
        <w:t>Cloud-native causal AI for supply chain KPI monitoring: A GCP framework</w:t>
        <w:br/>
        <w:t xml:space="preserve">to diagnose out-of-stock events. </w:t>
      </w:r>
      <w:r>
        <w:rPr>
          <w:rFonts w:ascii="Calibri" w:hAnsi="Calibri"/>
          <w:b w:val="0"/>
          <w:i w:val="0"/>
          <w:sz w:val="20"/>
        </w:rPr>
        <w:t xml:space="preserve">MACHINE LEARNING WITH APPLICATIONS. </w:t>
      </w:r>
      <w:r>
        <w:rPr>
          <w:rFonts w:ascii="Calibri" w:hAnsi="Calibri"/>
          <w:b w:val="0"/>
          <w:i w:val="0"/>
          <w:color w:val="1F3A5F"/>
          <w:sz w:val="20"/>
        </w:rPr>
        <w:t>https://doi.org/10.1016/j.mlwa.2025.100765</w:t>
      </w:r>
    </w:p>
    <w:p>
      <w:pPr>
        <w:spacing w:after="80"/>
        <w:ind w:hanging="567" w:left="567"/>
      </w:pPr>
      <w:r>
        <w:rPr>
          <w:rFonts w:ascii="Calibri" w:hAnsi="Calibri"/>
          <w:b/>
          <w:i w:val="0"/>
          <w:sz w:val="20"/>
        </w:rPr>
        <w:t xml:space="preserve">S024.  </w:t>
      </w:r>
      <w:r>
        <w:rPr>
          <w:rFonts w:ascii="Calibri" w:hAnsi="Calibri"/>
          <w:b w:val="0"/>
          <w:i/>
          <w:color w:val="555555"/>
          <w:sz w:val="18"/>
        </w:rPr>
        <w:t xml:space="preserve">[V4] </w:t>
      </w:r>
      <w:r>
        <w:rPr>
          <w:rFonts w:ascii="Calibri" w:hAnsi="Calibri"/>
          <w:b w:val="0"/>
          <w:i w:val="0"/>
          <w:sz w:val="20"/>
        </w:rPr>
        <w:t xml:space="preserve">Giurgica, Teodor-Mihail and Sarbu, Annamaria and Klauer, Bernd and Gaina, Liviu (2025). </w:t>
      </w:r>
      <w:r>
        <w:rPr>
          <w:rFonts w:ascii="Calibri" w:hAnsi="Calibri"/>
          <w:b w:val="0"/>
          <w:i/>
          <w:sz w:val="20"/>
        </w:rPr>
        <w:t>Field-Deployable Kubernetes Cluster for Enhanced Computing Capabilities</w:t>
        <w:br/>
        <w:t xml:space="preserve">in Remote Environments. </w:t>
      </w:r>
      <w:r>
        <w:rPr>
          <w:rFonts w:ascii="Calibri" w:hAnsi="Calibri"/>
          <w:b w:val="0"/>
          <w:i w:val="0"/>
          <w:sz w:val="20"/>
        </w:rPr>
        <w:t xml:space="preserve">APPLIED SCIENCES-BASEL. </w:t>
      </w:r>
      <w:r>
        <w:rPr>
          <w:rFonts w:ascii="Calibri" w:hAnsi="Calibri"/>
          <w:b w:val="0"/>
          <w:i w:val="0"/>
          <w:color w:val="1F3A5F"/>
          <w:sz w:val="20"/>
        </w:rPr>
        <w:t>https://doi.org/10.3390/app152412991</w:t>
      </w:r>
    </w:p>
    <w:p>
      <w:pPr>
        <w:spacing w:after="80"/>
        <w:ind w:hanging="567" w:left="567"/>
      </w:pPr>
      <w:r>
        <w:rPr>
          <w:rFonts w:ascii="Calibri" w:hAnsi="Calibri"/>
          <w:b/>
          <w:i w:val="0"/>
          <w:sz w:val="20"/>
        </w:rPr>
        <w:t xml:space="preserve">S025.  </w:t>
      </w:r>
      <w:r>
        <w:rPr>
          <w:rFonts w:ascii="Calibri" w:hAnsi="Calibri"/>
          <w:b w:val="0"/>
          <w:i/>
          <w:color w:val="555555"/>
          <w:sz w:val="18"/>
        </w:rPr>
        <w:t xml:space="preserve">[V4] </w:t>
      </w:r>
      <w:r>
        <w:rPr>
          <w:rFonts w:ascii="Calibri" w:hAnsi="Calibri"/>
          <w:b w:val="0"/>
          <w:i w:val="0"/>
          <w:sz w:val="20"/>
        </w:rPr>
        <w:t xml:space="preserve">Amanmadov, Nurmyrat and Abdullayev, Tarlan (2025). </w:t>
      </w:r>
      <w:r>
        <w:rPr>
          <w:rFonts w:ascii="Calibri" w:hAnsi="Calibri"/>
          <w:b w:val="0"/>
          <w:i/>
          <w:sz w:val="20"/>
        </w:rPr>
        <w:t xml:space="preserve">From Logs to Knowledge: LLM-Powered Dynamic Knowledge Graphs for Real-Time Cloud Observability. </w:t>
      </w:r>
      <w:r>
        <w:rPr>
          <w:rFonts w:ascii="Calibri" w:hAnsi="Calibri"/>
          <w:b w:val="0"/>
          <w:i w:val="0"/>
          <w:sz w:val="20"/>
        </w:rPr>
        <w:t xml:space="preserve">International Journal of Advanced Computer Science and Applications. </w:t>
      </w:r>
      <w:r>
        <w:rPr>
          <w:rFonts w:ascii="Calibri" w:hAnsi="Calibri"/>
          <w:b w:val="0"/>
          <w:i w:val="0"/>
          <w:color w:val="1F3A5F"/>
          <w:sz w:val="20"/>
        </w:rPr>
        <w:t>https://doi.org/10.14569/ijacsa.2025.0161003</w:t>
      </w:r>
    </w:p>
    <w:p>
      <w:pPr>
        <w:spacing w:after="80"/>
        <w:ind w:hanging="567" w:left="567"/>
      </w:pPr>
      <w:r>
        <w:rPr>
          <w:rFonts w:ascii="Calibri" w:hAnsi="Calibri"/>
          <w:b/>
          <w:i w:val="0"/>
          <w:sz w:val="20"/>
        </w:rPr>
        <w:t xml:space="preserve">S026.  </w:t>
      </w:r>
      <w:r>
        <w:rPr>
          <w:rFonts w:ascii="Calibri" w:hAnsi="Calibri"/>
          <w:b w:val="0"/>
          <w:i/>
          <w:color w:val="555555"/>
          <w:sz w:val="18"/>
        </w:rPr>
        <w:t xml:space="preserve">[V4] </w:t>
      </w:r>
      <w:r>
        <w:rPr>
          <w:rFonts w:ascii="Calibri" w:hAnsi="Calibri"/>
          <w:b w:val="0"/>
          <w:i w:val="0"/>
          <w:sz w:val="20"/>
        </w:rPr>
        <w:t xml:space="preserve">Yang, Jian and Wang, Zian and Chen, Shuangwu and He, Huasen and Hou, Yunpeng and Jiang, Xiaofeng (2025). </w:t>
      </w:r>
      <w:r>
        <w:rPr>
          <w:rFonts w:ascii="Calibri" w:hAnsi="Calibri"/>
          <w:b w:val="0"/>
          <w:i/>
          <w:sz w:val="20"/>
        </w:rPr>
        <w:t xml:space="preserve">HG-PAD: Heterogeneous Graph Structure Learning Aided Performance Anomaly Diagnosis in Microservice Systems. </w:t>
      </w:r>
      <w:r>
        <w:rPr>
          <w:rFonts w:ascii="Calibri" w:hAnsi="Calibri"/>
          <w:b w:val="0"/>
          <w:i w:val="0"/>
          <w:sz w:val="20"/>
        </w:rPr>
        <w:t xml:space="preserve">IEEE TRANSACTIONS ON SERVICES COMPUTING. </w:t>
      </w:r>
      <w:r>
        <w:rPr>
          <w:rFonts w:ascii="Calibri" w:hAnsi="Calibri"/>
          <w:b w:val="0"/>
          <w:i w:val="0"/>
          <w:color w:val="1F3A5F"/>
          <w:sz w:val="20"/>
        </w:rPr>
        <w:t>https://doi.org/10.1109/tsc.2025.3603218</w:t>
      </w:r>
    </w:p>
    <w:p>
      <w:pPr>
        <w:spacing w:after="80"/>
        <w:ind w:hanging="567" w:left="567"/>
      </w:pPr>
      <w:r>
        <w:rPr>
          <w:rFonts w:ascii="Calibri" w:hAnsi="Calibri"/>
          <w:b/>
          <w:i w:val="0"/>
          <w:sz w:val="20"/>
        </w:rPr>
        <w:t xml:space="preserve">S027.  </w:t>
      </w:r>
      <w:r>
        <w:rPr>
          <w:rFonts w:ascii="Calibri" w:hAnsi="Calibri"/>
          <w:b w:val="0"/>
          <w:i/>
          <w:color w:val="555555"/>
          <w:sz w:val="18"/>
        </w:rPr>
        <w:t xml:space="preserve">[Snowball] </w:t>
      </w:r>
      <w:r>
        <w:rPr>
          <w:rFonts w:ascii="Calibri" w:hAnsi="Calibri"/>
          <w:b w:val="0"/>
          <w:i w:val="0"/>
          <w:sz w:val="20"/>
        </w:rPr>
        <w:t xml:space="preserve">(2025). </w:t>
      </w:r>
      <w:r>
        <w:rPr>
          <w:rFonts w:ascii="Calibri" w:hAnsi="Calibri"/>
          <w:b w:val="0"/>
          <w:i/>
          <w:sz w:val="20"/>
        </w:rPr>
        <w:t xml:space="preserve">How Far Is Machine Learning From the Detection of Complex Microservice Bad Smells?. </w:t>
      </w:r>
      <w:r>
        <w:rPr>
          <w:rFonts w:ascii="Calibri" w:hAnsi="Calibri"/>
          <w:b w:val="0"/>
          <w:i w:val="0"/>
          <w:sz w:val="20"/>
        </w:rPr>
        <w:t xml:space="preserve">Journal of software : evolution and process. </w:t>
      </w:r>
    </w:p>
    <w:p>
      <w:pPr>
        <w:spacing w:after="80"/>
        <w:ind w:hanging="567" w:left="567"/>
      </w:pPr>
      <w:r>
        <w:rPr>
          <w:rFonts w:ascii="Calibri" w:hAnsi="Calibri"/>
          <w:b/>
          <w:i w:val="0"/>
          <w:sz w:val="20"/>
        </w:rPr>
        <w:t xml:space="preserve">S028.  </w:t>
      </w:r>
      <w:r>
        <w:rPr>
          <w:rFonts w:ascii="Calibri" w:hAnsi="Calibri"/>
          <w:b/>
          <w:i w:val="0"/>
          <w:color w:val="D97B29"/>
          <w:sz w:val="20"/>
        </w:rPr>
        <w:t xml:space="preserve">★ </w:t>
      </w:r>
      <w:r>
        <w:rPr>
          <w:rFonts w:ascii="Calibri" w:hAnsi="Calibri"/>
          <w:b w:val="0"/>
          <w:i/>
          <w:color w:val="555555"/>
          <w:sz w:val="18"/>
        </w:rPr>
        <w:t xml:space="preserve">[V4] </w:t>
      </w:r>
      <w:r>
        <w:rPr>
          <w:rFonts w:ascii="Calibri" w:hAnsi="Calibri"/>
          <w:b w:val="0"/>
          <w:i w:val="0"/>
          <w:sz w:val="20"/>
        </w:rPr>
        <w:t xml:space="preserve">Cortellessa, Vittorio and Diaz-Pace, Jorge Andrés and Di Pompeo, Daniele and Frank, Sebastian and Jamshidi, Pooyan and Tucci, Michele and Van Hoorn, André (2025). </w:t>
      </w:r>
      <w:r>
        <w:rPr>
          <w:rFonts w:ascii="Calibri" w:hAnsi="Calibri"/>
          <w:b w:val="0"/>
          <w:i/>
          <w:sz w:val="20"/>
        </w:rPr>
        <w:t xml:space="preserve">Introducing Interactions in Multi-Objective Optimization of Software Architectures. </w:t>
      </w:r>
      <w:r>
        <w:rPr>
          <w:rFonts w:ascii="Calibri" w:hAnsi="Calibri"/>
          <w:b w:val="0"/>
          <w:i w:val="0"/>
          <w:sz w:val="20"/>
        </w:rPr>
        <w:t xml:space="preserve">ACM Transactions on Software Engineering and Methodology. </w:t>
      </w:r>
      <w:r>
        <w:rPr>
          <w:rFonts w:ascii="Calibri" w:hAnsi="Calibri"/>
          <w:b w:val="0"/>
          <w:i w:val="0"/>
          <w:color w:val="1F3A5F"/>
          <w:sz w:val="20"/>
        </w:rPr>
        <w:t>https://doi.org/10.1145/3712185</w:t>
      </w:r>
    </w:p>
    <w:p>
      <w:pPr>
        <w:spacing w:after="80"/>
        <w:ind w:hanging="567" w:left="567"/>
      </w:pPr>
      <w:r>
        <w:rPr>
          <w:rFonts w:ascii="Calibri" w:hAnsi="Calibri"/>
          <w:b/>
          <w:i w:val="0"/>
          <w:sz w:val="20"/>
        </w:rPr>
        <w:t xml:space="preserve">S029.  </w:t>
      </w:r>
      <w:r>
        <w:rPr>
          <w:rFonts w:ascii="Calibri" w:hAnsi="Calibri"/>
          <w:b w:val="0"/>
          <w:i/>
          <w:color w:val="555555"/>
          <w:sz w:val="18"/>
        </w:rPr>
        <w:t xml:space="preserve">[V4] </w:t>
      </w:r>
      <w:r>
        <w:rPr>
          <w:rFonts w:ascii="Calibri" w:hAnsi="Calibri"/>
          <w:b w:val="0"/>
          <w:i w:val="0"/>
          <w:sz w:val="20"/>
        </w:rPr>
        <w:t xml:space="preserve">Ji, Xin and Zhang, Le and Zhang, Wenya and Peng, Fang and Mao, Yifan and Liao, Xingchuang and Zhang, Kui (2025). </w:t>
      </w:r>
      <w:r>
        <w:rPr>
          <w:rFonts w:ascii="Calibri" w:hAnsi="Calibri"/>
          <w:b w:val="0"/>
          <w:i/>
          <w:sz w:val="20"/>
        </w:rPr>
        <w:t>LEMAD: LLM-Empowered Multi-Agent System for Anomaly Detection in Power</w:t>
        <w:br/>
        <w:t xml:space="preserve">Grid Services. </w:t>
      </w:r>
      <w:r>
        <w:rPr>
          <w:rFonts w:ascii="Calibri" w:hAnsi="Calibri"/>
          <w:b w:val="0"/>
          <w:i w:val="0"/>
          <w:sz w:val="20"/>
        </w:rPr>
        <w:t xml:space="preserve">ELECTRONICS. </w:t>
      </w:r>
      <w:r>
        <w:rPr>
          <w:rFonts w:ascii="Calibri" w:hAnsi="Calibri"/>
          <w:b w:val="0"/>
          <w:i w:val="0"/>
          <w:color w:val="1F3A5F"/>
          <w:sz w:val="20"/>
        </w:rPr>
        <w:t>https://doi.org/10.3390/electronics14153008</w:t>
      </w:r>
    </w:p>
    <w:p>
      <w:pPr>
        <w:spacing w:after="80"/>
        <w:ind w:hanging="567" w:left="567"/>
      </w:pPr>
      <w:r>
        <w:rPr>
          <w:rFonts w:ascii="Calibri" w:hAnsi="Calibri"/>
          <w:b/>
          <w:i w:val="0"/>
          <w:sz w:val="20"/>
        </w:rPr>
        <w:t xml:space="preserve">S030.  </w:t>
      </w:r>
      <w:r>
        <w:rPr>
          <w:rFonts w:ascii="Calibri" w:hAnsi="Calibri"/>
          <w:b w:val="0"/>
          <w:i/>
          <w:color w:val="555555"/>
          <w:sz w:val="18"/>
        </w:rPr>
        <w:t xml:space="preserve">[V4] </w:t>
      </w:r>
      <w:r>
        <w:rPr>
          <w:rFonts w:ascii="Calibri" w:hAnsi="Calibri"/>
          <w:b w:val="0"/>
          <w:i w:val="0"/>
          <w:sz w:val="20"/>
        </w:rPr>
        <w:t xml:space="preserve">Anser, Yacine and Gaber, Chrystel and Wary, Jean-Philippe and Bouzefrane, Samia and Yacoub, Meziane and Kalinagac, Onur and Gur, Gurkan (2025). </w:t>
      </w:r>
      <w:r>
        <w:rPr>
          <w:rFonts w:ascii="Calibri" w:hAnsi="Calibri"/>
          <w:b w:val="0"/>
          <w:i/>
          <w:sz w:val="20"/>
        </w:rPr>
        <w:t>Liability and Trust Analysis Framework for Multi-Actor Dynamic</w:t>
        <w:br/>
        <w:t xml:space="preserve">Microservices. </w:t>
      </w:r>
      <w:r>
        <w:rPr>
          <w:rFonts w:ascii="Calibri" w:hAnsi="Calibri"/>
          <w:b w:val="0"/>
          <w:i w:val="0"/>
          <w:sz w:val="20"/>
        </w:rPr>
        <w:t xml:space="preserve">IEEE TRANSACTIONS ON NETWORK AND SERVICE MANAGEMENT. </w:t>
      </w:r>
      <w:r>
        <w:rPr>
          <w:rFonts w:ascii="Calibri" w:hAnsi="Calibri"/>
          <w:b w:val="0"/>
          <w:i w:val="0"/>
          <w:color w:val="1F3A5F"/>
          <w:sz w:val="20"/>
        </w:rPr>
        <w:t>https://doi.org/10.1109/tnsm.2024.3417934</w:t>
      </w:r>
    </w:p>
    <w:p>
      <w:pPr>
        <w:spacing w:after="80"/>
        <w:ind w:hanging="567" w:left="567"/>
      </w:pPr>
      <w:r>
        <w:rPr>
          <w:rFonts w:ascii="Calibri" w:hAnsi="Calibri"/>
          <w:b/>
          <w:i w:val="0"/>
          <w:sz w:val="20"/>
        </w:rPr>
        <w:t xml:space="preserve">S031.  </w:t>
      </w:r>
      <w:r>
        <w:rPr>
          <w:rFonts w:ascii="Calibri" w:hAnsi="Calibri"/>
          <w:b w:val="0"/>
          <w:i/>
          <w:color w:val="555555"/>
          <w:sz w:val="18"/>
        </w:rPr>
        <w:t xml:space="preserve">[V4] </w:t>
      </w:r>
      <w:r>
        <w:rPr>
          <w:rFonts w:ascii="Calibri" w:hAnsi="Calibri"/>
          <w:b w:val="0"/>
          <w:i w:val="0"/>
          <w:sz w:val="20"/>
        </w:rPr>
        <w:t xml:space="preserve">Ait Mansour, Nassima and Sbai, Hanae and Baïna, Karim (2025). </w:t>
      </w:r>
      <w:r>
        <w:rPr>
          <w:rFonts w:ascii="Calibri" w:hAnsi="Calibri"/>
          <w:b w:val="0"/>
          <w:i/>
          <w:sz w:val="20"/>
        </w:rPr>
        <w:t xml:space="preserve">MINDS: An NLP-Driven Process Mining Framework for Superior Microservices Decomposition. </w:t>
      </w:r>
      <w:r>
        <w:rPr>
          <w:rFonts w:ascii="Calibri" w:hAnsi="Calibri"/>
          <w:b w:val="0"/>
          <w:i w:val="0"/>
          <w:sz w:val="20"/>
        </w:rPr>
        <w:t xml:space="preserve">IEEE Access. </w:t>
      </w:r>
      <w:r>
        <w:rPr>
          <w:rFonts w:ascii="Calibri" w:hAnsi="Calibri"/>
          <w:b w:val="0"/>
          <w:i w:val="0"/>
          <w:color w:val="1F3A5F"/>
          <w:sz w:val="20"/>
        </w:rPr>
        <w:t>https://doi.org/10.1109/access.2025.3639460</w:t>
      </w:r>
    </w:p>
    <w:p>
      <w:pPr>
        <w:spacing w:after="80"/>
        <w:ind w:hanging="567" w:left="567"/>
      </w:pPr>
      <w:r>
        <w:rPr>
          <w:rFonts w:ascii="Calibri" w:hAnsi="Calibri"/>
          <w:b/>
          <w:i w:val="0"/>
          <w:sz w:val="20"/>
        </w:rPr>
        <w:t xml:space="preserve">S032.  </w:t>
      </w:r>
      <w:r>
        <w:rPr>
          <w:rFonts w:ascii="Calibri" w:hAnsi="Calibri"/>
          <w:b w:val="0"/>
          <w:i/>
          <w:color w:val="555555"/>
          <w:sz w:val="18"/>
        </w:rPr>
        <w:t xml:space="preserve">[Snowball] </w:t>
      </w:r>
      <w:r>
        <w:rPr>
          <w:rFonts w:ascii="Calibri" w:hAnsi="Calibri"/>
          <w:b w:val="0"/>
          <w:i w:val="0"/>
          <w:sz w:val="20"/>
        </w:rPr>
        <w:t xml:space="preserve">(2025). </w:t>
      </w:r>
      <w:r>
        <w:rPr>
          <w:rFonts w:ascii="Calibri" w:hAnsi="Calibri"/>
          <w:b w:val="0"/>
          <w:i/>
          <w:sz w:val="20"/>
        </w:rPr>
        <w:t xml:space="preserve">Microservices Architecture in Fintech: A Case Study on Scalable Loan Processing with Classical Design Patterns. </w:t>
      </w:r>
      <w:r>
        <w:rPr>
          <w:rFonts w:ascii="Calibri" w:hAnsi="Calibri"/>
          <w:b w:val="0"/>
          <w:i w:val="0"/>
          <w:sz w:val="20"/>
        </w:rPr>
        <w:t xml:space="preserve">3rd International Conference on Intelligent Methods, Systems and Applications, IMSA 2025. </w:t>
      </w:r>
    </w:p>
    <w:p>
      <w:pPr>
        <w:spacing w:after="80"/>
        <w:ind w:hanging="567" w:left="567"/>
      </w:pPr>
      <w:r>
        <w:rPr>
          <w:rFonts w:ascii="Calibri" w:hAnsi="Calibri"/>
          <w:b/>
          <w:i w:val="0"/>
          <w:sz w:val="20"/>
        </w:rPr>
        <w:t xml:space="preserve">S033.  </w:t>
      </w:r>
      <w:r>
        <w:rPr>
          <w:rFonts w:ascii="Calibri" w:hAnsi="Calibri"/>
          <w:b w:val="0"/>
          <w:i/>
          <w:color w:val="555555"/>
          <w:sz w:val="18"/>
        </w:rPr>
        <w:t xml:space="preserve">[V4] </w:t>
      </w:r>
      <w:r>
        <w:rPr>
          <w:rFonts w:ascii="Calibri" w:hAnsi="Calibri"/>
          <w:b w:val="0"/>
          <w:i w:val="0"/>
          <w:sz w:val="20"/>
        </w:rPr>
        <w:t xml:space="preserve">Saha, Niloy and Shahriar, Nashid and Sulaiman, Muhammad and Limam, Noura and Boutaba, Raouf and Saleh, Aladdin (2025). </w:t>
      </w:r>
      <w:r>
        <w:rPr>
          <w:rFonts w:ascii="Calibri" w:hAnsi="Calibri"/>
          <w:b w:val="0"/>
          <w:i/>
          <w:sz w:val="20"/>
        </w:rPr>
        <w:t xml:space="preserve">Monarch: Monitoring Architecture for 5G and Beyond Network Slices. </w:t>
      </w:r>
      <w:r>
        <w:rPr>
          <w:rFonts w:ascii="Calibri" w:hAnsi="Calibri"/>
          <w:b w:val="0"/>
          <w:i w:val="0"/>
          <w:sz w:val="20"/>
        </w:rPr>
        <w:t xml:space="preserve">IEEE Transactions on Network and Service Management. </w:t>
      </w:r>
      <w:r>
        <w:rPr>
          <w:rFonts w:ascii="Calibri" w:hAnsi="Calibri"/>
          <w:b w:val="0"/>
          <w:i w:val="0"/>
          <w:color w:val="1F3A5F"/>
          <w:sz w:val="20"/>
        </w:rPr>
        <w:t>https://doi.org/10.1109/tnsm.2024.3479246</w:t>
      </w:r>
    </w:p>
    <w:p>
      <w:pPr>
        <w:spacing w:after="80"/>
        <w:ind w:hanging="567" w:left="567"/>
      </w:pPr>
      <w:r>
        <w:rPr>
          <w:rFonts w:ascii="Calibri" w:hAnsi="Calibri"/>
          <w:b/>
          <w:i w:val="0"/>
          <w:sz w:val="20"/>
        </w:rPr>
        <w:t xml:space="preserve">S034.  </w:t>
      </w:r>
      <w:r>
        <w:rPr>
          <w:rFonts w:ascii="Calibri" w:hAnsi="Calibri"/>
          <w:b w:val="0"/>
          <w:i/>
          <w:color w:val="555555"/>
          <w:sz w:val="18"/>
        </w:rPr>
        <w:t xml:space="preserve">[V4] </w:t>
      </w:r>
      <w:r>
        <w:rPr>
          <w:rFonts w:ascii="Calibri" w:hAnsi="Calibri"/>
          <w:b w:val="0"/>
          <w:i w:val="0"/>
          <w:sz w:val="20"/>
        </w:rPr>
        <w:t xml:space="preserve">Nguyen, Minh-Tri and Truong, Hong-Linh (2025). </w:t>
      </w:r>
      <w:r>
        <w:rPr>
          <w:rFonts w:ascii="Calibri" w:hAnsi="Calibri"/>
          <w:b w:val="0"/>
          <w:i/>
          <w:sz w:val="20"/>
        </w:rPr>
        <w:t>On Optimizing Resources for Real-Time End-to-End Machine Learning in</w:t>
        <w:br/>
        <w:t xml:space="preserve">Heterogeneous Edges. </w:t>
      </w:r>
      <w:r>
        <w:rPr>
          <w:rFonts w:ascii="Calibri" w:hAnsi="Calibri"/>
          <w:b w:val="0"/>
          <w:i w:val="0"/>
          <w:sz w:val="20"/>
        </w:rPr>
        <w:t xml:space="preserve">SOFTWARE-PRACTICE \&amp; EXPERIENCE. </w:t>
      </w:r>
      <w:r>
        <w:rPr>
          <w:rFonts w:ascii="Calibri" w:hAnsi="Calibri"/>
          <w:b w:val="0"/>
          <w:i w:val="0"/>
          <w:color w:val="1F3A5F"/>
          <w:sz w:val="20"/>
        </w:rPr>
        <w:t>https://doi.org/10.1002/spe.3383</w:t>
      </w:r>
    </w:p>
    <w:p>
      <w:pPr>
        <w:spacing w:after="80"/>
        <w:ind w:hanging="567" w:left="567"/>
      </w:pPr>
      <w:r>
        <w:rPr>
          <w:rFonts w:ascii="Calibri" w:hAnsi="Calibri"/>
          <w:b/>
          <w:i w:val="0"/>
          <w:sz w:val="20"/>
        </w:rPr>
        <w:t xml:space="preserve">S035.  </w:t>
      </w:r>
      <w:r>
        <w:rPr>
          <w:rFonts w:ascii="Calibri" w:hAnsi="Calibri"/>
          <w:b w:val="0"/>
          <w:i/>
          <w:color w:val="555555"/>
          <w:sz w:val="18"/>
        </w:rPr>
        <w:t xml:space="preserve">[V4] </w:t>
      </w:r>
      <w:r>
        <w:rPr>
          <w:rFonts w:ascii="Calibri" w:hAnsi="Calibri"/>
          <w:b w:val="0"/>
          <w:i w:val="0"/>
          <w:sz w:val="20"/>
        </w:rPr>
        <w:t xml:space="preserve">Mouna, Aouag and Qamar, Djazi (2025). </w:t>
      </w:r>
      <w:r>
        <w:rPr>
          <w:rFonts w:ascii="Calibri" w:hAnsi="Calibri"/>
          <w:b w:val="0"/>
          <w:i/>
          <w:sz w:val="20"/>
        </w:rPr>
        <w:t xml:space="preserve">Petri Nets and Deep Petri Nets for Simulation, Modeling and Analysis of Complex Systems. </w:t>
      </w:r>
      <w:r>
        <w:rPr>
          <w:rFonts w:ascii="Calibri" w:hAnsi="Calibri"/>
          <w:b w:val="0"/>
          <w:i w:val="0"/>
          <w:sz w:val="20"/>
        </w:rPr>
        <w:t xml:space="preserve">International Journal of Advances in Soft Computing and its Applications. </w:t>
      </w:r>
      <w:r>
        <w:rPr>
          <w:rFonts w:ascii="Calibri" w:hAnsi="Calibri"/>
          <w:b w:val="0"/>
          <w:i w:val="0"/>
          <w:color w:val="1F3A5F"/>
          <w:sz w:val="20"/>
        </w:rPr>
        <w:t>https://doi.org/10.15849/ijasca.251130.09</w:t>
      </w:r>
    </w:p>
    <w:p>
      <w:pPr>
        <w:spacing w:after="80"/>
        <w:ind w:hanging="567" w:left="567"/>
      </w:pPr>
      <w:r>
        <w:rPr>
          <w:rFonts w:ascii="Calibri" w:hAnsi="Calibri"/>
          <w:b/>
          <w:i w:val="0"/>
          <w:sz w:val="20"/>
        </w:rPr>
        <w:t xml:space="preserve">S036.  </w:t>
      </w:r>
      <w:r>
        <w:rPr>
          <w:rFonts w:ascii="Calibri" w:hAnsi="Calibri"/>
          <w:b w:val="0"/>
          <w:i/>
          <w:color w:val="555555"/>
          <w:sz w:val="18"/>
        </w:rPr>
        <w:t xml:space="preserve">[V4] </w:t>
      </w:r>
      <w:r>
        <w:rPr>
          <w:rFonts w:ascii="Calibri" w:hAnsi="Calibri"/>
          <w:b w:val="0"/>
          <w:i w:val="0"/>
          <w:sz w:val="20"/>
        </w:rPr>
        <w:t xml:space="preserve">Gao, Fengxi (2025). </w:t>
      </w:r>
      <w:r>
        <w:rPr>
          <w:rFonts w:ascii="Calibri" w:hAnsi="Calibri"/>
          <w:b w:val="0"/>
          <w:i/>
          <w:sz w:val="20"/>
        </w:rPr>
        <w:t xml:space="preserve">Research on Key Technologies for Multi-Agent Collaborative Optimization in Project Feasibility Study Review Based on Large Model Driven Approach. </w:t>
      </w:r>
      <w:r>
        <w:rPr>
          <w:rFonts w:ascii="Calibri" w:hAnsi="Calibri"/>
          <w:b w:val="0"/>
          <w:i w:val="0"/>
          <w:sz w:val="20"/>
        </w:rPr>
        <w:t xml:space="preserve">Proceedings of the 2025 2nd International Conference on Virtual Reality, Image and Signal Processing. </w:t>
      </w:r>
      <w:r>
        <w:rPr>
          <w:rFonts w:ascii="Calibri" w:hAnsi="Calibri"/>
          <w:b w:val="0"/>
          <w:i w:val="0"/>
          <w:color w:val="1F3A5F"/>
          <w:sz w:val="20"/>
        </w:rPr>
        <w:t>https://doi.org/10.1145/3772128.3772136</w:t>
      </w:r>
    </w:p>
    <w:p>
      <w:pPr>
        <w:spacing w:after="80"/>
        <w:ind w:hanging="567" w:left="567"/>
      </w:pPr>
      <w:r>
        <w:rPr>
          <w:rFonts w:ascii="Calibri" w:hAnsi="Calibri"/>
          <w:b/>
          <w:i w:val="0"/>
          <w:sz w:val="20"/>
        </w:rPr>
        <w:t xml:space="preserve">S037.  </w:t>
      </w:r>
      <w:r>
        <w:rPr>
          <w:rFonts w:ascii="Calibri" w:hAnsi="Calibri"/>
          <w:b w:val="0"/>
          <w:i/>
          <w:color w:val="555555"/>
          <w:sz w:val="18"/>
        </w:rPr>
        <w:t xml:space="preserve">[Snowball] </w:t>
      </w:r>
      <w:r>
        <w:rPr>
          <w:rFonts w:ascii="Calibri" w:hAnsi="Calibri"/>
          <w:b w:val="0"/>
          <w:i w:val="0"/>
          <w:sz w:val="20"/>
        </w:rPr>
        <w:t xml:space="preserve">(2025). </w:t>
      </w:r>
      <w:r>
        <w:rPr>
          <w:rFonts w:ascii="Calibri" w:hAnsi="Calibri"/>
          <w:b w:val="0"/>
          <w:i/>
          <w:sz w:val="20"/>
        </w:rPr>
        <w:t xml:space="preserve">Rethinking Java Performance Analysis. </w:t>
      </w:r>
      <w:r>
        <w:rPr>
          <w:rFonts w:ascii="Calibri" w:hAnsi="Calibri"/>
          <w:b w:val="0"/>
          <w:i w:val="0"/>
          <w:sz w:val="20"/>
        </w:rPr>
        <w:t xml:space="preserve">Proceedings of the 30th ACM International Conference on Architectural Support for Programming Languages and Operating Systems, Volume 1. </w:t>
      </w:r>
      <w:r>
        <w:rPr>
          <w:rFonts w:ascii="Calibri" w:hAnsi="Calibri"/>
          <w:b w:val="0"/>
          <w:i w:val="0"/>
          <w:color w:val="1F3A5F"/>
          <w:sz w:val="20"/>
        </w:rPr>
        <w:t>https://doi.org/10.1145/3669940.3707217</w:t>
      </w:r>
    </w:p>
    <w:p>
      <w:pPr>
        <w:spacing w:after="80"/>
        <w:ind w:hanging="567" w:left="567"/>
      </w:pPr>
      <w:r>
        <w:rPr>
          <w:rFonts w:ascii="Calibri" w:hAnsi="Calibri"/>
          <w:b/>
          <w:i w:val="0"/>
          <w:sz w:val="20"/>
        </w:rPr>
        <w:t xml:space="preserve">S038.  </w:t>
      </w:r>
      <w:r>
        <w:rPr>
          <w:rFonts w:ascii="Calibri" w:hAnsi="Calibri"/>
          <w:b w:val="0"/>
          <w:i/>
          <w:color w:val="555555"/>
          <w:sz w:val="18"/>
        </w:rPr>
        <w:t xml:space="preserve">[V4] </w:t>
      </w:r>
      <w:r>
        <w:rPr>
          <w:rFonts w:ascii="Calibri" w:hAnsi="Calibri"/>
          <w:b w:val="0"/>
          <w:i w:val="0"/>
          <w:sz w:val="20"/>
        </w:rPr>
        <w:t xml:space="preserve">Zhang, Xiao and Wang, Qi and Li, Mingyi and Yuan, Yuan and Xiao, Mengbai and Zhuang, Fuzhen and Yu, Dongxiao (2025). </w:t>
      </w:r>
      <w:r>
        <w:rPr>
          <w:rFonts w:ascii="Calibri" w:hAnsi="Calibri"/>
          <w:b w:val="0"/>
          <w:i/>
          <w:sz w:val="20"/>
        </w:rPr>
        <w:t xml:space="preserve">TAMO:Fine-Grained Root Cause Analysis via Tool-Assisted LLM Agent With Multi-Modality Observation Data in Cloud-Native Systems. </w:t>
      </w:r>
      <w:r>
        <w:rPr>
          <w:rFonts w:ascii="Calibri" w:hAnsi="Calibri"/>
          <w:b w:val="0"/>
          <w:i w:val="0"/>
          <w:sz w:val="20"/>
        </w:rPr>
        <w:t xml:space="preserve">IEEE Transactions on Services Computing. </w:t>
      </w:r>
      <w:r>
        <w:rPr>
          <w:rFonts w:ascii="Calibri" w:hAnsi="Calibri"/>
          <w:b w:val="0"/>
          <w:i w:val="0"/>
          <w:color w:val="1F3A5F"/>
          <w:sz w:val="20"/>
        </w:rPr>
        <w:t>https://doi.org/10.1109/tsc.2025.3629066</w:t>
      </w:r>
    </w:p>
    <w:p>
      <w:pPr>
        <w:spacing w:after="80"/>
        <w:ind w:hanging="567" w:left="567"/>
      </w:pPr>
      <w:r>
        <w:rPr>
          <w:rFonts w:ascii="Calibri" w:hAnsi="Calibri"/>
          <w:b/>
          <w:i w:val="0"/>
          <w:sz w:val="20"/>
        </w:rPr>
        <w:t xml:space="preserve">S039.  </w:t>
      </w:r>
      <w:r>
        <w:rPr>
          <w:rFonts w:ascii="Calibri" w:hAnsi="Calibri"/>
          <w:b w:val="0"/>
          <w:i/>
          <w:color w:val="555555"/>
          <w:sz w:val="18"/>
        </w:rPr>
        <w:t xml:space="preserve">[Snowball] </w:t>
      </w:r>
      <w:r>
        <w:rPr>
          <w:rFonts w:ascii="Calibri" w:hAnsi="Calibri"/>
          <w:b w:val="0"/>
          <w:i w:val="0"/>
          <w:sz w:val="20"/>
        </w:rPr>
        <w:t xml:space="preserve">Shahedi, Kaveh and Li, Heng and Lamothe, Maxime and Khomh, Foutse (2025). </w:t>
      </w:r>
      <w:r>
        <w:rPr>
          <w:rFonts w:ascii="Calibri" w:hAnsi="Calibri"/>
          <w:b w:val="0"/>
          <w:i/>
          <w:sz w:val="20"/>
        </w:rPr>
        <w:t xml:space="preserve">Tracing Optimization for Performance Modeling and Regression Detection. </w:t>
      </w:r>
      <w:r>
        <w:rPr>
          <w:rFonts w:ascii="Calibri" w:hAnsi="Calibri"/>
          <w:b w:val="0"/>
          <w:i w:val="0"/>
          <w:sz w:val="20"/>
        </w:rPr>
        <w:t xml:space="preserve">ACM Transactions on Software Engineering and Methodology. </w:t>
      </w:r>
    </w:p>
    <w:p>
      <w:pPr>
        <w:spacing w:after="80"/>
        <w:ind w:hanging="567" w:left="567"/>
      </w:pPr>
      <w:r>
        <w:rPr>
          <w:rFonts w:ascii="Calibri" w:hAnsi="Calibri"/>
          <w:b/>
          <w:i w:val="0"/>
          <w:sz w:val="20"/>
        </w:rPr>
        <w:t xml:space="preserve">S040.  </w:t>
      </w:r>
      <w:r>
        <w:rPr>
          <w:rFonts w:ascii="Calibri" w:hAnsi="Calibri"/>
          <w:b w:val="0"/>
          <w:i/>
          <w:color w:val="555555"/>
          <w:sz w:val="18"/>
        </w:rPr>
        <w:t xml:space="preserve">[Snowball] </w:t>
      </w:r>
      <w:r>
        <w:rPr>
          <w:rFonts w:ascii="Calibri" w:hAnsi="Calibri"/>
          <w:b w:val="0"/>
          <w:i w:val="0"/>
          <w:sz w:val="20"/>
        </w:rPr>
        <w:t xml:space="preserve">(2025). </w:t>
      </w:r>
      <w:r>
        <w:rPr>
          <w:rFonts w:ascii="Calibri" w:hAnsi="Calibri"/>
          <w:b w:val="0"/>
          <w:i/>
          <w:sz w:val="20"/>
        </w:rPr>
        <w:t xml:space="preserve">XBoot: A RAPID and Instructional Low-Code Generator for Spring Boot Applications. </w:t>
      </w:r>
      <w:r>
        <w:rPr>
          <w:rFonts w:ascii="Calibri" w:hAnsi="Calibri"/>
          <w:b w:val="0"/>
          <w:i w:val="0"/>
          <w:sz w:val="20"/>
        </w:rPr>
        <w:t xml:space="preserve">Applied sciences. </w:t>
      </w:r>
    </w:p>
    <w:p>
      <w:pPr>
        <w:spacing w:after="80"/>
        <w:ind w:hanging="567" w:left="567"/>
      </w:pPr>
      <w:r>
        <w:rPr>
          <w:rFonts w:ascii="Calibri" w:hAnsi="Calibri"/>
          <w:b/>
          <w:i w:val="0"/>
          <w:sz w:val="20"/>
        </w:rPr>
        <w:t xml:space="preserve">S041.  </w:t>
      </w:r>
      <w:r>
        <w:rPr>
          <w:rFonts w:ascii="Calibri" w:hAnsi="Calibri"/>
          <w:b w:val="0"/>
          <w:i/>
          <w:color w:val="555555"/>
          <w:sz w:val="18"/>
        </w:rPr>
        <w:t xml:space="preserve">[V4] </w:t>
      </w:r>
      <w:r>
        <w:rPr>
          <w:rFonts w:ascii="Calibri" w:hAnsi="Calibri"/>
          <w:b w:val="0"/>
          <w:i w:val="0"/>
          <w:sz w:val="20"/>
        </w:rPr>
        <w:t xml:space="preserve">Garcia, Rémi and Modesti, Paolo (2024). </w:t>
      </w:r>
      <w:r>
        <w:rPr>
          <w:rFonts w:ascii="Calibri" w:hAnsi="Calibri"/>
          <w:b w:val="0"/>
          <w:i/>
          <w:sz w:val="20"/>
        </w:rPr>
        <w:t xml:space="preserve">A Practical Approach to Formal Methods: An Eclipse Integrated Development Environment (IDE) for Security Protocols. </w:t>
      </w:r>
      <w:r>
        <w:rPr>
          <w:rFonts w:ascii="Calibri" w:hAnsi="Calibri"/>
          <w:b w:val="0"/>
          <w:i w:val="0"/>
          <w:sz w:val="20"/>
        </w:rPr>
        <w:t xml:space="preserve">Electronics (Switzerland). </w:t>
      </w:r>
      <w:r>
        <w:rPr>
          <w:rFonts w:ascii="Calibri" w:hAnsi="Calibri"/>
          <w:b w:val="0"/>
          <w:i w:val="0"/>
          <w:color w:val="1F3A5F"/>
          <w:sz w:val="20"/>
        </w:rPr>
        <w:t>https://doi.org/10.3390/electronics13234660</w:t>
      </w:r>
    </w:p>
    <w:p>
      <w:pPr>
        <w:spacing w:after="80"/>
        <w:ind w:hanging="567" w:left="567"/>
      </w:pPr>
      <w:r>
        <w:rPr>
          <w:rFonts w:ascii="Calibri" w:hAnsi="Calibri"/>
          <w:b/>
          <w:i w:val="0"/>
          <w:sz w:val="20"/>
        </w:rPr>
        <w:t xml:space="preserve">S042.  </w:t>
      </w:r>
      <w:r>
        <w:rPr>
          <w:rFonts w:ascii="Calibri" w:hAnsi="Calibri"/>
          <w:b w:val="0"/>
          <w:i/>
          <w:color w:val="555555"/>
          <w:sz w:val="18"/>
        </w:rPr>
        <w:t xml:space="preserve">[Snowball] </w:t>
      </w:r>
      <w:r>
        <w:rPr>
          <w:rFonts w:ascii="Calibri" w:hAnsi="Calibri"/>
          <w:b w:val="0"/>
          <w:i w:val="0"/>
          <w:sz w:val="20"/>
        </w:rPr>
        <w:t xml:space="preserve">(2024). </w:t>
      </w:r>
      <w:r>
        <w:rPr>
          <w:rFonts w:ascii="Calibri" w:hAnsi="Calibri"/>
          <w:b w:val="0"/>
          <w:i/>
          <w:sz w:val="20"/>
        </w:rPr>
        <w:t xml:space="preserve">APIstic: A Large Collection of OpenAPI Metrics. </w:t>
      </w:r>
      <w:r>
        <w:rPr>
          <w:rFonts w:ascii="Calibri" w:hAnsi="Calibri"/>
          <w:b w:val="0"/>
          <w:i w:val="0"/>
          <w:sz w:val="20"/>
        </w:rPr>
        <w:t xml:space="preserve">Proceedings of the 21st International Conference on Mining Software Repositories. </w:t>
      </w:r>
      <w:r>
        <w:rPr>
          <w:rFonts w:ascii="Calibri" w:hAnsi="Calibri"/>
          <w:b w:val="0"/>
          <w:i w:val="0"/>
          <w:color w:val="1F3A5F"/>
          <w:sz w:val="20"/>
        </w:rPr>
        <w:t>https://doi.org/10.1145/3643991.3644932</w:t>
      </w:r>
    </w:p>
    <w:p>
      <w:pPr>
        <w:spacing w:after="80"/>
        <w:ind w:hanging="567" w:left="567"/>
      </w:pPr>
      <w:r>
        <w:rPr>
          <w:rFonts w:ascii="Calibri" w:hAnsi="Calibri"/>
          <w:b/>
          <w:i w:val="0"/>
          <w:sz w:val="20"/>
        </w:rPr>
        <w:t xml:space="preserve">S043.  </w:t>
      </w:r>
      <w:r>
        <w:rPr>
          <w:rFonts w:ascii="Calibri" w:hAnsi="Calibri"/>
          <w:b w:val="0"/>
          <w:i/>
          <w:color w:val="555555"/>
          <w:sz w:val="18"/>
        </w:rPr>
        <w:t xml:space="preserve">[Snowball] </w:t>
      </w:r>
      <w:r>
        <w:rPr>
          <w:rFonts w:ascii="Calibri" w:hAnsi="Calibri"/>
          <w:b w:val="0"/>
          <w:i w:val="0"/>
          <w:sz w:val="20"/>
        </w:rPr>
        <w:t xml:space="preserve">(2024). </w:t>
      </w:r>
      <w:r>
        <w:rPr>
          <w:rFonts w:ascii="Calibri" w:hAnsi="Calibri"/>
          <w:b w:val="0"/>
          <w:i/>
          <w:sz w:val="20"/>
        </w:rPr>
        <w:t xml:space="preserve">Creating and Validating a Ground Truth Dataset of Unified Modeling Language Diagrams Using Deep Learning Techniques. </w:t>
      </w:r>
      <w:r>
        <w:rPr>
          <w:rFonts w:ascii="Calibri" w:hAnsi="Calibri"/>
          <w:b w:val="0"/>
          <w:i w:val="0"/>
          <w:sz w:val="20"/>
        </w:rPr>
        <w:t xml:space="preserve">Applied sciences. </w:t>
      </w:r>
    </w:p>
    <w:p>
      <w:pPr>
        <w:spacing w:after="80"/>
        <w:ind w:hanging="567" w:left="567"/>
      </w:pPr>
      <w:r>
        <w:rPr>
          <w:rFonts w:ascii="Calibri" w:hAnsi="Calibri"/>
          <w:b/>
          <w:i w:val="0"/>
          <w:sz w:val="20"/>
        </w:rPr>
        <w:t xml:space="preserve">S044.  </w:t>
      </w:r>
      <w:r>
        <w:rPr>
          <w:rFonts w:ascii="Calibri" w:hAnsi="Calibri"/>
          <w:b w:val="0"/>
          <w:i/>
          <w:color w:val="555555"/>
          <w:sz w:val="18"/>
        </w:rPr>
        <w:t xml:space="preserve">[Snowball] </w:t>
      </w:r>
      <w:r>
        <w:rPr>
          <w:rFonts w:ascii="Calibri" w:hAnsi="Calibri"/>
          <w:b w:val="0"/>
          <w:i w:val="0"/>
          <w:sz w:val="20"/>
        </w:rPr>
        <w:t xml:space="preserve">(2024). </w:t>
      </w:r>
      <w:r>
        <w:rPr>
          <w:rFonts w:ascii="Calibri" w:hAnsi="Calibri"/>
          <w:b w:val="0"/>
          <w:i/>
          <w:sz w:val="20"/>
        </w:rPr>
        <w:t xml:space="preserve">DeepFlow: A Cross-Stack Pathfinding Framework for Distributed AI Systems. </w:t>
      </w:r>
      <w:r>
        <w:rPr>
          <w:rFonts w:ascii="Calibri" w:hAnsi="Calibri"/>
          <w:b w:val="0"/>
          <w:i w:val="0"/>
          <w:sz w:val="20"/>
        </w:rPr>
        <w:t xml:space="preserve">ACM Trans. Des. Autom. Electron. Syst.. </w:t>
      </w:r>
      <w:r>
        <w:rPr>
          <w:rFonts w:ascii="Calibri" w:hAnsi="Calibri"/>
          <w:b w:val="0"/>
          <w:i w:val="0"/>
          <w:color w:val="1F3A5F"/>
          <w:sz w:val="20"/>
        </w:rPr>
        <w:t>https://doi.org/10.1145/3635867</w:t>
      </w:r>
    </w:p>
    <w:p>
      <w:pPr>
        <w:spacing w:after="80"/>
        <w:ind w:hanging="567" w:left="567"/>
      </w:pPr>
      <w:r>
        <w:rPr>
          <w:rFonts w:ascii="Calibri" w:hAnsi="Calibri"/>
          <w:b/>
          <w:i w:val="0"/>
          <w:sz w:val="20"/>
        </w:rPr>
        <w:t xml:space="preserve">S045.  </w:t>
      </w:r>
      <w:r>
        <w:rPr>
          <w:rFonts w:ascii="Calibri" w:hAnsi="Calibri"/>
          <w:b w:val="0"/>
          <w:i/>
          <w:color w:val="555555"/>
          <w:sz w:val="18"/>
        </w:rPr>
        <w:t xml:space="preserve">[V4] </w:t>
      </w:r>
      <w:r>
        <w:rPr>
          <w:rFonts w:ascii="Calibri" w:hAnsi="Calibri"/>
          <w:b w:val="0"/>
          <w:i w:val="0"/>
          <w:sz w:val="20"/>
        </w:rPr>
        <w:t xml:space="preserve">Noetzold, Darlan and Rossetto, Anubis G. D. M. and Leithardt, Valderi R. Q. and Costa, Humberto J. de M. (2024). </w:t>
      </w:r>
      <w:r>
        <w:rPr>
          <w:rFonts w:ascii="Calibri" w:hAnsi="Calibri"/>
          <w:b w:val="0"/>
          <w:i/>
          <w:sz w:val="20"/>
        </w:rPr>
        <w:t>Enhancing Infrastructure Observability: Machine Learning for Proactive</w:t>
        <w:br/>
        <w:t xml:space="preserve">Monitoring and Anomaly Detection. </w:t>
      </w:r>
      <w:r>
        <w:rPr>
          <w:rFonts w:ascii="Calibri" w:hAnsi="Calibri"/>
          <w:b w:val="0"/>
          <w:i w:val="0"/>
          <w:sz w:val="20"/>
        </w:rPr>
        <w:t xml:space="preserve">JOURNAL OF INTERNET SERVICES AND APPLICATIONS. </w:t>
      </w:r>
      <w:r>
        <w:rPr>
          <w:rFonts w:ascii="Calibri" w:hAnsi="Calibri"/>
          <w:b w:val="0"/>
          <w:i w:val="0"/>
          <w:color w:val="1F3A5F"/>
          <w:sz w:val="20"/>
        </w:rPr>
        <w:t>https://doi.org/10.5753/jisa.2024.4509</w:t>
      </w:r>
    </w:p>
    <w:p>
      <w:pPr>
        <w:spacing w:after="80"/>
        <w:ind w:hanging="567" w:left="567"/>
      </w:pPr>
      <w:r>
        <w:rPr>
          <w:rFonts w:ascii="Calibri" w:hAnsi="Calibri"/>
          <w:b/>
          <w:i w:val="0"/>
          <w:sz w:val="20"/>
        </w:rPr>
        <w:t xml:space="preserve">S046.  </w:t>
      </w:r>
      <w:r>
        <w:rPr>
          <w:rFonts w:ascii="Calibri" w:hAnsi="Calibri"/>
          <w:b/>
          <w:i w:val="0"/>
          <w:color w:val="D97B29"/>
          <w:sz w:val="20"/>
        </w:rPr>
        <w:t xml:space="preserve">★ </w:t>
      </w:r>
      <w:r>
        <w:rPr>
          <w:rFonts w:ascii="Calibri" w:hAnsi="Calibri"/>
          <w:b w:val="0"/>
          <w:i/>
          <w:color w:val="555555"/>
          <w:sz w:val="18"/>
        </w:rPr>
        <w:t xml:space="preserve">[V4] </w:t>
      </w:r>
      <w:r>
        <w:rPr>
          <w:rFonts w:ascii="Calibri" w:hAnsi="Calibri"/>
          <w:b w:val="0"/>
          <w:i w:val="0"/>
          <w:sz w:val="20"/>
        </w:rPr>
        <w:t xml:space="preserve">Park, Jinwoo and Choi, Byungkwon and Lee, Chunghan and Han, Dongsu (2024). </w:t>
      </w:r>
      <w:r>
        <w:rPr>
          <w:rFonts w:ascii="Calibri" w:hAnsi="Calibri"/>
          <w:b w:val="0"/>
          <w:i/>
          <w:sz w:val="20"/>
        </w:rPr>
        <w:t xml:space="preserve">Graph Neural Network-Based SLO-Aware Proactive Resource Autoscaling Framework for Microservices. </w:t>
      </w:r>
      <w:r>
        <w:rPr>
          <w:rFonts w:ascii="Calibri" w:hAnsi="Calibri"/>
          <w:b w:val="0"/>
          <w:i w:val="0"/>
          <w:sz w:val="20"/>
        </w:rPr>
        <w:t xml:space="preserve">IEEE/ACM Trans. Netw.. </w:t>
      </w:r>
      <w:r>
        <w:rPr>
          <w:rFonts w:ascii="Calibri" w:hAnsi="Calibri"/>
          <w:b w:val="0"/>
          <w:i w:val="0"/>
          <w:color w:val="1F3A5F"/>
          <w:sz w:val="20"/>
        </w:rPr>
        <w:t>https://doi.org/10.1109/tnet.2024.3393427</w:t>
      </w:r>
    </w:p>
    <w:p>
      <w:pPr>
        <w:spacing w:after="80"/>
        <w:ind w:hanging="567" w:left="567"/>
      </w:pPr>
      <w:r>
        <w:rPr>
          <w:rFonts w:ascii="Calibri" w:hAnsi="Calibri"/>
          <w:b/>
          <w:i w:val="0"/>
          <w:sz w:val="20"/>
        </w:rPr>
        <w:t xml:space="preserve">S047.  </w:t>
      </w:r>
      <w:r>
        <w:rPr>
          <w:rFonts w:ascii="Calibri" w:hAnsi="Calibri"/>
          <w:b w:val="0"/>
          <w:i/>
          <w:color w:val="555555"/>
          <w:sz w:val="18"/>
        </w:rPr>
        <w:t xml:space="preserve">[V4] </w:t>
      </w:r>
      <w:r>
        <w:rPr>
          <w:rFonts w:ascii="Calibri" w:hAnsi="Calibri"/>
          <w:b w:val="0"/>
          <w:i w:val="0"/>
          <w:sz w:val="20"/>
        </w:rPr>
        <w:t xml:space="preserve">Zhou, Hanlin and Yong, Chan Huah (2024). </w:t>
      </w:r>
      <w:r>
        <w:rPr>
          <w:rFonts w:ascii="Calibri" w:hAnsi="Calibri"/>
          <w:b w:val="0"/>
          <w:i/>
          <w:sz w:val="20"/>
        </w:rPr>
        <w:t xml:space="preserve">Implement HPA for Nginx Service Using Custom Metrics Under Kubernetes Framework. </w:t>
      </w:r>
      <w:r>
        <w:rPr>
          <w:rFonts w:ascii="Calibri" w:hAnsi="Calibri"/>
          <w:b w:val="0"/>
          <w:i w:val="0"/>
          <w:sz w:val="20"/>
        </w:rPr>
        <w:t xml:space="preserve">IEEE ACCESS. </w:t>
      </w:r>
      <w:r>
        <w:rPr>
          <w:rFonts w:ascii="Calibri" w:hAnsi="Calibri"/>
          <w:b w:val="0"/>
          <w:i w:val="0"/>
          <w:color w:val="1F3A5F"/>
          <w:sz w:val="20"/>
        </w:rPr>
        <w:t>https://doi.org/10.1109/access.2024.3509876</w:t>
      </w:r>
    </w:p>
    <w:p>
      <w:pPr>
        <w:spacing w:after="80"/>
        <w:ind w:hanging="567" w:left="567"/>
      </w:pPr>
      <w:r>
        <w:rPr>
          <w:rFonts w:ascii="Calibri" w:hAnsi="Calibri"/>
          <w:b/>
          <w:i w:val="0"/>
          <w:sz w:val="20"/>
        </w:rPr>
        <w:t xml:space="preserve">S048.  </w:t>
      </w:r>
      <w:r>
        <w:rPr>
          <w:rFonts w:ascii="Calibri" w:hAnsi="Calibri"/>
          <w:b w:val="0"/>
          <w:i/>
          <w:color w:val="555555"/>
          <w:sz w:val="18"/>
        </w:rPr>
        <w:t xml:space="preserve">[V4] </w:t>
      </w:r>
      <w:r>
        <w:rPr>
          <w:rFonts w:ascii="Calibri" w:hAnsi="Calibri"/>
          <w:b w:val="0"/>
          <w:i w:val="0"/>
          <w:sz w:val="20"/>
        </w:rPr>
        <w:t xml:space="preserve">Liu, Xu and Liu, Yuewen and Wei, Miaomiao and Xu, Peng (2024). </w:t>
      </w:r>
      <w:r>
        <w:rPr>
          <w:rFonts w:ascii="Calibri" w:hAnsi="Calibri"/>
          <w:b w:val="0"/>
          <w:i/>
          <w:sz w:val="20"/>
        </w:rPr>
        <w:t xml:space="preserve">LMGD: Log-Metric Combined Microservice Anomaly Detection Through Graph-Based Deep Learning. </w:t>
      </w:r>
      <w:r>
        <w:rPr>
          <w:rFonts w:ascii="Calibri" w:hAnsi="Calibri"/>
          <w:b w:val="0"/>
          <w:i w:val="0"/>
          <w:sz w:val="20"/>
        </w:rPr>
        <w:t xml:space="preserve">IEEE Access. </w:t>
      </w:r>
      <w:r>
        <w:rPr>
          <w:rFonts w:ascii="Calibri" w:hAnsi="Calibri"/>
          <w:b w:val="0"/>
          <w:i w:val="0"/>
          <w:color w:val="1F3A5F"/>
          <w:sz w:val="20"/>
        </w:rPr>
        <w:t>https://doi.org/10.1109/access.2024.3481676</w:t>
      </w:r>
    </w:p>
    <w:p>
      <w:pPr>
        <w:spacing w:after="80"/>
        <w:ind w:hanging="567" w:left="567"/>
      </w:pPr>
      <w:r>
        <w:rPr>
          <w:rFonts w:ascii="Calibri" w:hAnsi="Calibri"/>
          <w:b/>
          <w:i w:val="0"/>
          <w:sz w:val="20"/>
        </w:rPr>
        <w:t xml:space="preserve">S049.  </w:t>
      </w:r>
      <w:r>
        <w:rPr>
          <w:rFonts w:ascii="Calibri" w:hAnsi="Calibri"/>
          <w:b w:val="0"/>
          <w:i/>
          <w:color w:val="555555"/>
          <w:sz w:val="18"/>
        </w:rPr>
        <w:t xml:space="preserve">[V4] </w:t>
      </w:r>
      <w:r>
        <w:rPr>
          <w:rFonts w:ascii="Calibri" w:hAnsi="Calibri"/>
          <w:b w:val="0"/>
          <w:i w:val="0"/>
          <w:sz w:val="20"/>
        </w:rPr>
        <w:t xml:space="preserve">Chowdhury, Rasel and Talhi, Chamseddine and Ould-Slimane, Hakima and Mourad, Azzam (2024). </w:t>
      </w:r>
      <w:r>
        <w:rPr>
          <w:rFonts w:ascii="Calibri" w:hAnsi="Calibri"/>
          <w:b w:val="0"/>
          <w:i/>
          <w:sz w:val="20"/>
        </w:rPr>
        <w:t xml:space="preserve">Proactive and Intelligent Monitoring and Orchestration of Cloud-Native IP Multimedia Subsystem. </w:t>
      </w:r>
      <w:r>
        <w:rPr>
          <w:rFonts w:ascii="Calibri" w:hAnsi="Calibri"/>
          <w:b w:val="0"/>
          <w:i w:val="0"/>
          <w:sz w:val="20"/>
        </w:rPr>
        <w:t xml:space="preserve">IEEE OPEN JOURNAL OF THE COMMUNICATIONS SOCIETY. </w:t>
      </w:r>
      <w:r>
        <w:rPr>
          <w:rFonts w:ascii="Calibri" w:hAnsi="Calibri"/>
          <w:b w:val="0"/>
          <w:i w:val="0"/>
          <w:color w:val="1F3A5F"/>
          <w:sz w:val="20"/>
        </w:rPr>
        <w:t>https://doi.org/10.1109/ojcoms.2023.3341002</w:t>
      </w:r>
    </w:p>
    <w:p>
      <w:pPr>
        <w:spacing w:after="80"/>
        <w:ind w:hanging="567" w:left="567"/>
      </w:pPr>
      <w:r>
        <w:rPr>
          <w:rFonts w:ascii="Calibri" w:hAnsi="Calibri"/>
          <w:b/>
          <w:i w:val="0"/>
          <w:sz w:val="20"/>
        </w:rPr>
        <w:t xml:space="preserve">S050.  </w:t>
      </w:r>
      <w:r>
        <w:rPr>
          <w:rFonts w:ascii="Calibri" w:hAnsi="Calibri"/>
          <w:b w:val="0"/>
          <w:i/>
          <w:color w:val="555555"/>
          <w:sz w:val="18"/>
        </w:rPr>
        <w:t xml:space="preserve">[V4] </w:t>
      </w:r>
      <w:r>
        <w:rPr>
          <w:rFonts w:ascii="Calibri" w:hAnsi="Calibri"/>
          <w:b w:val="0"/>
          <w:i w:val="0"/>
          <w:sz w:val="20"/>
        </w:rPr>
        <w:t xml:space="preserve">Marques, Goncalo and Senna, Carlos and Sargento, Susana and Carvalho, Luis and Pereira, Luis and Matos, Ricardo (2024). </w:t>
      </w:r>
      <w:r>
        <w:rPr>
          <w:rFonts w:ascii="Calibri" w:hAnsi="Calibri"/>
          <w:b w:val="0"/>
          <w:i/>
          <w:sz w:val="20"/>
        </w:rPr>
        <w:t xml:space="preserve">Proactive resource management for cloud of services environments. </w:t>
      </w:r>
      <w:r>
        <w:rPr>
          <w:rFonts w:ascii="Calibri" w:hAnsi="Calibri"/>
          <w:b w:val="0"/>
          <w:i w:val="0"/>
          <w:sz w:val="20"/>
        </w:rPr>
        <w:t xml:space="preserve">FUTURE GENERATION COMPUTER SYSTEMS-THE INTERNATIONAL JOURNAL OF ESCIENCE. </w:t>
      </w:r>
      <w:r>
        <w:rPr>
          <w:rFonts w:ascii="Calibri" w:hAnsi="Calibri"/>
          <w:b w:val="0"/>
          <w:i w:val="0"/>
          <w:color w:val="1F3A5F"/>
          <w:sz w:val="20"/>
        </w:rPr>
        <w:t>https://doi.org/10.1016/j.future.2023.08.005</w:t>
      </w:r>
    </w:p>
    <w:p>
      <w:pPr>
        <w:spacing w:after="80"/>
        <w:ind w:hanging="567" w:left="567"/>
      </w:pPr>
      <w:r>
        <w:rPr>
          <w:rFonts w:ascii="Calibri" w:hAnsi="Calibri"/>
          <w:b/>
          <w:i w:val="0"/>
          <w:sz w:val="20"/>
        </w:rPr>
        <w:t xml:space="preserve">S051.  </w:t>
      </w:r>
      <w:r>
        <w:rPr>
          <w:rFonts w:ascii="Calibri" w:hAnsi="Calibri"/>
          <w:b w:val="0"/>
          <w:i/>
          <w:color w:val="555555"/>
          <w:sz w:val="18"/>
        </w:rPr>
        <w:t xml:space="preserve">[V4] </w:t>
      </w:r>
      <w:r>
        <w:rPr>
          <w:rFonts w:ascii="Calibri" w:hAnsi="Calibri"/>
          <w:b w:val="0"/>
          <w:i w:val="0"/>
          <w:sz w:val="20"/>
        </w:rPr>
        <w:t xml:space="preserve">Luo, Haoran and Zheng, Yongkun and Chen, Kang and Zhao, Shuo (2024). </w:t>
      </w:r>
      <w:r>
        <w:rPr>
          <w:rFonts w:ascii="Calibri" w:hAnsi="Calibri"/>
          <w:b w:val="0"/>
          <w:i/>
          <w:sz w:val="20"/>
        </w:rPr>
        <w:t xml:space="preserve">Probabilistic Temporal Fusion Transformers for Large-Scale KPI Anomaly Detection. </w:t>
      </w:r>
      <w:r>
        <w:rPr>
          <w:rFonts w:ascii="Calibri" w:hAnsi="Calibri"/>
          <w:b w:val="0"/>
          <w:i w:val="0"/>
          <w:sz w:val="20"/>
        </w:rPr>
        <w:t xml:space="preserve">IEEE Access. </w:t>
      </w:r>
      <w:r>
        <w:rPr>
          <w:rFonts w:ascii="Calibri" w:hAnsi="Calibri"/>
          <w:b w:val="0"/>
          <w:i w:val="0"/>
          <w:color w:val="1F3A5F"/>
          <w:sz w:val="20"/>
        </w:rPr>
        <w:t>https://doi.org/10.1109/access.2024.3353201</w:t>
      </w:r>
    </w:p>
    <w:p>
      <w:pPr>
        <w:spacing w:after="80"/>
        <w:ind w:hanging="567" w:left="567"/>
      </w:pPr>
      <w:r>
        <w:rPr>
          <w:rFonts w:ascii="Calibri" w:hAnsi="Calibri"/>
          <w:b/>
          <w:i w:val="0"/>
          <w:sz w:val="20"/>
        </w:rPr>
        <w:t xml:space="preserve">S052.  </w:t>
      </w:r>
      <w:r>
        <w:rPr>
          <w:rFonts w:ascii="Calibri" w:hAnsi="Calibri"/>
          <w:b w:val="0"/>
          <w:i/>
          <w:color w:val="555555"/>
          <w:sz w:val="18"/>
        </w:rPr>
        <w:t xml:space="preserve">[Snowball] </w:t>
      </w:r>
      <w:r>
        <w:rPr>
          <w:rFonts w:ascii="Calibri" w:hAnsi="Calibri"/>
          <w:b w:val="0"/>
          <w:i w:val="0"/>
          <w:sz w:val="20"/>
        </w:rPr>
        <w:t xml:space="preserve">(2024). </w:t>
      </w:r>
      <w:r>
        <w:rPr>
          <w:rFonts w:ascii="Calibri" w:hAnsi="Calibri"/>
          <w:b w:val="0"/>
          <w:i/>
          <w:sz w:val="20"/>
        </w:rPr>
        <w:t xml:space="preserve">Towards Generating a Dataset for Failure Prediction in Microservices Applications. </w:t>
      </w:r>
      <w:r>
        <w:rPr>
          <w:rFonts w:ascii="Calibri" w:hAnsi="Calibri"/>
          <w:b w:val="0"/>
          <w:i w:val="0"/>
          <w:sz w:val="20"/>
        </w:rPr>
        <w:t xml:space="preserve">Lecture Notes in Computer Science (including subseries Lecture Notes in Artificial Intelligence and Lecture Notes in Bioinformatics). </w:t>
      </w:r>
    </w:p>
    <w:p>
      <w:pPr>
        <w:spacing w:after="80"/>
        <w:ind w:hanging="567" w:left="567"/>
      </w:pPr>
      <w:r>
        <w:rPr>
          <w:rFonts w:ascii="Calibri" w:hAnsi="Calibri"/>
          <w:b/>
          <w:i w:val="0"/>
          <w:sz w:val="20"/>
        </w:rPr>
        <w:t xml:space="preserve">S053.  </w:t>
      </w:r>
      <w:r>
        <w:rPr>
          <w:rFonts w:ascii="Calibri" w:hAnsi="Calibri"/>
          <w:b w:val="0"/>
          <w:i/>
          <w:color w:val="555555"/>
          <w:sz w:val="18"/>
        </w:rPr>
        <w:t xml:space="preserve">[V4] </w:t>
      </w:r>
      <w:r>
        <w:rPr>
          <w:rFonts w:ascii="Calibri" w:hAnsi="Calibri"/>
          <w:b w:val="0"/>
          <w:i w:val="0"/>
          <w:sz w:val="20"/>
        </w:rPr>
        <w:t xml:space="preserve">Liu, Hongyi and Huang, Xiaosong and Jia, Mengxi and Jia, Tong and Han, Jing and Wu, Zhonghai and Li, Ying (2024). </w:t>
      </w:r>
      <w:r>
        <w:rPr>
          <w:rFonts w:ascii="Calibri" w:hAnsi="Calibri"/>
          <w:b w:val="0"/>
          <w:i/>
          <w:sz w:val="20"/>
        </w:rPr>
        <w:t xml:space="preserve">UAC-AD: Unsupervised Adversarial Contrastive Learning for Anomaly Detection on Multi-Modal Data in Microservice Systems. </w:t>
      </w:r>
      <w:r>
        <w:rPr>
          <w:rFonts w:ascii="Calibri" w:hAnsi="Calibri"/>
          <w:b w:val="0"/>
          <w:i w:val="0"/>
          <w:sz w:val="20"/>
        </w:rPr>
        <w:t xml:space="preserve">IEEE Transactions on Services Computing. </w:t>
      </w:r>
      <w:r>
        <w:rPr>
          <w:rFonts w:ascii="Calibri" w:hAnsi="Calibri"/>
          <w:b w:val="0"/>
          <w:i w:val="0"/>
          <w:color w:val="1F3A5F"/>
          <w:sz w:val="20"/>
        </w:rPr>
        <w:t>https://doi.org/10.1109/tsc.2024.3411481</w:t>
      </w:r>
    </w:p>
    <w:p>
      <w:pPr>
        <w:spacing w:after="80"/>
        <w:ind w:hanging="567" w:left="567"/>
      </w:pPr>
      <w:r>
        <w:rPr>
          <w:rFonts w:ascii="Calibri" w:hAnsi="Calibri"/>
          <w:b/>
          <w:i w:val="0"/>
          <w:sz w:val="20"/>
        </w:rPr>
        <w:t xml:space="preserve">S054.  </w:t>
      </w:r>
      <w:r>
        <w:rPr>
          <w:rFonts w:ascii="Calibri" w:hAnsi="Calibri"/>
          <w:b w:val="0"/>
          <w:i/>
          <w:color w:val="555555"/>
          <w:sz w:val="18"/>
        </w:rPr>
        <w:t xml:space="preserve">[V4] </w:t>
      </w:r>
      <w:r>
        <w:rPr>
          <w:rFonts w:ascii="Calibri" w:hAnsi="Calibri"/>
          <w:b w:val="0"/>
          <w:i w:val="0"/>
          <w:sz w:val="20"/>
        </w:rPr>
        <w:t xml:space="preserve">Sooksatra, Korn and Chy, Md Showkat Hossain and Arju, Muhmmad Ashfakur Rahman and Cerny, Tomas and Rivas, Pablo (2024). </w:t>
      </w:r>
      <w:r>
        <w:rPr>
          <w:rFonts w:ascii="Calibri" w:hAnsi="Calibri"/>
          <w:b w:val="0"/>
          <w:i/>
          <w:sz w:val="20"/>
        </w:rPr>
        <w:t xml:space="preserve">Using Static Analysis to Aid Monolith to Microservice System Transformation: Tuning Fuzzy c-Means in a VAE-Based GNN Approach. </w:t>
      </w:r>
      <w:r>
        <w:rPr>
          <w:rFonts w:ascii="Calibri" w:hAnsi="Calibri"/>
          <w:b w:val="0"/>
          <w:i w:val="0"/>
          <w:sz w:val="20"/>
        </w:rPr>
        <w:t xml:space="preserve">Proceedings of the 39th IEEE/ACM International Conference on Automated Software Engineering Workshops. </w:t>
      </w:r>
      <w:r>
        <w:rPr>
          <w:rFonts w:ascii="Calibri" w:hAnsi="Calibri"/>
          <w:b w:val="0"/>
          <w:i w:val="0"/>
          <w:color w:val="1F3A5F"/>
          <w:sz w:val="20"/>
        </w:rPr>
        <w:t>https://doi.org/10.1145/3691621.3694933</w:t>
      </w:r>
    </w:p>
    <w:p>
      <w:pPr>
        <w:spacing w:after="80"/>
        <w:ind w:hanging="567" w:left="567"/>
      </w:pPr>
      <w:r>
        <w:rPr>
          <w:rFonts w:ascii="Calibri" w:hAnsi="Calibri"/>
          <w:b/>
          <w:i w:val="0"/>
          <w:sz w:val="20"/>
        </w:rPr>
        <w:t xml:space="preserve">S055.  </w:t>
      </w:r>
      <w:r>
        <w:rPr>
          <w:rFonts w:ascii="Calibri" w:hAnsi="Calibri"/>
          <w:b w:val="0"/>
          <w:i/>
          <w:color w:val="555555"/>
          <w:sz w:val="18"/>
        </w:rPr>
        <w:t xml:space="preserve">[Snowball] </w:t>
      </w:r>
      <w:r>
        <w:rPr>
          <w:rFonts w:ascii="Calibri" w:hAnsi="Calibri"/>
          <w:b w:val="0"/>
          <w:i w:val="0"/>
          <w:sz w:val="20"/>
        </w:rPr>
        <w:t xml:space="preserve">(2024). </w:t>
      </w:r>
      <w:r>
        <w:rPr>
          <w:rFonts w:ascii="Calibri" w:hAnsi="Calibri"/>
          <w:b w:val="0"/>
          <w:i/>
          <w:sz w:val="20"/>
        </w:rPr>
        <w:t xml:space="preserve">Zynerator: Bridging Model-Driven Architecture and Microservices for Enhanced Software Development. </w:t>
      </w:r>
      <w:r>
        <w:rPr>
          <w:rFonts w:ascii="Calibri" w:hAnsi="Calibri"/>
          <w:b w:val="0"/>
          <w:i w:val="0"/>
          <w:sz w:val="20"/>
        </w:rPr>
        <w:t xml:space="preserve">Electronics (Basel). </w:t>
      </w:r>
    </w:p>
    <w:p>
      <w:pPr>
        <w:spacing w:after="80"/>
        <w:ind w:hanging="567" w:left="567"/>
      </w:pPr>
      <w:r>
        <w:rPr>
          <w:rFonts w:ascii="Calibri" w:hAnsi="Calibri"/>
          <w:b/>
          <w:i w:val="0"/>
          <w:sz w:val="20"/>
        </w:rPr>
        <w:t xml:space="preserve">S056.  </w:t>
      </w:r>
      <w:r>
        <w:rPr>
          <w:rFonts w:ascii="Calibri" w:hAnsi="Calibri"/>
          <w:b w:val="0"/>
          <w:i/>
          <w:color w:val="555555"/>
          <w:sz w:val="18"/>
        </w:rPr>
        <w:t xml:space="preserve">[V4] </w:t>
      </w:r>
      <w:r>
        <w:rPr>
          <w:rFonts w:ascii="Calibri" w:hAnsi="Calibri"/>
          <w:b w:val="0"/>
          <w:i w:val="0"/>
          <w:sz w:val="20"/>
        </w:rPr>
        <w:t xml:space="preserve">Abadeh, Maryam Nooraei and Mirzaie, Mansooreh (2023). </w:t>
      </w:r>
      <w:r>
        <w:rPr>
          <w:rFonts w:ascii="Calibri" w:hAnsi="Calibri"/>
          <w:b w:val="0"/>
          <w:i/>
          <w:sz w:val="20"/>
        </w:rPr>
        <w:t xml:space="preserve">An empirical analysis for software robustness vulnerability in terms of modularity quality. </w:t>
      </w:r>
      <w:r>
        <w:rPr>
          <w:rFonts w:ascii="Calibri" w:hAnsi="Calibri"/>
          <w:b w:val="0"/>
          <w:i w:val="0"/>
          <w:sz w:val="20"/>
        </w:rPr>
        <w:t xml:space="preserve">Systems Engineering. </w:t>
      </w:r>
      <w:r>
        <w:rPr>
          <w:rFonts w:ascii="Calibri" w:hAnsi="Calibri"/>
          <w:b w:val="0"/>
          <w:i w:val="0"/>
          <w:color w:val="1F3A5F"/>
          <w:sz w:val="20"/>
        </w:rPr>
        <w:t>https://doi.org/10.1002/sys.21686</w:t>
      </w:r>
    </w:p>
    <w:p>
      <w:pPr>
        <w:spacing w:after="80"/>
        <w:ind w:hanging="567" w:left="567"/>
      </w:pPr>
      <w:r>
        <w:rPr>
          <w:rFonts w:ascii="Calibri" w:hAnsi="Calibri"/>
          <w:b/>
          <w:i w:val="0"/>
          <w:sz w:val="20"/>
        </w:rPr>
        <w:t xml:space="preserve">S057.  </w:t>
      </w:r>
      <w:r>
        <w:rPr>
          <w:rFonts w:ascii="Calibri" w:hAnsi="Calibri"/>
          <w:b w:val="0"/>
          <w:i/>
          <w:color w:val="555555"/>
          <w:sz w:val="18"/>
        </w:rPr>
        <w:t xml:space="preserve">[V4] </w:t>
      </w:r>
      <w:r>
        <w:rPr>
          <w:rFonts w:ascii="Calibri" w:hAnsi="Calibri"/>
          <w:b w:val="0"/>
          <w:i w:val="0"/>
          <w:sz w:val="20"/>
        </w:rPr>
        <w:t xml:space="preserve">Isaev, Mikhail and Mcdonald, Nic and Dennison, Larry and Vuduc, Richard (2023). </w:t>
      </w:r>
      <w:r>
        <w:rPr>
          <w:rFonts w:ascii="Calibri" w:hAnsi="Calibri"/>
          <w:b w:val="0"/>
          <w:i/>
          <w:sz w:val="20"/>
        </w:rPr>
        <w:t xml:space="preserve">Calculon: a methodology and tool for high-level co-design of systems and large language models. </w:t>
      </w:r>
      <w:r>
        <w:rPr>
          <w:rFonts w:ascii="Calibri" w:hAnsi="Calibri"/>
          <w:b w:val="0"/>
          <w:i w:val="0"/>
          <w:sz w:val="20"/>
        </w:rPr>
        <w:t xml:space="preserve">Proceedings of the International Conference for High Performance Computing, Networking, Storage and Analysis. </w:t>
      </w:r>
      <w:r>
        <w:rPr>
          <w:rFonts w:ascii="Calibri" w:hAnsi="Calibri"/>
          <w:b w:val="0"/>
          <w:i w:val="0"/>
          <w:color w:val="1F3A5F"/>
          <w:sz w:val="20"/>
        </w:rPr>
        <w:t>https://doi.org/10.1145/3581784.3607102</w:t>
      </w:r>
    </w:p>
    <w:p>
      <w:pPr>
        <w:spacing w:after="80"/>
        <w:ind w:hanging="567" w:left="567"/>
      </w:pPr>
      <w:r>
        <w:rPr>
          <w:rFonts w:ascii="Calibri" w:hAnsi="Calibri"/>
          <w:b/>
          <w:i w:val="0"/>
          <w:sz w:val="20"/>
        </w:rPr>
        <w:t xml:space="preserve">S058.  </w:t>
      </w:r>
      <w:r>
        <w:rPr>
          <w:rFonts w:ascii="Calibri" w:hAnsi="Calibri"/>
          <w:b w:val="0"/>
          <w:i/>
          <w:color w:val="555555"/>
          <w:sz w:val="18"/>
        </w:rPr>
        <w:t xml:space="preserve">[V4] </w:t>
      </w:r>
      <w:r>
        <w:rPr>
          <w:rFonts w:ascii="Calibri" w:hAnsi="Calibri"/>
          <w:b w:val="0"/>
          <w:i w:val="0"/>
          <w:sz w:val="20"/>
        </w:rPr>
        <w:t xml:space="preserve">Traini, Luca and Cortellessa, Vittorio (2023). </w:t>
      </w:r>
      <w:r>
        <w:rPr>
          <w:rFonts w:ascii="Calibri" w:hAnsi="Calibri"/>
          <w:b w:val="0"/>
          <w:i/>
          <w:sz w:val="20"/>
        </w:rPr>
        <w:t xml:space="preserve">DeLag: Using Multi-Objective Optimization to Enhance the Detection of Latency Degradation Patterns in Service-Based Systems. </w:t>
      </w:r>
      <w:r>
        <w:rPr>
          <w:rFonts w:ascii="Calibri" w:hAnsi="Calibri"/>
          <w:b w:val="0"/>
          <w:i w:val="0"/>
          <w:sz w:val="20"/>
        </w:rPr>
        <w:t xml:space="preserve">IEEE Transactions on Software Engineering. </w:t>
      </w:r>
      <w:r>
        <w:rPr>
          <w:rFonts w:ascii="Calibri" w:hAnsi="Calibri"/>
          <w:b w:val="0"/>
          <w:i w:val="0"/>
          <w:color w:val="1F3A5F"/>
          <w:sz w:val="20"/>
        </w:rPr>
        <w:t>https://doi.org/10.1109/tse.2023.3266041</w:t>
      </w:r>
    </w:p>
    <w:p>
      <w:pPr>
        <w:spacing w:after="80"/>
        <w:ind w:hanging="567" w:left="567"/>
      </w:pPr>
      <w:r>
        <w:rPr>
          <w:rFonts w:ascii="Calibri" w:hAnsi="Calibri"/>
          <w:b/>
          <w:i w:val="0"/>
          <w:sz w:val="20"/>
        </w:rPr>
        <w:t xml:space="preserve">S059.  </w:t>
      </w:r>
      <w:r>
        <w:rPr>
          <w:rFonts w:ascii="Calibri" w:hAnsi="Calibri"/>
          <w:b w:val="0"/>
          <w:i/>
          <w:color w:val="555555"/>
          <w:sz w:val="18"/>
        </w:rPr>
        <w:t xml:space="preserve">[V4] </w:t>
      </w:r>
      <w:r>
        <w:rPr>
          <w:rFonts w:ascii="Calibri" w:hAnsi="Calibri"/>
          <w:b w:val="0"/>
          <w:i w:val="0"/>
          <w:sz w:val="20"/>
        </w:rPr>
        <w:t xml:space="preserve">Poghosyan, Arnak and Harutyunyan, Ashot and Grigoryan, Naira and Pang, Clement (2023). </w:t>
      </w:r>
      <w:r>
        <w:rPr>
          <w:rFonts w:ascii="Calibri" w:hAnsi="Calibri"/>
          <w:b w:val="0"/>
          <w:i/>
          <w:sz w:val="20"/>
        </w:rPr>
        <w:t>Distributed Tracing for Troubleshooting of Native Cloud Applications via</w:t>
        <w:br/>
        <w:t xml:space="preserve">Rule-Induction Systems. </w:t>
      </w:r>
      <w:r>
        <w:rPr>
          <w:rFonts w:ascii="Calibri" w:hAnsi="Calibri"/>
          <w:b w:val="0"/>
          <w:i w:val="0"/>
          <w:sz w:val="20"/>
        </w:rPr>
        <w:t xml:space="preserve">JOURNAL OF UNIVERSAL COMPUTER SCIENCE. </w:t>
      </w:r>
      <w:r>
        <w:rPr>
          <w:rFonts w:ascii="Calibri" w:hAnsi="Calibri"/>
          <w:b w:val="0"/>
          <w:i w:val="0"/>
          <w:color w:val="1F3A5F"/>
          <w:sz w:val="20"/>
        </w:rPr>
        <w:t>https://doi.org/10.3897/jucs.112513</w:t>
      </w:r>
    </w:p>
    <w:p>
      <w:pPr>
        <w:spacing w:after="80"/>
        <w:ind w:hanging="567" w:left="567"/>
      </w:pPr>
      <w:r>
        <w:rPr>
          <w:rFonts w:ascii="Calibri" w:hAnsi="Calibri"/>
          <w:b/>
          <w:i w:val="0"/>
          <w:sz w:val="20"/>
        </w:rPr>
        <w:t xml:space="preserve">S060.  </w:t>
      </w:r>
      <w:r>
        <w:rPr>
          <w:rFonts w:ascii="Calibri" w:hAnsi="Calibri"/>
          <w:b w:val="0"/>
          <w:i/>
          <w:color w:val="555555"/>
          <w:sz w:val="18"/>
        </w:rPr>
        <w:t xml:space="preserve">[V4] </w:t>
      </w:r>
      <w:r>
        <w:rPr>
          <w:rFonts w:ascii="Calibri" w:hAnsi="Calibri"/>
          <w:b w:val="0"/>
          <w:i w:val="0"/>
          <w:sz w:val="20"/>
        </w:rPr>
        <w:t xml:space="preserve">Trabelsi, Imen and Abdellatif, Manel and Abubaker, Abdalgader and Moha, Naouel and Mosser, Sébastien and Ebrahimi-Kahou, Samira and Guéhéneuc, Yann-Gaël (2023). </w:t>
      </w:r>
      <w:r>
        <w:rPr>
          <w:rFonts w:ascii="Calibri" w:hAnsi="Calibri"/>
          <w:b w:val="0"/>
          <w:i/>
          <w:sz w:val="20"/>
        </w:rPr>
        <w:t xml:space="preserve">From legacy to microservices: A type-based approach for microservices identification using machine learning and semantic analysis. </w:t>
      </w:r>
      <w:r>
        <w:rPr>
          <w:rFonts w:ascii="Calibri" w:hAnsi="Calibri"/>
          <w:b w:val="0"/>
          <w:i w:val="0"/>
          <w:sz w:val="20"/>
        </w:rPr>
        <w:t xml:space="preserve">Journal of Software: Evolution and Process. </w:t>
      </w:r>
      <w:r>
        <w:rPr>
          <w:rFonts w:ascii="Calibri" w:hAnsi="Calibri"/>
          <w:b w:val="0"/>
          <w:i w:val="0"/>
          <w:color w:val="1F3A5F"/>
          <w:sz w:val="20"/>
        </w:rPr>
        <w:t>https://doi.org/10.1002/smr.2503</w:t>
      </w:r>
    </w:p>
    <w:p>
      <w:pPr>
        <w:spacing w:after="80"/>
        <w:ind w:hanging="567" w:left="567"/>
      </w:pPr>
      <w:r>
        <w:rPr>
          <w:rFonts w:ascii="Calibri" w:hAnsi="Calibri"/>
          <w:b/>
          <w:i w:val="0"/>
          <w:sz w:val="20"/>
        </w:rPr>
        <w:t xml:space="preserve">S061.  </w:t>
      </w:r>
      <w:r>
        <w:rPr>
          <w:rFonts w:ascii="Calibri" w:hAnsi="Calibri"/>
          <w:b w:val="0"/>
          <w:i/>
          <w:color w:val="555555"/>
          <w:sz w:val="18"/>
        </w:rPr>
        <w:t xml:space="preserve">[Snowball] </w:t>
      </w:r>
      <w:r>
        <w:rPr>
          <w:rFonts w:ascii="Calibri" w:hAnsi="Calibri"/>
          <w:b w:val="0"/>
          <w:i w:val="0"/>
          <w:sz w:val="20"/>
        </w:rPr>
        <w:t xml:space="preserve">(2023). </w:t>
      </w:r>
      <w:r>
        <w:rPr>
          <w:rFonts w:ascii="Calibri" w:hAnsi="Calibri"/>
          <w:b w:val="0"/>
          <w:i/>
          <w:sz w:val="20"/>
        </w:rPr>
        <w:t xml:space="preserve">Inference of Resource Management Specifications. </w:t>
      </w:r>
      <w:r>
        <w:rPr>
          <w:rFonts w:ascii="Calibri" w:hAnsi="Calibri"/>
          <w:b w:val="0"/>
          <w:i w:val="0"/>
          <w:sz w:val="20"/>
        </w:rPr>
        <w:t xml:space="preserve">Proc. ACM Program. Lang.. </w:t>
      </w:r>
      <w:r>
        <w:rPr>
          <w:rFonts w:ascii="Calibri" w:hAnsi="Calibri"/>
          <w:b w:val="0"/>
          <w:i w:val="0"/>
          <w:color w:val="1F3A5F"/>
          <w:sz w:val="20"/>
        </w:rPr>
        <w:t>https://doi.org/10.1145/3622858</w:t>
      </w:r>
    </w:p>
    <w:p>
      <w:pPr>
        <w:spacing w:after="80"/>
        <w:ind w:hanging="567" w:left="567"/>
      </w:pPr>
      <w:r>
        <w:rPr>
          <w:rFonts w:ascii="Calibri" w:hAnsi="Calibri"/>
          <w:b/>
          <w:i w:val="0"/>
          <w:sz w:val="20"/>
        </w:rPr>
        <w:t xml:space="preserve">S062.  </w:t>
      </w:r>
      <w:r>
        <w:rPr>
          <w:rFonts w:ascii="Calibri" w:hAnsi="Calibri"/>
          <w:b w:val="0"/>
          <w:i/>
          <w:color w:val="555555"/>
          <w:sz w:val="18"/>
        </w:rPr>
        <w:t xml:space="preserve">[V4] </w:t>
      </w:r>
      <w:r>
        <w:rPr>
          <w:rFonts w:ascii="Calibri" w:hAnsi="Calibri"/>
          <w:b w:val="0"/>
          <w:i w:val="0"/>
          <w:sz w:val="20"/>
        </w:rPr>
        <w:t xml:space="preserve">Tam, Da Sun Handason and Liu, Yang and Xu, Huanle and Xie, Siyue and Lau, Wing Cheong (2023). </w:t>
      </w:r>
      <w:r>
        <w:rPr>
          <w:rFonts w:ascii="Calibri" w:hAnsi="Calibri"/>
          <w:b w:val="0"/>
          <w:i/>
          <w:sz w:val="20"/>
        </w:rPr>
        <w:t xml:space="preserve">PERT-GNN: Latency Prediction for Microservice-based Cloud-Native Applications via Graph Neural Networks. </w:t>
      </w:r>
      <w:r>
        <w:rPr>
          <w:rFonts w:ascii="Calibri" w:hAnsi="Calibri"/>
          <w:b w:val="0"/>
          <w:i w:val="0"/>
          <w:sz w:val="20"/>
        </w:rPr>
        <w:t xml:space="preserve">Proceedings of the 29th ACM SIGKDD Conference on Knowledge Discovery and Data Mining. </w:t>
      </w:r>
      <w:r>
        <w:rPr>
          <w:rFonts w:ascii="Calibri" w:hAnsi="Calibri"/>
          <w:b w:val="0"/>
          <w:i w:val="0"/>
          <w:color w:val="1F3A5F"/>
          <w:sz w:val="20"/>
        </w:rPr>
        <w:t>https://doi.org/10.1145/3580305.3599465</w:t>
      </w:r>
    </w:p>
    <w:p>
      <w:pPr>
        <w:spacing w:after="80"/>
        <w:ind w:hanging="567" w:left="567"/>
      </w:pPr>
      <w:r>
        <w:rPr>
          <w:rFonts w:ascii="Calibri" w:hAnsi="Calibri"/>
          <w:b/>
          <w:i w:val="0"/>
          <w:sz w:val="20"/>
        </w:rPr>
        <w:t xml:space="preserve">S063.  </w:t>
      </w:r>
      <w:r>
        <w:rPr>
          <w:rFonts w:ascii="Calibri" w:hAnsi="Calibri"/>
          <w:b w:val="0"/>
          <w:i/>
          <w:color w:val="555555"/>
          <w:sz w:val="18"/>
        </w:rPr>
        <w:t xml:space="preserve">[V4] </w:t>
      </w:r>
      <w:r>
        <w:rPr>
          <w:rFonts w:ascii="Calibri" w:hAnsi="Calibri"/>
          <w:b w:val="0"/>
          <w:i w:val="0"/>
          <w:sz w:val="20"/>
        </w:rPr>
        <w:t xml:space="preserve">Mars, Jason and Kang, Yiping and Daynauth, Roland and Li, Baichuan and Mahendra, Ashish and Flautner, Krisztian and Tang, Lingjia (2023). </w:t>
      </w:r>
      <w:r>
        <w:rPr>
          <w:rFonts w:ascii="Calibri" w:hAnsi="Calibri"/>
          <w:b w:val="0"/>
          <w:i/>
          <w:sz w:val="20"/>
        </w:rPr>
        <w:t xml:space="preserve">The Jaseci Programming Paradigm and Runtime Stack: Building Scale-Out Production Applications Easy and Fast. </w:t>
      </w:r>
      <w:r>
        <w:rPr>
          <w:rFonts w:ascii="Calibri" w:hAnsi="Calibri"/>
          <w:b w:val="0"/>
          <w:i w:val="0"/>
          <w:sz w:val="20"/>
        </w:rPr>
        <w:t xml:space="preserve">IEEE Computer Architecture Letters. </w:t>
      </w:r>
      <w:r>
        <w:rPr>
          <w:rFonts w:ascii="Calibri" w:hAnsi="Calibri"/>
          <w:b w:val="0"/>
          <w:i w:val="0"/>
          <w:color w:val="1F3A5F"/>
          <w:sz w:val="20"/>
        </w:rPr>
        <w:t>https://doi.org/10.1109/lca.2023.3274038</w:t>
      </w:r>
    </w:p>
    <w:p>
      <w:pPr>
        <w:spacing w:after="80"/>
        <w:ind w:hanging="567" w:left="567"/>
      </w:pPr>
      <w:r>
        <w:rPr>
          <w:rFonts w:ascii="Calibri" w:hAnsi="Calibri"/>
          <w:b/>
          <w:i w:val="0"/>
          <w:sz w:val="20"/>
        </w:rPr>
        <w:t xml:space="preserve">S064.  </w:t>
      </w:r>
      <w:r>
        <w:rPr>
          <w:rFonts w:ascii="Calibri" w:hAnsi="Calibri"/>
          <w:b/>
          <w:i w:val="0"/>
          <w:color w:val="D97B29"/>
          <w:sz w:val="20"/>
        </w:rPr>
        <w:t xml:space="preserve">★ </w:t>
      </w:r>
      <w:r>
        <w:rPr>
          <w:rFonts w:ascii="Calibri" w:hAnsi="Calibri"/>
          <w:b w:val="0"/>
          <w:i/>
          <w:color w:val="555555"/>
          <w:sz w:val="18"/>
        </w:rPr>
        <w:t xml:space="preserve">[Snowball] </w:t>
      </w:r>
      <w:r>
        <w:rPr>
          <w:rFonts w:ascii="Calibri" w:hAnsi="Calibri"/>
          <w:b w:val="0"/>
          <w:i w:val="0"/>
          <w:sz w:val="20"/>
        </w:rPr>
        <w:t xml:space="preserve">(2023). </w:t>
      </w:r>
      <w:r>
        <w:rPr>
          <w:rFonts w:ascii="Calibri" w:hAnsi="Calibri"/>
          <w:b w:val="0"/>
          <w:i/>
          <w:sz w:val="20"/>
        </w:rPr>
        <w:t xml:space="preserve">Towards a Methodology and Framework for AI Sustainability Metrics. </w:t>
      </w:r>
      <w:r>
        <w:rPr>
          <w:rFonts w:ascii="Calibri" w:hAnsi="Calibri"/>
          <w:b w:val="0"/>
          <w:i w:val="0"/>
          <w:sz w:val="20"/>
        </w:rPr>
        <w:t xml:space="preserve">Proceedings of the 2nd Workshop on Sustainable Computer Systems. </w:t>
      </w:r>
      <w:r>
        <w:rPr>
          <w:rFonts w:ascii="Calibri" w:hAnsi="Calibri"/>
          <w:b w:val="0"/>
          <w:i w:val="0"/>
          <w:color w:val="1F3A5F"/>
          <w:sz w:val="20"/>
        </w:rPr>
        <w:t>https://doi.org/10.1145/3604930.3605715</w:t>
      </w:r>
    </w:p>
    <w:p>
      <w:pPr>
        <w:spacing w:after="80"/>
        <w:ind w:hanging="567" w:left="567"/>
      </w:pPr>
      <w:r>
        <w:rPr>
          <w:rFonts w:ascii="Calibri" w:hAnsi="Calibri"/>
          <w:b/>
          <w:i w:val="0"/>
          <w:sz w:val="20"/>
        </w:rPr>
        <w:t xml:space="preserve">S065.  </w:t>
      </w:r>
      <w:r>
        <w:rPr>
          <w:rFonts w:ascii="Calibri" w:hAnsi="Calibri"/>
          <w:b w:val="0"/>
          <w:i/>
          <w:color w:val="555555"/>
          <w:sz w:val="18"/>
        </w:rPr>
        <w:t xml:space="preserve">[V4] </w:t>
      </w:r>
      <w:r>
        <w:rPr>
          <w:rFonts w:ascii="Calibri" w:hAnsi="Calibri"/>
          <w:b w:val="0"/>
          <w:i w:val="0"/>
          <w:sz w:val="20"/>
        </w:rPr>
        <w:t xml:space="preserve">Rouhi, Alireza and Lano, Kevin (2023). </w:t>
      </w:r>
      <w:r>
        <w:rPr>
          <w:rFonts w:ascii="Calibri" w:hAnsi="Calibri"/>
          <w:b w:val="0"/>
          <w:i/>
          <w:sz w:val="20"/>
        </w:rPr>
        <w:t xml:space="preserve">Towards a pattern-based model transformation framework. </w:t>
      </w:r>
      <w:r>
        <w:rPr>
          <w:rFonts w:ascii="Calibri" w:hAnsi="Calibri"/>
          <w:b w:val="0"/>
          <w:i w:val="0"/>
          <w:sz w:val="20"/>
        </w:rPr>
        <w:t xml:space="preserve">Software - Practice and Experience. </w:t>
      </w:r>
      <w:r>
        <w:rPr>
          <w:rFonts w:ascii="Calibri" w:hAnsi="Calibri"/>
          <w:b w:val="0"/>
          <w:i w:val="0"/>
          <w:color w:val="1F3A5F"/>
          <w:sz w:val="20"/>
        </w:rPr>
        <w:t>https://doi.org/10.1002/spe.3215</w:t>
      </w:r>
    </w:p>
    <w:p>
      <w:pPr>
        <w:spacing w:after="80"/>
        <w:ind w:hanging="567" w:left="567"/>
      </w:pPr>
      <w:r>
        <w:rPr>
          <w:rFonts w:ascii="Calibri" w:hAnsi="Calibri"/>
          <w:b/>
          <w:i w:val="0"/>
          <w:sz w:val="20"/>
        </w:rPr>
        <w:t xml:space="preserve">S066.  </w:t>
      </w:r>
      <w:r>
        <w:rPr>
          <w:rFonts w:ascii="Calibri" w:hAnsi="Calibri"/>
          <w:b w:val="0"/>
          <w:i/>
          <w:color w:val="555555"/>
          <w:sz w:val="18"/>
        </w:rPr>
        <w:t xml:space="preserve">[Snowball] </w:t>
      </w:r>
      <w:r>
        <w:rPr>
          <w:rFonts w:ascii="Calibri" w:hAnsi="Calibri"/>
          <w:b w:val="0"/>
          <w:i w:val="0"/>
          <w:sz w:val="20"/>
        </w:rPr>
        <w:t xml:space="preserve">(2023). </w:t>
      </w:r>
      <w:r>
        <w:rPr>
          <w:rFonts w:ascii="Calibri" w:hAnsi="Calibri"/>
          <w:b w:val="0"/>
          <w:i/>
          <w:sz w:val="20"/>
        </w:rPr>
        <w:t xml:space="preserve">Traceability of Architectural Design Decisions and Software Artifacts: A Systematic Mapping Study. </w:t>
      </w:r>
      <w:r>
        <w:rPr>
          <w:rFonts w:ascii="Calibri" w:hAnsi="Calibri"/>
          <w:b w:val="0"/>
          <w:i w:val="0"/>
          <w:sz w:val="20"/>
        </w:rPr>
        <w:t xml:space="preserve">Foundations of computing and decision sciences. </w:t>
      </w:r>
    </w:p>
    <w:p>
      <w:pPr>
        <w:spacing w:after="80"/>
        <w:ind w:hanging="567" w:left="567"/>
      </w:pPr>
      <w:r>
        <w:rPr>
          <w:rFonts w:ascii="Calibri" w:hAnsi="Calibri"/>
          <w:b/>
          <w:i w:val="0"/>
          <w:sz w:val="20"/>
        </w:rPr>
        <w:t xml:space="preserve">S067.  </w:t>
      </w:r>
      <w:r>
        <w:rPr>
          <w:rFonts w:ascii="Calibri" w:hAnsi="Calibri"/>
          <w:b w:val="0"/>
          <w:i/>
          <w:color w:val="555555"/>
          <w:sz w:val="18"/>
        </w:rPr>
        <w:t xml:space="preserve">[V4] </w:t>
      </w:r>
      <w:r>
        <w:rPr>
          <w:rFonts w:ascii="Calibri" w:hAnsi="Calibri"/>
          <w:b w:val="0"/>
          <w:i w:val="0"/>
          <w:sz w:val="20"/>
        </w:rPr>
        <w:t xml:space="preserve">Agca, Muhammed Akif and Faye, Sebastien and Khadraoui, Djamel (2022). </w:t>
      </w:r>
      <w:r>
        <w:rPr>
          <w:rFonts w:ascii="Calibri" w:hAnsi="Calibri"/>
          <w:b w:val="0"/>
          <w:i/>
          <w:sz w:val="20"/>
        </w:rPr>
        <w:t xml:space="preserve">A Survey on Trusted Distributed Artificial Intelligence. </w:t>
      </w:r>
      <w:r>
        <w:rPr>
          <w:rFonts w:ascii="Calibri" w:hAnsi="Calibri"/>
          <w:b w:val="0"/>
          <w:i w:val="0"/>
          <w:sz w:val="20"/>
        </w:rPr>
        <w:t xml:space="preserve">IEEE ACCESS. </w:t>
      </w:r>
      <w:r>
        <w:rPr>
          <w:rFonts w:ascii="Calibri" w:hAnsi="Calibri"/>
          <w:b w:val="0"/>
          <w:i w:val="0"/>
          <w:color w:val="1F3A5F"/>
          <w:sz w:val="20"/>
        </w:rPr>
        <w:t>https://doi.org/10.1109/access.2022.3176385</w:t>
      </w:r>
    </w:p>
    <w:p>
      <w:pPr>
        <w:spacing w:after="80"/>
        <w:ind w:hanging="567" w:left="567"/>
      </w:pPr>
      <w:r>
        <w:rPr>
          <w:rFonts w:ascii="Calibri" w:hAnsi="Calibri"/>
          <w:b/>
          <w:i w:val="0"/>
          <w:sz w:val="20"/>
        </w:rPr>
        <w:t xml:space="preserve">S068.  </w:t>
      </w:r>
      <w:r>
        <w:rPr>
          <w:rFonts w:ascii="Calibri" w:hAnsi="Calibri"/>
          <w:b w:val="0"/>
          <w:i/>
          <w:color w:val="555555"/>
          <w:sz w:val="18"/>
        </w:rPr>
        <w:t xml:space="preserve">[Snowball] </w:t>
      </w:r>
      <w:r>
        <w:rPr>
          <w:rFonts w:ascii="Calibri" w:hAnsi="Calibri"/>
          <w:b w:val="0"/>
          <w:i w:val="0"/>
          <w:sz w:val="20"/>
        </w:rPr>
        <w:t xml:space="preserve">(2022). </w:t>
      </w:r>
      <w:r>
        <w:rPr>
          <w:rFonts w:ascii="Calibri" w:hAnsi="Calibri"/>
          <w:b w:val="0"/>
          <w:i/>
          <w:sz w:val="20"/>
        </w:rPr>
        <w:t xml:space="preserve">Artificial Intelligence-Based Centralized Resource Management Application for Distributed Systems. </w:t>
      </w:r>
      <w:r>
        <w:rPr>
          <w:rFonts w:ascii="Calibri" w:hAnsi="Calibri"/>
          <w:b w:val="0"/>
          <w:i w:val="0"/>
          <w:sz w:val="20"/>
        </w:rPr>
        <w:t xml:space="preserve">2022 13th International Conference on Computing Communication and Networking Technologies, ICCCNT 2022. </w:t>
      </w:r>
    </w:p>
    <w:p>
      <w:pPr>
        <w:spacing w:after="80"/>
        <w:ind w:hanging="567" w:left="567"/>
      </w:pPr>
      <w:r>
        <w:rPr>
          <w:rFonts w:ascii="Calibri" w:hAnsi="Calibri"/>
          <w:b/>
          <w:i w:val="0"/>
          <w:sz w:val="20"/>
        </w:rPr>
        <w:t xml:space="preserve">S069.  </w:t>
      </w:r>
      <w:r>
        <w:rPr>
          <w:rFonts w:ascii="Calibri" w:hAnsi="Calibri"/>
          <w:b w:val="0"/>
          <w:i/>
          <w:color w:val="555555"/>
          <w:sz w:val="18"/>
        </w:rPr>
        <w:t xml:space="preserve">[V4] </w:t>
      </w:r>
      <w:r>
        <w:rPr>
          <w:rFonts w:ascii="Calibri" w:hAnsi="Calibri"/>
          <w:b w:val="0"/>
          <w:i w:val="0"/>
          <w:sz w:val="20"/>
        </w:rPr>
        <w:t xml:space="preserve">Ruíz, Lluís Mas and Pueyo, Pere Piñol and Mateo-Fornés, Jordi and Mayoral, Jordi Vilaplana and Tehàs, Francesc Solsona (2022). </w:t>
      </w:r>
      <w:r>
        <w:rPr>
          <w:rFonts w:ascii="Calibri" w:hAnsi="Calibri"/>
          <w:b w:val="0"/>
          <w:i/>
          <w:sz w:val="20"/>
        </w:rPr>
        <w:t xml:space="preserve">Autoscaling Pods on an On-Premise Kubernetes Infrastructure QoS-Aware. </w:t>
      </w:r>
      <w:r>
        <w:rPr>
          <w:rFonts w:ascii="Calibri" w:hAnsi="Calibri"/>
          <w:b w:val="0"/>
          <w:i w:val="0"/>
          <w:sz w:val="20"/>
        </w:rPr>
        <w:t xml:space="preserve">IEEE Access. </w:t>
      </w:r>
      <w:r>
        <w:rPr>
          <w:rFonts w:ascii="Calibri" w:hAnsi="Calibri"/>
          <w:b w:val="0"/>
          <w:i w:val="0"/>
          <w:color w:val="1F3A5F"/>
          <w:sz w:val="20"/>
        </w:rPr>
        <w:t>https://doi.org/10.1109/access.2022.3158743</w:t>
      </w:r>
    </w:p>
    <w:p>
      <w:pPr>
        <w:spacing w:after="80"/>
        <w:ind w:hanging="567" w:left="567"/>
      </w:pPr>
      <w:r>
        <w:rPr>
          <w:rFonts w:ascii="Calibri" w:hAnsi="Calibri"/>
          <w:b/>
          <w:i w:val="0"/>
          <w:sz w:val="20"/>
        </w:rPr>
        <w:t xml:space="preserve">S070.  </w:t>
      </w:r>
      <w:r>
        <w:rPr>
          <w:rFonts w:ascii="Calibri" w:hAnsi="Calibri"/>
          <w:b w:val="0"/>
          <w:i/>
          <w:color w:val="555555"/>
          <w:sz w:val="18"/>
        </w:rPr>
        <w:t xml:space="preserve">[Snowball] </w:t>
      </w:r>
      <w:r>
        <w:rPr>
          <w:rFonts w:ascii="Calibri" w:hAnsi="Calibri"/>
          <w:b w:val="0"/>
          <w:i w:val="0"/>
          <w:sz w:val="20"/>
        </w:rPr>
        <w:t xml:space="preserve">(2022). </w:t>
      </w:r>
      <w:r>
        <w:rPr>
          <w:rFonts w:ascii="Calibri" w:hAnsi="Calibri"/>
          <w:b w:val="0"/>
          <w:i/>
          <w:sz w:val="20"/>
        </w:rPr>
        <w:t xml:space="preserve">Code Smell Prioritization with Business Process Mining and Static Code Analysis: A Case Study. </w:t>
      </w:r>
      <w:r>
        <w:rPr>
          <w:rFonts w:ascii="Calibri" w:hAnsi="Calibri"/>
          <w:b w:val="0"/>
          <w:i w:val="0"/>
          <w:sz w:val="20"/>
        </w:rPr>
        <w:t xml:space="preserve">Electronics (Basel). </w:t>
      </w:r>
    </w:p>
    <w:p>
      <w:pPr>
        <w:spacing w:after="80"/>
        <w:ind w:hanging="567" w:left="567"/>
      </w:pPr>
      <w:r>
        <w:rPr>
          <w:rFonts w:ascii="Calibri" w:hAnsi="Calibri"/>
          <w:b/>
          <w:i w:val="0"/>
          <w:sz w:val="20"/>
        </w:rPr>
        <w:t xml:space="preserve">S071.  </w:t>
      </w:r>
      <w:r>
        <w:rPr>
          <w:rFonts w:ascii="Calibri" w:hAnsi="Calibri"/>
          <w:b w:val="0"/>
          <w:i/>
          <w:color w:val="555555"/>
          <w:sz w:val="18"/>
        </w:rPr>
        <w:t xml:space="preserve">[V4] </w:t>
      </w:r>
      <w:r>
        <w:rPr>
          <w:rFonts w:ascii="Calibri" w:hAnsi="Calibri"/>
          <w:b w:val="0"/>
          <w:i w:val="0"/>
          <w:sz w:val="20"/>
        </w:rPr>
        <w:t xml:space="preserve">MohammadHadi DehghaniShekoufeh Kolahdouz-RahimiMassimo TisiDalila Tamzalit (2022). </w:t>
      </w:r>
      <w:r>
        <w:rPr>
          <w:rFonts w:ascii="Calibri" w:hAnsi="Calibri"/>
          <w:b w:val="0"/>
          <w:i/>
          <w:sz w:val="20"/>
        </w:rPr>
        <w:t xml:space="preserve">Facilitating the migration to the microservice architecture via model-driven reverse engineering and reinforcement learning. </w:t>
      </w:r>
      <w:r>
        <w:rPr>
          <w:rFonts w:ascii="Calibri" w:hAnsi="Calibri"/>
          <w:b w:val="0"/>
          <w:i w:val="0"/>
          <w:sz w:val="20"/>
        </w:rPr>
        <w:t xml:space="preserve">Software and Systems Modeling. </w:t>
      </w:r>
      <w:r>
        <w:rPr>
          <w:rFonts w:ascii="Calibri" w:hAnsi="Calibri"/>
          <w:b w:val="0"/>
          <w:i w:val="0"/>
          <w:color w:val="1F3A5F"/>
          <w:sz w:val="20"/>
        </w:rPr>
        <w:t>https://doi.org/10.1007/s10270-022-00977-3</w:t>
      </w:r>
    </w:p>
    <w:p>
      <w:pPr>
        <w:spacing w:after="80"/>
        <w:ind w:hanging="567" w:left="567"/>
      </w:pPr>
      <w:r>
        <w:rPr>
          <w:rFonts w:ascii="Calibri" w:hAnsi="Calibri"/>
          <w:b/>
          <w:i w:val="0"/>
          <w:sz w:val="20"/>
        </w:rPr>
        <w:t xml:space="preserve">S072.  </w:t>
      </w:r>
      <w:r>
        <w:rPr>
          <w:rFonts w:ascii="Calibri" w:hAnsi="Calibri"/>
          <w:b w:val="0"/>
          <w:i/>
          <w:color w:val="555555"/>
          <w:sz w:val="18"/>
        </w:rPr>
        <w:t xml:space="preserve">[V4] </w:t>
      </w:r>
      <w:r>
        <w:rPr>
          <w:rFonts w:ascii="Calibri" w:hAnsi="Calibri"/>
          <w:b w:val="0"/>
          <w:i w:val="0"/>
          <w:sz w:val="20"/>
        </w:rPr>
        <w:t xml:space="preserve">Wang, Hanzhang and Wu, Zhengkai and Jiang, Huai and Huang, Yichao and Wang, Jiamu and Kopru, Selcuk and Xie, Tao (2022). </w:t>
      </w:r>
      <w:r>
        <w:rPr>
          <w:rFonts w:ascii="Calibri" w:hAnsi="Calibri"/>
          <w:b w:val="0"/>
          <w:i/>
          <w:sz w:val="20"/>
        </w:rPr>
        <w:t xml:space="preserve">Groot: an event-graph-based approach for root cause analysis in industrial settings. </w:t>
      </w:r>
      <w:r>
        <w:rPr>
          <w:rFonts w:ascii="Calibri" w:hAnsi="Calibri"/>
          <w:b w:val="0"/>
          <w:i w:val="0"/>
          <w:sz w:val="20"/>
        </w:rPr>
        <w:t xml:space="preserve">Proceedings of the 36th IEEE/ACM International Conference on Automated Software Engineering. </w:t>
      </w:r>
      <w:r>
        <w:rPr>
          <w:rFonts w:ascii="Calibri" w:hAnsi="Calibri"/>
          <w:b w:val="0"/>
          <w:i w:val="0"/>
          <w:color w:val="1F3A5F"/>
          <w:sz w:val="20"/>
        </w:rPr>
        <w:t>https://doi.org/10.1109/ase51524.2021.9678708</w:t>
      </w:r>
    </w:p>
    <w:p>
      <w:pPr>
        <w:spacing w:after="80"/>
        <w:ind w:hanging="567" w:left="567"/>
      </w:pPr>
      <w:r>
        <w:rPr>
          <w:rFonts w:ascii="Calibri" w:hAnsi="Calibri"/>
          <w:b/>
          <w:i w:val="0"/>
          <w:sz w:val="20"/>
        </w:rPr>
        <w:t xml:space="preserve">S073.  </w:t>
      </w:r>
      <w:r>
        <w:rPr>
          <w:rFonts w:ascii="Calibri" w:hAnsi="Calibri"/>
          <w:b w:val="0"/>
          <w:i/>
          <w:color w:val="555555"/>
          <w:sz w:val="18"/>
        </w:rPr>
        <w:t xml:space="preserve">[Snowball] </w:t>
      </w:r>
      <w:r>
        <w:rPr>
          <w:rFonts w:ascii="Calibri" w:hAnsi="Calibri"/>
          <w:b w:val="0"/>
          <w:i w:val="0"/>
          <w:sz w:val="20"/>
        </w:rPr>
        <w:t xml:space="preserve">(2022). </w:t>
      </w:r>
      <w:r>
        <w:rPr>
          <w:rFonts w:ascii="Calibri" w:hAnsi="Calibri"/>
          <w:b w:val="0"/>
          <w:i/>
          <w:sz w:val="20"/>
        </w:rPr>
        <w:t xml:space="preserve">LongTale: Toward Automatic Performance Anomaly Explanation in Microservices. </w:t>
      </w:r>
      <w:r>
        <w:rPr>
          <w:rFonts w:ascii="Calibri" w:hAnsi="Calibri"/>
          <w:b w:val="0"/>
          <w:i w:val="0"/>
          <w:sz w:val="20"/>
        </w:rPr>
        <w:t xml:space="preserve">Proceedings of the 2022 ACM&amp;#x2F;SPEC on International Conference on Performance Engineering. </w:t>
      </w:r>
      <w:r>
        <w:rPr>
          <w:rFonts w:ascii="Calibri" w:hAnsi="Calibri"/>
          <w:b w:val="0"/>
          <w:i w:val="0"/>
          <w:color w:val="1F3A5F"/>
          <w:sz w:val="20"/>
        </w:rPr>
        <w:t>https://doi.org/10.1145/3489525.3511675</w:t>
      </w:r>
    </w:p>
    <w:p>
      <w:pPr>
        <w:spacing w:after="80"/>
        <w:ind w:hanging="567" w:left="567"/>
      </w:pPr>
      <w:r>
        <w:rPr>
          <w:rFonts w:ascii="Calibri" w:hAnsi="Calibri"/>
          <w:b/>
          <w:i w:val="0"/>
          <w:sz w:val="20"/>
        </w:rPr>
        <w:t xml:space="preserve">S074.  </w:t>
      </w:r>
      <w:r>
        <w:rPr>
          <w:rFonts w:ascii="Calibri" w:hAnsi="Calibri"/>
          <w:b w:val="0"/>
          <w:i/>
          <w:color w:val="555555"/>
          <w:sz w:val="18"/>
        </w:rPr>
        <w:t xml:space="preserve">[V4] </w:t>
      </w:r>
      <w:r>
        <w:rPr>
          <w:rFonts w:ascii="Calibri" w:hAnsi="Calibri"/>
          <w:b w:val="0"/>
          <w:i w:val="0"/>
          <w:sz w:val="20"/>
        </w:rPr>
        <w:t xml:space="preserve">Li, Zhiding and Shang, Chenqi and Wu, Jianjie and Li, Yuan (2022). </w:t>
      </w:r>
      <w:r>
        <w:rPr>
          <w:rFonts w:ascii="Calibri" w:hAnsi="Calibri"/>
          <w:b w:val="0"/>
          <w:i/>
          <w:sz w:val="20"/>
        </w:rPr>
        <w:t xml:space="preserve">Microservice extraction based on knowledge graph from monolithic applications. </w:t>
      </w:r>
      <w:r>
        <w:rPr>
          <w:rFonts w:ascii="Calibri" w:hAnsi="Calibri"/>
          <w:b w:val="0"/>
          <w:i w:val="0"/>
          <w:sz w:val="20"/>
        </w:rPr>
        <w:t xml:space="preserve">Information and Software Technology. </w:t>
      </w:r>
      <w:r>
        <w:rPr>
          <w:rFonts w:ascii="Calibri" w:hAnsi="Calibri"/>
          <w:b w:val="0"/>
          <w:i w:val="0"/>
          <w:color w:val="1F3A5F"/>
          <w:sz w:val="20"/>
        </w:rPr>
        <w:t>https://doi.org/10.1016/j.infsof.2022.106992</w:t>
      </w:r>
    </w:p>
    <w:p>
      <w:pPr>
        <w:spacing w:after="80"/>
        <w:ind w:hanging="567" w:left="567"/>
      </w:pPr>
      <w:r>
        <w:rPr>
          <w:rFonts w:ascii="Calibri" w:hAnsi="Calibri"/>
          <w:b/>
          <w:i w:val="0"/>
          <w:sz w:val="20"/>
        </w:rPr>
        <w:t xml:space="preserve">S075.  </w:t>
      </w:r>
      <w:r>
        <w:rPr>
          <w:rFonts w:ascii="Calibri" w:hAnsi="Calibri"/>
          <w:b w:val="0"/>
          <w:i/>
          <w:color w:val="555555"/>
          <w:sz w:val="18"/>
        </w:rPr>
        <w:t xml:space="preserve">[V4] </w:t>
      </w:r>
      <w:r>
        <w:rPr>
          <w:rFonts w:ascii="Calibri" w:hAnsi="Calibri"/>
          <w:b w:val="0"/>
          <w:i w:val="0"/>
          <w:sz w:val="20"/>
        </w:rPr>
        <w:t xml:space="preserve">Bamberger, Burkhard and Körber, Bastian (2022). </w:t>
      </w:r>
      <w:r>
        <w:rPr>
          <w:rFonts w:ascii="Calibri" w:hAnsi="Calibri"/>
          <w:b w:val="0"/>
          <w:i/>
          <w:sz w:val="20"/>
        </w:rPr>
        <w:t xml:space="preserve">Migrating Monoliths to Microservices Integrating Robotic Process Automation into the Migration Approach. </w:t>
      </w:r>
      <w:r>
        <w:rPr>
          <w:rFonts w:ascii="Calibri" w:hAnsi="Calibri"/>
          <w:b w:val="0"/>
          <w:i w:val="0"/>
          <w:sz w:val="20"/>
        </w:rPr>
        <w:t xml:space="preserve">Journal of Automation, Mobile Robotics and Intelligent Systems. </w:t>
      </w:r>
      <w:r>
        <w:rPr>
          <w:rFonts w:ascii="Calibri" w:hAnsi="Calibri"/>
          <w:b w:val="0"/>
          <w:i w:val="0"/>
          <w:color w:val="1F3A5F"/>
          <w:sz w:val="20"/>
        </w:rPr>
        <w:t>https://doi.org/10.14313/jamris/1-2022/8</w:t>
      </w:r>
    </w:p>
    <w:p>
      <w:pPr>
        <w:spacing w:after="80"/>
        <w:ind w:hanging="567" w:left="567"/>
      </w:pPr>
      <w:r>
        <w:rPr>
          <w:rFonts w:ascii="Calibri" w:hAnsi="Calibri"/>
          <w:b/>
          <w:i w:val="0"/>
          <w:sz w:val="20"/>
        </w:rPr>
        <w:t xml:space="preserve">S076.  </w:t>
      </w:r>
      <w:r>
        <w:rPr>
          <w:rFonts w:ascii="Calibri" w:hAnsi="Calibri"/>
          <w:b w:val="0"/>
          <w:i/>
          <w:color w:val="555555"/>
          <w:sz w:val="18"/>
        </w:rPr>
        <w:t xml:space="preserve">[Snowball] </w:t>
      </w:r>
      <w:r>
        <w:rPr>
          <w:rFonts w:ascii="Calibri" w:hAnsi="Calibri"/>
          <w:b w:val="0"/>
          <w:i w:val="0"/>
          <w:sz w:val="20"/>
        </w:rPr>
        <w:t xml:space="preserve">(2022). </w:t>
      </w:r>
      <w:r>
        <w:rPr>
          <w:rFonts w:ascii="Calibri" w:hAnsi="Calibri"/>
          <w:b w:val="0"/>
          <w:i/>
          <w:sz w:val="20"/>
        </w:rPr>
        <w:t xml:space="preserve">Pair programming conversations with agents vs. developers: challenges and opportunities for SE community. </w:t>
      </w:r>
      <w:r>
        <w:rPr>
          <w:rFonts w:ascii="Calibri" w:hAnsi="Calibri"/>
          <w:b w:val="0"/>
          <w:i w:val="0"/>
          <w:sz w:val="20"/>
        </w:rPr>
        <w:t xml:space="preserve">Proceedings of the 30th ACM Joint European Software Engineering Conference and Symposium on the Foundations of Software Engineering. </w:t>
      </w:r>
      <w:r>
        <w:rPr>
          <w:rFonts w:ascii="Calibri" w:hAnsi="Calibri"/>
          <w:b w:val="0"/>
          <w:i w:val="0"/>
          <w:color w:val="1F3A5F"/>
          <w:sz w:val="20"/>
        </w:rPr>
        <w:t>https://doi.org/10.1145/3540250.3549127</w:t>
      </w:r>
    </w:p>
    <w:p>
      <w:pPr>
        <w:spacing w:after="80"/>
        <w:ind w:hanging="567" w:left="567"/>
      </w:pPr>
      <w:r>
        <w:rPr>
          <w:rFonts w:ascii="Calibri" w:hAnsi="Calibri"/>
          <w:b/>
          <w:i w:val="0"/>
          <w:sz w:val="20"/>
        </w:rPr>
        <w:t xml:space="preserve">S077.  </w:t>
      </w:r>
      <w:r>
        <w:rPr>
          <w:rFonts w:ascii="Calibri" w:hAnsi="Calibri"/>
          <w:b w:val="0"/>
          <w:i/>
          <w:color w:val="555555"/>
          <w:sz w:val="18"/>
        </w:rPr>
        <w:t xml:space="preserve">[V4] </w:t>
      </w:r>
      <w:r>
        <w:rPr>
          <w:rFonts w:ascii="Calibri" w:hAnsi="Calibri"/>
          <w:b w:val="0"/>
          <w:i w:val="0"/>
          <w:sz w:val="20"/>
        </w:rPr>
        <w:t xml:space="preserve">Speth, Sandro (2022). </w:t>
      </w:r>
      <w:r>
        <w:rPr>
          <w:rFonts w:ascii="Calibri" w:hAnsi="Calibri"/>
          <w:b w:val="0"/>
          <w:i/>
          <w:sz w:val="20"/>
        </w:rPr>
        <w:t xml:space="preserve">Semi-automated cross-component issue management and impact analysis. </w:t>
      </w:r>
      <w:r>
        <w:rPr>
          <w:rFonts w:ascii="Calibri" w:hAnsi="Calibri"/>
          <w:b w:val="0"/>
          <w:i w:val="0"/>
          <w:sz w:val="20"/>
        </w:rPr>
        <w:t xml:space="preserve">Proceedings of the 36th IEEE/ACM International Conference on Automated Software Engineering. </w:t>
      </w:r>
      <w:r>
        <w:rPr>
          <w:rFonts w:ascii="Calibri" w:hAnsi="Calibri"/>
          <w:b w:val="0"/>
          <w:i w:val="0"/>
          <w:color w:val="1F3A5F"/>
          <w:sz w:val="20"/>
        </w:rPr>
        <w:t>https://doi.org/10.1109/ase51524.2021.9678830</w:t>
      </w:r>
    </w:p>
    <w:p>
      <w:pPr>
        <w:spacing w:after="80"/>
        <w:ind w:hanging="567" w:left="567"/>
      </w:pPr>
      <w:r>
        <w:rPr>
          <w:rFonts w:ascii="Calibri" w:hAnsi="Calibri"/>
          <w:b/>
          <w:i w:val="0"/>
          <w:sz w:val="20"/>
        </w:rPr>
        <w:t xml:space="preserve">S078.  </w:t>
      </w:r>
      <w:r>
        <w:rPr>
          <w:rFonts w:ascii="Calibri" w:hAnsi="Calibri"/>
          <w:b w:val="0"/>
          <w:i/>
          <w:color w:val="555555"/>
          <w:sz w:val="18"/>
        </w:rPr>
        <w:t xml:space="preserve">[Snowball] </w:t>
      </w:r>
      <w:r>
        <w:rPr>
          <w:rFonts w:ascii="Calibri" w:hAnsi="Calibri"/>
          <w:b w:val="0"/>
          <w:i w:val="0"/>
          <w:sz w:val="20"/>
        </w:rPr>
        <w:t xml:space="preserve">(2022). </w:t>
      </w:r>
      <w:r>
        <w:rPr>
          <w:rFonts w:ascii="Calibri" w:hAnsi="Calibri"/>
          <w:b w:val="0"/>
          <w:i/>
          <w:sz w:val="20"/>
        </w:rPr>
        <w:t xml:space="preserve">SmartCLIDE: Shortening the Toolchain of SOA-based Cloud Software Development by Automating Service Creation, Composition, Testing, and Deployment. </w:t>
      </w:r>
      <w:r>
        <w:rPr>
          <w:rFonts w:ascii="Calibri" w:hAnsi="Calibri"/>
          <w:b w:val="0"/>
          <w:i w:val="0"/>
          <w:sz w:val="20"/>
        </w:rPr>
        <w:t xml:space="preserve">Proceedings of the 25th Pan-Hellenic Conference on Informatics. </w:t>
      </w:r>
      <w:r>
        <w:rPr>
          <w:rFonts w:ascii="Calibri" w:hAnsi="Calibri"/>
          <w:b w:val="0"/>
          <w:i w:val="0"/>
          <w:color w:val="1F3A5F"/>
          <w:sz w:val="20"/>
        </w:rPr>
        <w:t>https://doi.org/10.1145/3503823.3503880</w:t>
      </w:r>
    </w:p>
    <w:p>
      <w:pPr>
        <w:spacing w:after="80"/>
        <w:ind w:hanging="567" w:left="567"/>
      </w:pPr>
      <w:r>
        <w:rPr>
          <w:rFonts w:ascii="Calibri" w:hAnsi="Calibri"/>
          <w:b/>
          <w:i w:val="0"/>
          <w:sz w:val="20"/>
        </w:rPr>
        <w:t xml:space="preserve">S079.  </w:t>
      </w:r>
      <w:r>
        <w:rPr>
          <w:rFonts w:ascii="Calibri" w:hAnsi="Calibri"/>
          <w:b w:val="0"/>
          <w:i/>
          <w:color w:val="555555"/>
          <w:sz w:val="18"/>
        </w:rPr>
        <w:t xml:space="preserve">[V4] </w:t>
      </w:r>
      <w:r>
        <w:rPr>
          <w:rFonts w:ascii="Calibri" w:hAnsi="Calibri"/>
          <w:b w:val="0"/>
          <w:i w:val="0"/>
          <w:sz w:val="20"/>
        </w:rPr>
        <w:t xml:space="preserve">Allem, Khaled and Bourennane, El-Bay and Khelfaoui, Youcef (2021). </w:t>
      </w:r>
      <w:r>
        <w:rPr>
          <w:rFonts w:ascii="Calibri" w:hAnsi="Calibri"/>
          <w:b w:val="0"/>
          <w:i/>
          <w:sz w:val="20"/>
        </w:rPr>
        <w:t xml:space="preserve">A Service-Oriented Component-Based Framework for Dynamic Reconfiguration Modeling Targeting SystemC&amp;#x2F;TLM. </w:t>
      </w:r>
      <w:r>
        <w:rPr>
          <w:rFonts w:ascii="Calibri" w:hAnsi="Calibri"/>
          <w:b w:val="0"/>
          <w:i w:val="0"/>
          <w:sz w:val="20"/>
        </w:rPr>
        <w:t xml:space="preserve">International Journal of Reconfigurable Computing. </w:t>
      </w:r>
      <w:r>
        <w:rPr>
          <w:rFonts w:ascii="Calibri" w:hAnsi="Calibri"/>
          <w:b w:val="0"/>
          <w:i w:val="0"/>
          <w:color w:val="1F3A5F"/>
          <w:sz w:val="20"/>
        </w:rPr>
        <w:t>https://doi.org/10.1155/2021/5584391</w:t>
      </w:r>
    </w:p>
    <w:p>
      <w:pPr>
        <w:spacing w:after="80"/>
        <w:ind w:hanging="567" w:left="567"/>
      </w:pPr>
      <w:r>
        <w:rPr>
          <w:rFonts w:ascii="Calibri" w:hAnsi="Calibri"/>
          <w:b/>
          <w:i w:val="0"/>
          <w:sz w:val="20"/>
        </w:rPr>
        <w:t xml:space="preserve">S080.  </w:t>
      </w:r>
      <w:r>
        <w:rPr>
          <w:rFonts w:ascii="Calibri" w:hAnsi="Calibri"/>
          <w:b w:val="0"/>
          <w:i/>
          <w:color w:val="555555"/>
          <w:sz w:val="18"/>
        </w:rPr>
        <w:t xml:space="preserve">[Snowball] </w:t>
      </w:r>
      <w:r>
        <w:rPr>
          <w:rFonts w:ascii="Calibri" w:hAnsi="Calibri"/>
          <w:b w:val="0"/>
          <w:i w:val="0"/>
          <w:sz w:val="20"/>
        </w:rPr>
        <w:t xml:space="preserve">(2021). </w:t>
      </w:r>
      <w:r>
        <w:rPr>
          <w:rFonts w:ascii="Calibri" w:hAnsi="Calibri"/>
          <w:b w:val="0"/>
          <w:i/>
          <w:sz w:val="20"/>
        </w:rPr>
        <w:t xml:space="preserve">A Study on Modeling and Optimization of Memory Systems. </w:t>
      </w:r>
      <w:r>
        <w:rPr>
          <w:rFonts w:ascii="Calibri" w:hAnsi="Calibri"/>
          <w:b w:val="0"/>
          <w:i w:val="0"/>
          <w:sz w:val="20"/>
        </w:rPr>
        <w:t xml:space="preserve">Journal of computer science and technology. </w:t>
      </w:r>
    </w:p>
    <w:p>
      <w:pPr>
        <w:spacing w:after="80"/>
        <w:ind w:hanging="567" w:left="567"/>
      </w:pPr>
      <w:r>
        <w:rPr>
          <w:rFonts w:ascii="Calibri" w:hAnsi="Calibri"/>
          <w:b/>
          <w:i w:val="0"/>
          <w:sz w:val="20"/>
        </w:rPr>
        <w:t xml:space="preserve">S081.  </w:t>
      </w:r>
      <w:r>
        <w:rPr>
          <w:rFonts w:ascii="Calibri" w:hAnsi="Calibri"/>
          <w:b w:val="0"/>
          <w:i/>
          <w:color w:val="555555"/>
          <w:sz w:val="18"/>
        </w:rPr>
        <w:t xml:space="preserve">[V4] </w:t>
      </w:r>
      <w:r>
        <w:rPr>
          <w:rFonts w:ascii="Calibri" w:hAnsi="Calibri"/>
          <w:b w:val="0"/>
          <w:i w:val="0"/>
          <w:sz w:val="20"/>
        </w:rPr>
        <w:t xml:space="preserve">Mumtaz, Haris and Singh, Paramvir and Blincoe, Kelly (2021). </w:t>
      </w:r>
      <w:r>
        <w:rPr>
          <w:rFonts w:ascii="Calibri" w:hAnsi="Calibri"/>
          <w:b w:val="0"/>
          <w:i/>
          <w:sz w:val="20"/>
        </w:rPr>
        <w:t xml:space="preserve">A systematic mapping study on architectural smells detection. </w:t>
      </w:r>
      <w:r>
        <w:rPr>
          <w:rFonts w:ascii="Calibri" w:hAnsi="Calibri"/>
          <w:b w:val="0"/>
          <w:i w:val="0"/>
          <w:sz w:val="20"/>
        </w:rPr>
        <w:t xml:space="preserve">Journal of Systems and Software. </w:t>
      </w:r>
      <w:r>
        <w:rPr>
          <w:rFonts w:ascii="Calibri" w:hAnsi="Calibri"/>
          <w:b w:val="0"/>
          <w:i w:val="0"/>
          <w:color w:val="1F3A5F"/>
          <w:sz w:val="20"/>
        </w:rPr>
        <w:t>https://doi.org/10.1016/j.jss.2020.110885</w:t>
      </w:r>
    </w:p>
    <w:p>
      <w:pPr>
        <w:spacing w:after="80"/>
        <w:ind w:hanging="567" w:left="567"/>
      </w:pPr>
      <w:r>
        <w:rPr>
          <w:rFonts w:ascii="Calibri" w:hAnsi="Calibri"/>
          <w:b/>
          <w:i w:val="0"/>
          <w:sz w:val="20"/>
        </w:rPr>
        <w:t xml:space="preserve">S082.  </w:t>
      </w:r>
      <w:r>
        <w:rPr>
          <w:rFonts w:ascii="Calibri" w:hAnsi="Calibri"/>
          <w:b w:val="0"/>
          <w:i/>
          <w:color w:val="555555"/>
          <w:sz w:val="18"/>
        </w:rPr>
        <w:t xml:space="preserve">[Snowball] </w:t>
      </w:r>
      <w:r>
        <w:rPr>
          <w:rFonts w:ascii="Calibri" w:hAnsi="Calibri"/>
          <w:b w:val="0"/>
          <w:i w:val="0"/>
          <w:sz w:val="20"/>
        </w:rPr>
        <w:t xml:space="preserve">(2021). </w:t>
      </w:r>
      <w:r>
        <w:rPr>
          <w:rFonts w:ascii="Calibri" w:hAnsi="Calibri"/>
          <w:b w:val="0"/>
          <w:i/>
          <w:sz w:val="20"/>
        </w:rPr>
        <w:t xml:space="preserve">Automatic API Usage Scenario Documentation from Technical Q&amp;amp;amp;A Sites. </w:t>
      </w:r>
      <w:r>
        <w:rPr>
          <w:rFonts w:ascii="Calibri" w:hAnsi="Calibri"/>
          <w:b w:val="0"/>
          <w:i w:val="0"/>
          <w:sz w:val="20"/>
        </w:rPr>
        <w:t xml:space="preserve">ACM Trans. Softw. Eng. Methodol.. </w:t>
      </w:r>
      <w:r>
        <w:rPr>
          <w:rFonts w:ascii="Calibri" w:hAnsi="Calibri"/>
          <w:b w:val="0"/>
          <w:i w:val="0"/>
          <w:color w:val="1F3A5F"/>
          <w:sz w:val="20"/>
        </w:rPr>
        <w:t>https://doi.org/10.1145/3439769</w:t>
      </w:r>
    </w:p>
    <w:p>
      <w:pPr>
        <w:spacing w:after="80"/>
        <w:ind w:hanging="567" w:left="567"/>
      </w:pPr>
      <w:r>
        <w:rPr>
          <w:rFonts w:ascii="Calibri" w:hAnsi="Calibri"/>
          <w:b/>
          <w:i w:val="0"/>
          <w:sz w:val="20"/>
        </w:rPr>
        <w:t xml:space="preserve">S083.  </w:t>
      </w:r>
      <w:r>
        <w:rPr>
          <w:rFonts w:ascii="Calibri" w:hAnsi="Calibri"/>
          <w:b w:val="0"/>
          <w:i/>
          <w:color w:val="555555"/>
          <w:sz w:val="18"/>
        </w:rPr>
        <w:t xml:space="preserve">[V4] </w:t>
      </w:r>
      <w:r>
        <w:rPr>
          <w:rFonts w:ascii="Calibri" w:hAnsi="Calibri"/>
          <w:b w:val="0"/>
          <w:i w:val="0"/>
          <w:sz w:val="20"/>
        </w:rPr>
        <w:t xml:space="preserve">Moudoubah, Lamia and yamami, Abir El and Mansouri, Khalifa and Qbadou, Mohammed (2021). </w:t>
      </w:r>
      <w:r>
        <w:rPr>
          <w:rFonts w:ascii="Calibri" w:hAnsi="Calibri"/>
          <w:b w:val="0"/>
          <w:i/>
          <w:sz w:val="20"/>
        </w:rPr>
        <w:t xml:space="preserve">Development of Ontology for Semantic Structure of Strategic Alignment Framework for IT Projects Combining PMBOK, PMI and VAL IT. </w:t>
      </w:r>
      <w:r>
        <w:rPr>
          <w:rFonts w:ascii="Calibri" w:hAnsi="Calibri"/>
          <w:b w:val="0"/>
          <w:i w:val="0"/>
          <w:sz w:val="20"/>
        </w:rPr>
        <w:t xml:space="preserve">International Journal of Intelligent Engineering and Systems. </w:t>
      </w:r>
      <w:r>
        <w:rPr>
          <w:rFonts w:ascii="Calibri" w:hAnsi="Calibri"/>
          <w:b w:val="0"/>
          <w:i w:val="0"/>
          <w:color w:val="1F3A5F"/>
          <w:sz w:val="20"/>
        </w:rPr>
        <w:t>https://doi.org/10.22266/ijies2021.1031.40</w:t>
      </w:r>
    </w:p>
    <w:p>
      <w:pPr>
        <w:spacing w:after="80"/>
        <w:ind w:hanging="567" w:left="567"/>
      </w:pPr>
      <w:r>
        <w:rPr>
          <w:rFonts w:ascii="Calibri" w:hAnsi="Calibri"/>
          <w:b/>
          <w:i w:val="0"/>
          <w:sz w:val="20"/>
        </w:rPr>
        <w:t xml:space="preserve">S084.  </w:t>
      </w:r>
      <w:r>
        <w:rPr>
          <w:rFonts w:ascii="Calibri" w:hAnsi="Calibri"/>
          <w:b w:val="0"/>
          <w:i/>
          <w:color w:val="555555"/>
          <w:sz w:val="18"/>
        </w:rPr>
        <w:t xml:space="preserve">[V4] </w:t>
      </w:r>
      <w:r>
        <w:rPr>
          <w:rFonts w:ascii="Calibri" w:hAnsi="Calibri"/>
          <w:b w:val="0"/>
          <w:i w:val="0"/>
          <w:sz w:val="20"/>
        </w:rPr>
        <w:t xml:space="preserve">Surantha, Nico and Alvin, Christopher and Lusiana, Theresa (2021). </w:t>
      </w:r>
      <w:r>
        <w:rPr>
          <w:rFonts w:ascii="Calibri" w:hAnsi="Calibri"/>
          <w:b w:val="0"/>
          <w:i/>
          <w:sz w:val="20"/>
        </w:rPr>
        <w:t>ENHANCING HEALTH MONITORING SYSTEM PERFORMANCE WITH GEO-IP DNS BASED</w:t>
        <w:br/>
        <w:t xml:space="preserve">LOAD BALANCING. </w:t>
      </w:r>
      <w:r>
        <w:rPr>
          <w:rFonts w:ascii="Calibri" w:hAnsi="Calibri"/>
          <w:b w:val="0"/>
          <w:i w:val="0"/>
          <w:sz w:val="20"/>
        </w:rPr>
        <w:t xml:space="preserve">INTERNATIONAL JOURNAL OF INNOVATIVE COMPUTING INFORMATION AND CONTROL. </w:t>
      </w:r>
      <w:r>
        <w:rPr>
          <w:rFonts w:ascii="Calibri" w:hAnsi="Calibri"/>
          <w:b w:val="0"/>
          <w:i w:val="0"/>
          <w:color w:val="1F3A5F"/>
          <w:sz w:val="20"/>
        </w:rPr>
        <w:t>https://doi.org/10.24507/ijicic.17.06.1937</w:t>
      </w:r>
    </w:p>
    <w:p>
      <w:pPr>
        <w:spacing w:after="80"/>
        <w:ind w:hanging="567" w:left="567"/>
      </w:pPr>
      <w:r>
        <w:rPr>
          <w:rFonts w:ascii="Calibri" w:hAnsi="Calibri"/>
          <w:b/>
          <w:i w:val="0"/>
          <w:sz w:val="20"/>
        </w:rPr>
        <w:t xml:space="preserve">S085.  </w:t>
      </w:r>
      <w:r>
        <w:rPr>
          <w:rFonts w:ascii="Calibri" w:hAnsi="Calibri"/>
          <w:b w:val="0"/>
          <w:i/>
          <w:color w:val="555555"/>
          <w:sz w:val="18"/>
        </w:rPr>
        <w:t xml:space="preserve">[V4] </w:t>
      </w:r>
      <w:r>
        <w:rPr>
          <w:rFonts w:ascii="Calibri" w:hAnsi="Calibri"/>
          <w:b w:val="0"/>
          <w:i w:val="0"/>
          <w:sz w:val="20"/>
        </w:rPr>
        <w:t xml:space="preserve">Behrouzi-Far, Amir and Soljanin, Emina (2021). </w:t>
      </w:r>
      <w:r>
        <w:rPr>
          <w:rFonts w:ascii="Calibri" w:hAnsi="Calibri"/>
          <w:b w:val="0"/>
          <w:i/>
          <w:sz w:val="20"/>
        </w:rPr>
        <w:t xml:space="preserve">Efficient Replication for Fast and Predictable Performance in Distributed Computing. </w:t>
      </w:r>
      <w:r>
        <w:rPr>
          <w:rFonts w:ascii="Calibri" w:hAnsi="Calibri"/>
          <w:b w:val="0"/>
          <w:i w:val="0"/>
          <w:sz w:val="20"/>
        </w:rPr>
        <w:t xml:space="preserve">IEEE-ACM TRANSACTIONS ON NETWORKING. </w:t>
      </w:r>
      <w:r>
        <w:rPr>
          <w:rFonts w:ascii="Calibri" w:hAnsi="Calibri"/>
          <w:b w:val="0"/>
          <w:i w:val="0"/>
          <w:color w:val="1F3A5F"/>
          <w:sz w:val="20"/>
        </w:rPr>
        <w:t>https://doi.org/10.1109/tnet.2021.3062215</w:t>
      </w:r>
    </w:p>
    <w:p>
      <w:pPr>
        <w:spacing w:after="80"/>
        <w:ind w:hanging="567" w:left="567"/>
      </w:pPr>
      <w:r>
        <w:rPr>
          <w:rFonts w:ascii="Calibri" w:hAnsi="Calibri"/>
          <w:b/>
          <w:i w:val="0"/>
          <w:sz w:val="20"/>
        </w:rPr>
        <w:t xml:space="preserve">S086.  </w:t>
      </w:r>
      <w:r>
        <w:rPr>
          <w:rFonts w:ascii="Calibri" w:hAnsi="Calibri"/>
          <w:b w:val="0"/>
          <w:i/>
          <w:color w:val="555555"/>
          <w:sz w:val="18"/>
        </w:rPr>
        <w:t xml:space="preserve">[V4] </w:t>
      </w:r>
      <w:r>
        <w:rPr>
          <w:rFonts w:ascii="Calibri" w:hAnsi="Calibri"/>
          <w:b w:val="0"/>
          <w:i w:val="0"/>
          <w:sz w:val="20"/>
        </w:rPr>
        <w:t xml:space="preserve">Jin, Wu-Xia and Zhong, Ding-Hong and Zhang, Yu-Yun and Yang, Ming-Fan and Liu, Ting (2021). </w:t>
      </w:r>
      <w:r>
        <w:rPr>
          <w:rFonts w:ascii="Calibri" w:hAnsi="Calibri"/>
          <w:b w:val="0"/>
          <w:i/>
          <w:sz w:val="20"/>
        </w:rPr>
        <w:t xml:space="preserve">Microservice Maintainability Measurement Based on Multi-sourced Feature Space; [基于多源特征空间的微服务可维护性评估]. </w:t>
      </w:r>
      <w:r>
        <w:rPr>
          <w:rFonts w:ascii="Calibri" w:hAnsi="Calibri"/>
          <w:b w:val="0"/>
          <w:i w:val="0"/>
          <w:sz w:val="20"/>
        </w:rPr>
        <w:t xml:space="preserve">Ruan Jian Xue Bao/Journal of Software. </w:t>
      </w:r>
      <w:r>
        <w:rPr>
          <w:rFonts w:ascii="Calibri" w:hAnsi="Calibri"/>
          <w:b w:val="0"/>
          <w:i w:val="0"/>
          <w:color w:val="1F3A5F"/>
          <w:sz w:val="20"/>
        </w:rPr>
        <w:t>https://doi.org/10.13328/j.cnki.jos.006235</w:t>
      </w:r>
    </w:p>
    <w:p>
      <w:pPr>
        <w:spacing w:after="80"/>
        <w:ind w:hanging="567" w:left="567"/>
      </w:pPr>
      <w:r>
        <w:rPr>
          <w:rFonts w:ascii="Calibri" w:hAnsi="Calibri"/>
          <w:b/>
          <w:i w:val="0"/>
          <w:sz w:val="20"/>
        </w:rPr>
        <w:t xml:space="preserve">S087.  </w:t>
      </w:r>
      <w:r>
        <w:rPr>
          <w:rFonts w:ascii="Calibri" w:hAnsi="Calibri"/>
          <w:b w:val="0"/>
          <w:i/>
          <w:color w:val="555555"/>
          <w:sz w:val="18"/>
        </w:rPr>
        <w:t xml:space="preserve">[V4] </w:t>
      </w:r>
      <w:r>
        <w:rPr>
          <w:rFonts w:ascii="Calibri" w:hAnsi="Calibri"/>
          <w:b w:val="0"/>
          <w:i w:val="0"/>
          <w:sz w:val="20"/>
        </w:rPr>
        <w:t xml:space="preserve">Munonye, Kindson and Martinek, Peter (2021). </w:t>
      </w:r>
      <w:r>
        <w:rPr>
          <w:rFonts w:ascii="Calibri" w:hAnsi="Calibri"/>
          <w:b w:val="0"/>
          <w:i/>
          <w:sz w:val="20"/>
        </w:rPr>
        <w:t xml:space="preserve">Microservices Data Mining for Analytics Feedback and Optimization. </w:t>
      </w:r>
      <w:r>
        <w:rPr>
          <w:rFonts w:ascii="Calibri" w:hAnsi="Calibri"/>
          <w:b w:val="0"/>
          <w:i w:val="0"/>
          <w:sz w:val="20"/>
        </w:rPr>
        <w:t xml:space="preserve">INTERNATIONAL JOURNAL OF ENTERPRISE INFORMATION SYSTEMS. </w:t>
      </w:r>
      <w:r>
        <w:rPr>
          <w:rFonts w:ascii="Calibri" w:hAnsi="Calibri"/>
          <w:b w:val="0"/>
          <w:i w:val="0"/>
          <w:color w:val="1F3A5F"/>
          <w:sz w:val="20"/>
        </w:rPr>
        <w:t>https://doi.org/10.4018/ijeis.2021010102</w:t>
      </w:r>
    </w:p>
    <w:p>
      <w:pPr>
        <w:spacing w:after="80"/>
        <w:ind w:hanging="567" w:left="567"/>
      </w:pPr>
      <w:r>
        <w:rPr>
          <w:rFonts w:ascii="Calibri" w:hAnsi="Calibri"/>
          <w:b/>
          <w:i w:val="0"/>
          <w:sz w:val="20"/>
        </w:rPr>
        <w:t xml:space="preserve">S088.  </w:t>
      </w:r>
      <w:r>
        <w:rPr>
          <w:rFonts w:ascii="Calibri" w:hAnsi="Calibri"/>
          <w:b w:val="0"/>
          <w:i/>
          <w:color w:val="555555"/>
          <w:sz w:val="18"/>
        </w:rPr>
        <w:t xml:space="preserve">[V4] </w:t>
      </w:r>
      <w:r>
        <w:rPr>
          <w:rFonts w:ascii="Calibri" w:hAnsi="Calibri"/>
          <w:b w:val="0"/>
          <w:i w:val="0"/>
          <w:sz w:val="20"/>
        </w:rPr>
        <w:t xml:space="preserve">Rodríguez, Cristo and Garcés, Kelly and Cabot, Jordi and Casallas, Rubby and Melo, Fabián and Escobar, Daniel and Salamanca, Alejandro (2021). </w:t>
      </w:r>
      <w:r>
        <w:rPr>
          <w:rFonts w:ascii="Calibri" w:hAnsi="Calibri"/>
          <w:b w:val="0"/>
          <w:i/>
          <w:sz w:val="20"/>
        </w:rPr>
        <w:t xml:space="preserve">Model-based assisted migration of oracle forms applications: The overall process in an industrial setting. </w:t>
      </w:r>
      <w:r>
        <w:rPr>
          <w:rFonts w:ascii="Calibri" w:hAnsi="Calibri"/>
          <w:b w:val="0"/>
          <w:i w:val="0"/>
          <w:sz w:val="20"/>
        </w:rPr>
        <w:t xml:space="preserve">Software - Practice and Experience. </w:t>
      </w:r>
      <w:r>
        <w:rPr>
          <w:rFonts w:ascii="Calibri" w:hAnsi="Calibri"/>
          <w:b w:val="0"/>
          <w:i w:val="0"/>
          <w:color w:val="1F3A5F"/>
          <w:sz w:val="20"/>
        </w:rPr>
        <w:t>https://doi.org/10.1002/spe.2981</w:t>
      </w:r>
    </w:p>
    <w:p>
      <w:pPr>
        <w:spacing w:after="80"/>
        <w:ind w:hanging="567" w:left="567"/>
      </w:pPr>
      <w:r>
        <w:rPr>
          <w:rFonts w:ascii="Calibri" w:hAnsi="Calibri"/>
          <w:b/>
          <w:i w:val="0"/>
          <w:sz w:val="20"/>
        </w:rPr>
        <w:t xml:space="preserve">S089.  </w:t>
      </w:r>
      <w:r>
        <w:rPr>
          <w:rFonts w:ascii="Calibri" w:hAnsi="Calibri"/>
          <w:b w:val="0"/>
          <w:i/>
          <w:color w:val="555555"/>
          <w:sz w:val="18"/>
        </w:rPr>
        <w:t xml:space="preserve">[V4] </w:t>
      </w:r>
      <w:r>
        <w:rPr>
          <w:rFonts w:ascii="Calibri" w:hAnsi="Calibri"/>
          <w:b w:val="0"/>
          <w:i w:val="0"/>
          <w:sz w:val="20"/>
        </w:rPr>
        <w:t xml:space="preserve">Mishra, Debani Prashad and Rout, Kshirod Kumar and Salkuti, Surender Reddy (2021). </w:t>
      </w:r>
      <w:r>
        <w:rPr>
          <w:rFonts w:ascii="Calibri" w:hAnsi="Calibri"/>
          <w:b w:val="0"/>
          <w:i/>
          <w:sz w:val="20"/>
        </w:rPr>
        <w:t xml:space="preserve">Modern tools and current trends in web-development. </w:t>
      </w:r>
      <w:r>
        <w:rPr>
          <w:rFonts w:ascii="Calibri" w:hAnsi="Calibri"/>
          <w:b w:val="0"/>
          <w:i w:val="0"/>
          <w:sz w:val="20"/>
        </w:rPr>
        <w:t xml:space="preserve">Indonesian Journal of Electrical Engineering and Computer Science. </w:t>
      </w:r>
      <w:r>
        <w:rPr>
          <w:rFonts w:ascii="Calibri" w:hAnsi="Calibri"/>
          <w:b w:val="0"/>
          <w:i w:val="0"/>
          <w:color w:val="1F3A5F"/>
          <w:sz w:val="20"/>
        </w:rPr>
        <w:t>https://doi.org/10.11591/ijeecs.v24.i2.pp978-985</w:t>
      </w:r>
    </w:p>
    <w:p>
      <w:pPr>
        <w:spacing w:after="80"/>
        <w:ind w:hanging="567" w:left="567"/>
      </w:pPr>
      <w:r>
        <w:rPr>
          <w:rFonts w:ascii="Calibri" w:hAnsi="Calibri"/>
          <w:b/>
          <w:i w:val="0"/>
          <w:sz w:val="20"/>
        </w:rPr>
        <w:t xml:space="preserve">S090.  </w:t>
      </w:r>
      <w:r>
        <w:rPr>
          <w:rFonts w:ascii="Calibri" w:hAnsi="Calibri"/>
          <w:b w:val="0"/>
          <w:i/>
          <w:color w:val="555555"/>
          <w:sz w:val="18"/>
        </w:rPr>
        <w:t xml:space="preserve">[V4] </w:t>
      </w:r>
      <w:r>
        <w:rPr>
          <w:rFonts w:ascii="Calibri" w:hAnsi="Calibri"/>
          <w:b w:val="0"/>
          <w:i w:val="0"/>
          <w:sz w:val="20"/>
        </w:rPr>
        <w:t xml:space="preserve">Yin, Kanglin and Du, Qingfeng (2021). </w:t>
      </w:r>
      <w:r>
        <w:rPr>
          <w:rFonts w:ascii="Calibri" w:hAnsi="Calibri"/>
          <w:b w:val="0"/>
          <w:i/>
          <w:sz w:val="20"/>
        </w:rPr>
        <w:t xml:space="preserve">On Representing Resilience Requirements of Microservice Architecture Systems. </w:t>
      </w:r>
      <w:r>
        <w:rPr>
          <w:rFonts w:ascii="Calibri" w:hAnsi="Calibri"/>
          <w:b w:val="0"/>
          <w:i w:val="0"/>
          <w:sz w:val="20"/>
        </w:rPr>
        <w:t xml:space="preserve">International Journal of Software Engineering and Knowledge Engineering. </w:t>
      </w:r>
      <w:r>
        <w:rPr>
          <w:rFonts w:ascii="Calibri" w:hAnsi="Calibri"/>
          <w:b w:val="0"/>
          <w:i w:val="0"/>
          <w:color w:val="1F3A5F"/>
          <w:sz w:val="20"/>
        </w:rPr>
        <w:t>https://doi.org/10.1142/s0218194021500261</w:t>
      </w:r>
    </w:p>
    <w:p>
      <w:pPr>
        <w:spacing w:after="80"/>
        <w:ind w:hanging="567" w:left="567"/>
      </w:pPr>
      <w:r>
        <w:rPr>
          <w:rFonts w:ascii="Calibri" w:hAnsi="Calibri"/>
          <w:b/>
          <w:i w:val="0"/>
          <w:sz w:val="20"/>
        </w:rPr>
        <w:t xml:space="preserve">S091.  </w:t>
      </w:r>
      <w:r>
        <w:rPr>
          <w:rFonts w:ascii="Calibri" w:hAnsi="Calibri"/>
          <w:b w:val="0"/>
          <w:i/>
          <w:color w:val="555555"/>
          <w:sz w:val="18"/>
        </w:rPr>
        <w:t xml:space="preserve">[V4] </w:t>
      </w:r>
      <w:r>
        <w:rPr>
          <w:rFonts w:ascii="Calibri" w:hAnsi="Calibri"/>
          <w:b w:val="0"/>
          <w:i w:val="0"/>
          <w:sz w:val="20"/>
        </w:rPr>
        <w:t xml:space="preserve">Masouros, Dimosthenis and Xydis, Sotirios and Soudris, Dimitrios (2021). </w:t>
      </w:r>
      <w:r>
        <w:rPr>
          <w:rFonts w:ascii="Calibri" w:hAnsi="Calibri"/>
          <w:b w:val="0"/>
          <w:i/>
          <w:sz w:val="20"/>
        </w:rPr>
        <w:t xml:space="preserve">Rusty: Runtime Interference-Aware Predictive Monitoring for Modern Multi-Tenant Systems. </w:t>
      </w:r>
      <w:r>
        <w:rPr>
          <w:rFonts w:ascii="Calibri" w:hAnsi="Calibri"/>
          <w:b w:val="0"/>
          <w:i w:val="0"/>
          <w:sz w:val="20"/>
        </w:rPr>
        <w:t xml:space="preserve">IEEE Transactions on Parallel and Distributed Systems. </w:t>
      </w:r>
      <w:r>
        <w:rPr>
          <w:rFonts w:ascii="Calibri" w:hAnsi="Calibri"/>
          <w:b w:val="0"/>
          <w:i w:val="0"/>
          <w:color w:val="1F3A5F"/>
          <w:sz w:val="20"/>
        </w:rPr>
        <w:t>https://doi.org/10.1109/tpds.2020.3013948</w:t>
      </w:r>
    </w:p>
    <w:p>
      <w:pPr>
        <w:spacing w:after="80"/>
        <w:ind w:hanging="567" w:left="567"/>
      </w:pPr>
      <w:r>
        <w:rPr>
          <w:rFonts w:ascii="Calibri" w:hAnsi="Calibri"/>
          <w:b/>
          <w:i w:val="0"/>
          <w:sz w:val="20"/>
        </w:rPr>
        <w:t xml:space="preserve">S092.  </w:t>
      </w:r>
      <w:r>
        <w:rPr>
          <w:rFonts w:ascii="Calibri" w:hAnsi="Calibri"/>
          <w:b w:val="0"/>
          <w:i/>
          <w:color w:val="555555"/>
          <w:sz w:val="18"/>
        </w:rPr>
        <w:t xml:space="preserve">[V4] </w:t>
      </w:r>
      <w:r>
        <w:rPr>
          <w:rFonts w:ascii="Calibri" w:hAnsi="Calibri"/>
          <w:b w:val="0"/>
          <w:i w:val="0"/>
          <w:sz w:val="20"/>
        </w:rPr>
        <w:t xml:space="preserve">Khelladi, Djamel Eddine and Combemale, Benoit and Acher, Mathieu and Barais, Olivier and J\'{e}z\'{e}quel, Jean-Marc (2020). </w:t>
      </w:r>
      <w:r>
        <w:rPr>
          <w:rFonts w:ascii="Calibri" w:hAnsi="Calibri"/>
          <w:b w:val="0"/>
          <w:i/>
          <w:sz w:val="20"/>
        </w:rPr>
        <w:t xml:space="preserve">Co-evolving code with evolving metamodels. </w:t>
      </w:r>
      <w:r>
        <w:rPr>
          <w:rFonts w:ascii="Calibri" w:hAnsi="Calibri"/>
          <w:b w:val="0"/>
          <w:i w:val="0"/>
          <w:sz w:val="20"/>
        </w:rPr>
        <w:t xml:space="preserve">Proceedings of the ACM/IEEE 42nd International Conference on Software Engineering. </w:t>
      </w:r>
      <w:r>
        <w:rPr>
          <w:rFonts w:ascii="Calibri" w:hAnsi="Calibri"/>
          <w:b w:val="0"/>
          <w:i w:val="0"/>
          <w:color w:val="1F3A5F"/>
          <w:sz w:val="20"/>
        </w:rPr>
        <w:t>https://doi.org/10.1145/3377811.3380324</w:t>
      </w:r>
    </w:p>
    <w:p>
      <w:pPr>
        <w:spacing w:after="80"/>
        <w:ind w:hanging="567" w:left="567"/>
      </w:pPr>
      <w:r>
        <w:rPr>
          <w:rFonts w:ascii="Calibri" w:hAnsi="Calibri"/>
          <w:b/>
          <w:i w:val="0"/>
          <w:sz w:val="20"/>
        </w:rPr>
        <w:t xml:space="preserve">S093.  </w:t>
      </w:r>
      <w:r>
        <w:rPr>
          <w:rFonts w:ascii="Calibri" w:hAnsi="Calibri"/>
          <w:b w:val="0"/>
          <w:i/>
          <w:color w:val="555555"/>
          <w:sz w:val="18"/>
        </w:rPr>
        <w:t xml:space="preserve">[Snowball] </w:t>
      </w:r>
      <w:r>
        <w:rPr>
          <w:rFonts w:ascii="Calibri" w:hAnsi="Calibri"/>
          <w:b w:val="0"/>
          <w:i w:val="0"/>
          <w:sz w:val="20"/>
        </w:rPr>
        <w:t xml:space="preserve">(2020). </w:t>
      </w:r>
      <w:r>
        <w:rPr>
          <w:rFonts w:ascii="Calibri" w:hAnsi="Calibri"/>
          <w:b w:val="0"/>
          <w:i/>
          <w:sz w:val="20"/>
        </w:rPr>
        <w:t xml:space="preserve">Interference-Aware Orchestration in Kubernetes. </w:t>
      </w:r>
      <w:r>
        <w:rPr>
          <w:rFonts w:ascii="Calibri" w:hAnsi="Calibri"/>
          <w:b w:val="0"/>
          <w:i w:val="0"/>
          <w:sz w:val="20"/>
        </w:rPr>
        <w:t xml:space="preserve">Lecture Notes in Computer Science (including subseries Lecture Notes in Artificial Intelligence and Lecture Notes in Bioinformatics). </w:t>
      </w:r>
    </w:p>
    <w:p>
      <w:pPr>
        <w:spacing w:after="80"/>
        <w:ind w:hanging="567" w:left="567"/>
      </w:pPr>
      <w:r>
        <w:rPr>
          <w:rFonts w:ascii="Calibri" w:hAnsi="Calibri"/>
          <w:b/>
          <w:i w:val="0"/>
          <w:sz w:val="20"/>
        </w:rPr>
        <w:t xml:space="preserve">S094.  </w:t>
      </w:r>
      <w:r>
        <w:rPr>
          <w:rFonts w:ascii="Calibri" w:hAnsi="Calibri"/>
          <w:b w:val="0"/>
          <w:i/>
          <w:color w:val="555555"/>
          <w:sz w:val="18"/>
        </w:rPr>
        <w:t xml:space="preserve">[V4] </w:t>
      </w:r>
      <w:r>
        <w:rPr>
          <w:rFonts w:ascii="Calibri" w:hAnsi="Calibri"/>
          <w:b w:val="0"/>
          <w:i w:val="0"/>
          <w:sz w:val="20"/>
        </w:rPr>
        <w:t xml:space="preserve">Imdoukh, Mahmoud and Ahmad, Imtiaz and Alfailakawi, Mohammad Gh (2020). </w:t>
      </w:r>
      <w:r>
        <w:rPr>
          <w:rFonts w:ascii="Calibri" w:hAnsi="Calibri"/>
          <w:b w:val="0"/>
          <w:i/>
          <w:sz w:val="20"/>
        </w:rPr>
        <w:t xml:space="preserve">Machine learning-based auto-scaling for containerized applications. </w:t>
      </w:r>
      <w:r>
        <w:rPr>
          <w:rFonts w:ascii="Calibri" w:hAnsi="Calibri"/>
          <w:b w:val="0"/>
          <w:i w:val="0"/>
          <w:sz w:val="20"/>
        </w:rPr>
        <w:t xml:space="preserve">NEURAL COMPUTING \&amp; APPLICATIONS. </w:t>
      </w:r>
      <w:r>
        <w:rPr>
          <w:rFonts w:ascii="Calibri" w:hAnsi="Calibri"/>
          <w:b w:val="0"/>
          <w:i w:val="0"/>
          <w:color w:val="1F3A5F"/>
          <w:sz w:val="20"/>
        </w:rPr>
        <w:t>https://doi.org/10.1007/s00521-019-04507-z</w:t>
      </w:r>
    </w:p>
    <w:p>
      <w:pPr>
        <w:spacing w:after="80"/>
        <w:ind w:hanging="567" w:left="567"/>
      </w:pPr>
      <w:r>
        <w:rPr>
          <w:rFonts w:ascii="Calibri" w:hAnsi="Calibri"/>
          <w:b/>
          <w:i w:val="0"/>
          <w:sz w:val="20"/>
        </w:rPr>
        <w:t xml:space="preserve">S095.  </w:t>
      </w:r>
      <w:r>
        <w:rPr>
          <w:rFonts w:ascii="Calibri" w:hAnsi="Calibri"/>
          <w:b w:val="0"/>
          <w:i/>
          <w:color w:val="555555"/>
          <w:sz w:val="18"/>
        </w:rPr>
        <w:t xml:space="preserve">[V4] </w:t>
      </w:r>
      <w:r>
        <w:rPr>
          <w:rFonts w:ascii="Calibri" w:hAnsi="Calibri"/>
          <w:b w:val="0"/>
          <w:i w:val="0"/>
          <w:sz w:val="20"/>
        </w:rPr>
        <w:t xml:space="preserve">Yakovlev, Anatoly and Moghadam, Hesam Fathi and Moharrer, Ali and Cai, Jingxiao and Chavoshi, Nikan and Varadarajan, Venkatanathan and Agrawal, Sandeep R. and Idicula, Sam and Karnagel, Tomas and Jinturkar, Sanjay and Agarwal, Nipun (2020). </w:t>
      </w:r>
      <w:r>
        <w:rPr>
          <w:rFonts w:ascii="Calibri" w:hAnsi="Calibri"/>
          <w:b w:val="0"/>
          <w:i/>
          <w:sz w:val="20"/>
        </w:rPr>
        <w:t xml:space="preserve">Oracle AutoML: a fast and predictive AutoML pipeline. </w:t>
      </w:r>
      <w:r>
        <w:rPr>
          <w:rFonts w:ascii="Calibri" w:hAnsi="Calibri"/>
          <w:b w:val="0"/>
          <w:i w:val="0"/>
          <w:sz w:val="20"/>
        </w:rPr>
        <w:t xml:space="preserve">Proc. VLDB Endow.. </w:t>
      </w:r>
      <w:r>
        <w:rPr>
          <w:rFonts w:ascii="Calibri" w:hAnsi="Calibri"/>
          <w:b w:val="0"/>
          <w:i w:val="0"/>
          <w:color w:val="1F3A5F"/>
          <w:sz w:val="20"/>
        </w:rPr>
        <w:t>https://doi.org/10.14778/3415478.3415542</w:t>
      </w:r>
    </w:p>
    <w:p>
      <w:pPr>
        <w:spacing w:after="80"/>
        <w:ind w:hanging="567" w:left="567"/>
      </w:pPr>
      <w:r>
        <w:rPr>
          <w:rFonts w:ascii="Calibri" w:hAnsi="Calibri"/>
          <w:b/>
          <w:i w:val="0"/>
          <w:sz w:val="20"/>
        </w:rPr>
        <w:t xml:space="preserve">S096.  </w:t>
      </w:r>
      <w:r>
        <w:rPr>
          <w:rFonts w:ascii="Calibri" w:hAnsi="Calibri"/>
          <w:b w:val="0"/>
          <w:i/>
          <w:color w:val="555555"/>
          <w:sz w:val="18"/>
        </w:rPr>
        <w:t xml:space="preserve">[Snowball] </w:t>
      </w:r>
      <w:r>
        <w:rPr>
          <w:rFonts w:ascii="Calibri" w:hAnsi="Calibri"/>
          <w:b w:val="0"/>
          <w:i w:val="0"/>
          <w:sz w:val="20"/>
        </w:rPr>
        <w:t xml:space="preserve">(2020). </w:t>
      </w:r>
      <w:r>
        <w:rPr>
          <w:rFonts w:ascii="Calibri" w:hAnsi="Calibri"/>
          <w:b w:val="0"/>
          <w:i/>
          <w:sz w:val="20"/>
        </w:rPr>
        <w:t xml:space="preserve">Topic Modeling Based Warning Prioritization from Change Sets of Software Repository. </w:t>
      </w:r>
      <w:r>
        <w:rPr>
          <w:rFonts w:ascii="Calibri" w:hAnsi="Calibri"/>
          <w:b w:val="0"/>
          <w:i w:val="0"/>
          <w:sz w:val="20"/>
        </w:rPr>
        <w:t xml:space="preserve">Journal of computer science and technology. </w:t>
      </w:r>
    </w:p>
    <w:p>
      <w:pPr>
        <w:spacing w:after="80"/>
        <w:ind w:hanging="567" w:left="567"/>
      </w:pPr>
      <w:r>
        <w:rPr>
          <w:rFonts w:ascii="Calibri" w:hAnsi="Calibri"/>
          <w:b/>
          <w:i w:val="0"/>
          <w:sz w:val="20"/>
        </w:rPr>
        <w:t xml:space="preserve">S097.  </w:t>
      </w:r>
      <w:r>
        <w:rPr>
          <w:rFonts w:ascii="Calibri" w:hAnsi="Calibri"/>
          <w:b w:val="0"/>
          <w:i/>
          <w:color w:val="555555"/>
          <w:sz w:val="18"/>
        </w:rPr>
        <w:t xml:space="preserve">[V4] </w:t>
      </w:r>
      <w:r>
        <w:rPr>
          <w:rFonts w:ascii="Calibri" w:hAnsi="Calibri"/>
          <w:b w:val="0"/>
          <w:i w:val="0"/>
          <w:sz w:val="20"/>
        </w:rPr>
        <w:t xml:space="preserve">Naderifar, Vahideh and Sahran, Shahnorbanun and Shukur, Zarina (2019). </w:t>
      </w:r>
      <w:r>
        <w:rPr>
          <w:rFonts w:ascii="Calibri" w:hAnsi="Calibri"/>
          <w:b w:val="0"/>
          <w:i/>
          <w:sz w:val="20"/>
        </w:rPr>
        <w:t xml:space="preserve">A review on conformance checking technique for the evaluation of process mining algorithms. </w:t>
      </w:r>
      <w:r>
        <w:rPr>
          <w:rFonts w:ascii="Calibri" w:hAnsi="Calibri"/>
          <w:b w:val="0"/>
          <w:i w:val="0"/>
          <w:sz w:val="20"/>
        </w:rPr>
        <w:t xml:space="preserve">TEM Journal. </w:t>
      </w:r>
      <w:r>
        <w:rPr>
          <w:rFonts w:ascii="Calibri" w:hAnsi="Calibri"/>
          <w:b w:val="0"/>
          <w:i w:val="0"/>
          <w:color w:val="1F3A5F"/>
          <w:sz w:val="20"/>
        </w:rPr>
        <w:t>https://doi.org/10.18421/tem84-18</w:t>
      </w:r>
    </w:p>
    <w:p>
      <w:pPr>
        <w:spacing w:after="80"/>
        <w:ind w:hanging="567" w:left="567"/>
      </w:pPr>
      <w:r>
        <w:rPr>
          <w:rFonts w:ascii="Calibri" w:hAnsi="Calibri"/>
          <w:b/>
          <w:i w:val="0"/>
          <w:sz w:val="20"/>
        </w:rPr>
        <w:t xml:space="preserve">S098.  </w:t>
      </w:r>
      <w:r>
        <w:rPr>
          <w:rFonts w:ascii="Calibri" w:hAnsi="Calibri"/>
          <w:b w:val="0"/>
          <w:i/>
          <w:color w:val="555555"/>
          <w:sz w:val="18"/>
        </w:rPr>
        <w:t xml:space="preserve">[V4] </w:t>
      </w:r>
      <w:r>
        <w:rPr>
          <w:rFonts w:ascii="Calibri" w:hAnsi="Calibri"/>
          <w:b w:val="0"/>
          <w:i w:val="0"/>
          <w:sz w:val="20"/>
        </w:rPr>
        <w:t xml:space="preserve">Zeller, Andreas and Jazdi, Nasser and Weyrich, Michael (2019). </w:t>
      </w:r>
      <w:r>
        <w:rPr>
          <w:rFonts w:ascii="Calibri" w:hAnsi="Calibri"/>
          <w:b w:val="0"/>
          <w:i/>
          <w:sz w:val="20"/>
        </w:rPr>
        <w:t xml:space="preserve">Functional verification of distributed automation systems: Assisting production line operators by an automated model composition. </w:t>
      </w:r>
      <w:r>
        <w:rPr>
          <w:rFonts w:ascii="Calibri" w:hAnsi="Calibri"/>
          <w:b w:val="0"/>
          <w:i w:val="0"/>
          <w:sz w:val="20"/>
        </w:rPr>
        <w:t xml:space="preserve">International Journal of Advanced Manufacturing Technology. </w:t>
      </w:r>
      <w:r>
        <w:rPr>
          <w:rFonts w:ascii="Calibri" w:hAnsi="Calibri"/>
          <w:b w:val="0"/>
          <w:i w:val="0"/>
          <w:color w:val="1F3A5F"/>
          <w:sz w:val="20"/>
        </w:rPr>
        <w:t>https://doi.org/10.1007/s00170-019-03791-2</w:t>
      </w:r>
    </w:p>
    <w:p>
      <w:pPr>
        <w:spacing w:after="80"/>
        <w:ind w:hanging="567" w:left="567"/>
      </w:pPr>
      <w:r>
        <w:rPr>
          <w:rFonts w:ascii="Calibri" w:hAnsi="Calibri"/>
          <w:b/>
          <w:i w:val="0"/>
          <w:sz w:val="20"/>
        </w:rPr>
        <w:t xml:space="preserve">S099.  </w:t>
      </w:r>
      <w:r>
        <w:rPr>
          <w:rFonts w:ascii="Calibri" w:hAnsi="Calibri"/>
          <w:b w:val="0"/>
          <w:i/>
          <w:color w:val="555555"/>
          <w:sz w:val="18"/>
        </w:rPr>
        <w:t xml:space="preserve">[V4] </w:t>
      </w:r>
      <w:r>
        <w:rPr>
          <w:rFonts w:ascii="Calibri" w:hAnsi="Calibri"/>
          <w:b w:val="0"/>
          <w:i w:val="0"/>
          <w:sz w:val="20"/>
        </w:rPr>
        <w:t xml:space="preserve">Magalhaes, Ana Patrícia Fontes and Andrade, Aline Maria Santos and Maciel, Rita Suzana Pitangueira (2019). </w:t>
      </w:r>
      <w:r>
        <w:rPr>
          <w:rFonts w:ascii="Calibri" w:hAnsi="Calibri"/>
          <w:b w:val="0"/>
          <w:i/>
          <w:sz w:val="20"/>
        </w:rPr>
        <w:t xml:space="preserve">Model driven transformation development (MDTD): An approach for developing model to model transformation. </w:t>
      </w:r>
      <w:r>
        <w:rPr>
          <w:rFonts w:ascii="Calibri" w:hAnsi="Calibri"/>
          <w:b w:val="0"/>
          <w:i w:val="0"/>
          <w:sz w:val="20"/>
        </w:rPr>
        <w:t xml:space="preserve">Information and Software Technology. </w:t>
      </w:r>
      <w:r>
        <w:rPr>
          <w:rFonts w:ascii="Calibri" w:hAnsi="Calibri"/>
          <w:b w:val="0"/>
          <w:i w:val="0"/>
          <w:color w:val="1F3A5F"/>
          <w:sz w:val="20"/>
        </w:rPr>
        <w:t>https://doi.org/10.1016/j.infsof.2019.06.004</w:t>
      </w:r>
    </w:p>
    <w:p>
      <w:pPr>
        <w:spacing w:after="80"/>
        <w:ind w:hanging="567" w:left="567"/>
      </w:pPr>
      <w:r>
        <w:rPr>
          <w:rFonts w:ascii="Calibri" w:hAnsi="Calibri"/>
          <w:b/>
          <w:i w:val="0"/>
          <w:sz w:val="20"/>
        </w:rPr>
        <w:t xml:space="preserve">S100.  </w:t>
      </w:r>
      <w:r>
        <w:rPr>
          <w:rFonts w:ascii="Calibri" w:hAnsi="Calibri"/>
          <w:b w:val="0"/>
          <w:i/>
          <w:color w:val="555555"/>
          <w:sz w:val="18"/>
        </w:rPr>
        <w:t xml:space="preserve">[Snowball] </w:t>
      </w:r>
      <w:r>
        <w:rPr>
          <w:rFonts w:ascii="Calibri" w:hAnsi="Calibri"/>
          <w:b w:val="0"/>
          <w:i w:val="0"/>
          <w:sz w:val="20"/>
        </w:rPr>
        <w:t xml:space="preserve">(2019). </w:t>
      </w:r>
      <w:r>
        <w:rPr>
          <w:rFonts w:ascii="Calibri" w:hAnsi="Calibri"/>
          <w:b w:val="0"/>
          <w:i/>
          <w:sz w:val="20"/>
        </w:rPr>
        <w:t xml:space="preserve">Predicting reliability by severity and priority of defects. </w:t>
      </w:r>
      <w:r>
        <w:rPr>
          <w:rFonts w:ascii="Calibri" w:hAnsi="Calibri"/>
          <w:b w:val="0"/>
          <w:i w:val="0"/>
          <w:sz w:val="20"/>
        </w:rPr>
        <w:t xml:space="preserve">Proceedings of the 2nd ACM SIGSOFT International Workshop on Software Qualities and Their Dependencies. </w:t>
      </w:r>
      <w:r>
        <w:rPr>
          <w:rFonts w:ascii="Calibri" w:hAnsi="Calibri"/>
          <w:b w:val="0"/>
          <w:i w:val="0"/>
          <w:color w:val="1F3A5F"/>
          <w:sz w:val="20"/>
        </w:rPr>
        <w:t>https://doi.org/10.1145/3340495.3342753</w:t>
      </w:r>
    </w:p>
    <w:p>
      <w:pPr>
        <w:spacing w:after="80"/>
        <w:ind w:hanging="567" w:left="567"/>
      </w:pPr>
      <w:r>
        <w:rPr>
          <w:rFonts w:ascii="Calibri" w:hAnsi="Calibri"/>
          <w:b/>
          <w:i w:val="0"/>
          <w:sz w:val="20"/>
        </w:rPr>
        <w:t xml:space="preserve">S101.  </w:t>
      </w:r>
      <w:r>
        <w:rPr>
          <w:rFonts w:ascii="Calibri" w:hAnsi="Calibri"/>
          <w:b/>
          <w:i w:val="0"/>
          <w:color w:val="D97B29"/>
          <w:sz w:val="20"/>
        </w:rPr>
        <w:t xml:space="preserve">★ </w:t>
      </w:r>
      <w:r>
        <w:rPr>
          <w:rFonts w:ascii="Calibri" w:hAnsi="Calibri"/>
          <w:b w:val="0"/>
          <w:i/>
          <w:color w:val="555555"/>
          <w:sz w:val="18"/>
        </w:rPr>
        <w:t xml:space="preserve">[Snowball] </w:t>
      </w:r>
      <w:r>
        <w:rPr>
          <w:rFonts w:ascii="Calibri" w:hAnsi="Calibri"/>
          <w:b w:val="0"/>
          <w:i w:val="0"/>
          <w:sz w:val="20"/>
        </w:rPr>
        <w:t xml:space="preserve">(2018). </w:t>
      </w:r>
      <w:r>
        <w:rPr>
          <w:rFonts w:ascii="Calibri" w:hAnsi="Calibri"/>
          <w:b w:val="0"/>
          <w:i/>
          <w:sz w:val="20"/>
        </w:rPr>
        <w:t xml:space="preserve">A metamodeling approach for the identification of organizational smells in multi-agent systems: application to ASPECS. </w:t>
      </w:r>
      <w:r>
        <w:rPr>
          <w:rFonts w:ascii="Calibri" w:hAnsi="Calibri"/>
          <w:b w:val="0"/>
          <w:i w:val="0"/>
          <w:sz w:val="20"/>
        </w:rPr>
        <w:t xml:space="preserve">The Artificial intelligence review. </w:t>
      </w:r>
    </w:p>
    <w:p>
      <w:pPr>
        <w:spacing w:after="80"/>
        <w:ind w:hanging="567" w:left="567"/>
      </w:pPr>
      <w:r>
        <w:rPr>
          <w:rFonts w:ascii="Calibri" w:hAnsi="Calibri"/>
          <w:b/>
          <w:i w:val="0"/>
          <w:sz w:val="20"/>
        </w:rPr>
        <w:t xml:space="preserve">S102.  </w:t>
      </w:r>
      <w:r>
        <w:rPr>
          <w:rFonts w:ascii="Calibri" w:hAnsi="Calibri"/>
          <w:b w:val="0"/>
          <w:i/>
          <w:color w:val="555555"/>
          <w:sz w:val="18"/>
        </w:rPr>
        <w:t xml:space="preserve">[V4] </w:t>
      </w:r>
      <w:r>
        <w:rPr>
          <w:rFonts w:ascii="Calibri" w:hAnsi="Calibri"/>
          <w:b w:val="0"/>
          <w:i w:val="0"/>
          <w:sz w:val="20"/>
        </w:rPr>
        <w:t xml:space="preserve">Ciccozzi, Federico and Feljan, Juraj and Carlson, Jan and Crnković, Ivica (2018). </w:t>
      </w:r>
      <w:r>
        <w:rPr>
          <w:rFonts w:ascii="Calibri" w:hAnsi="Calibri"/>
          <w:b w:val="0"/>
          <w:i/>
          <w:sz w:val="20"/>
        </w:rPr>
        <w:t xml:space="preserve">Architecture optimization: speed or accuracy? both!. </w:t>
      </w:r>
      <w:r>
        <w:rPr>
          <w:rFonts w:ascii="Calibri" w:hAnsi="Calibri"/>
          <w:b w:val="0"/>
          <w:i w:val="0"/>
          <w:sz w:val="20"/>
        </w:rPr>
        <w:t xml:space="preserve">Software Quality Journal. </w:t>
      </w:r>
      <w:r>
        <w:rPr>
          <w:rFonts w:ascii="Calibri" w:hAnsi="Calibri"/>
          <w:b w:val="0"/>
          <w:i w:val="0"/>
          <w:color w:val="1F3A5F"/>
          <w:sz w:val="20"/>
        </w:rPr>
        <w:t>https://doi.org/10.1007/s11219-016-9343-5</w:t>
      </w:r>
    </w:p>
    <w:p>
      <w:pPr>
        <w:spacing w:after="80"/>
        <w:ind w:hanging="567" w:left="567"/>
      </w:pPr>
      <w:r>
        <w:rPr>
          <w:rFonts w:ascii="Calibri" w:hAnsi="Calibri"/>
          <w:b/>
          <w:i w:val="0"/>
          <w:sz w:val="20"/>
        </w:rPr>
        <w:t xml:space="preserve">S103.  </w:t>
      </w:r>
      <w:r>
        <w:rPr>
          <w:rFonts w:ascii="Calibri" w:hAnsi="Calibri"/>
          <w:b w:val="0"/>
          <w:i/>
          <w:color w:val="555555"/>
          <w:sz w:val="18"/>
        </w:rPr>
        <w:t xml:space="preserve">[V4] </w:t>
      </w:r>
      <w:r>
        <w:rPr>
          <w:rFonts w:ascii="Calibri" w:hAnsi="Calibri"/>
          <w:b w:val="0"/>
          <w:i w:val="0"/>
          <w:sz w:val="20"/>
        </w:rPr>
        <w:t xml:space="preserve">Li, Shupan and Xiao, Limin and Qin, Guangjun and Ruan, Li and Su, Shubin (2018). </w:t>
      </w:r>
      <w:r>
        <w:rPr>
          <w:rFonts w:ascii="Calibri" w:hAnsi="Calibri"/>
          <w:b w:val="0"/>
          <w:i/>
          <w:sz w:val="20"/>
        </w:rPr>
        <w:t xml:space="preserve">COW-IMM: A Novel Integrity Measurement Method Based on Copy-on-Write for File in Virtual Machine. </w:t>
      </w:r>
      <w:r>
        <w:rPr>
          <w:rFonts w:ascii="Calibri" w:hAnsi="Calibri"/>
          <w:b w:val="0"/>
          <w:i w:val="0"/>
          <w:sz w:val="20"/>
        </w:rPr>
        <w:t xml:space="preserve">IEEE Access. </w:t>
      </w:r>
      <w:r>
        <w:rPr>
          <w:rFonts w:ascii="Calibri" w:hAnsi="Calibri"/>
          <w:b w:val="0"/>
          <w:i w:val="0"/>
          <w:color w:val="1F3A5F"/>
          <w:sz w:val="20"/>
        </w:rPr>
        <w:t>https://doi.org/10.1109/access.2018.2865879</w:t>
      </w:r>
    </w:p>
    <w:p>
      <w:pPr>
        <w:spacing w:after="80"/>
        <w:ind w:hanging="567" w:left="567"/>
      </w:pPr>
      <w:r>
        <w:rPr>
          <w:rFonts w:ascii="Calibri" w:hAnsi="Calibri"/>
          <w:b/>
          <w:i w:val="0"/>
          <w:sz w:val="20"/>
        </w:rPr>
        <w:t xml:space="preserve">S104.  </w:t>
      </w:r>
      <w:r>
        <w:rPr>
          <w:rFonts w:ascii="Calibri" w:hAnsi="Calibri"/>
          <w:b/>
          <w:i w:val="0"/>
          <w:color w:val="D97B29"/>
          <w:sz w:val="20"/>
        </w:rPr>
        <w:t xml:space="preserve">★ </w:t>
      </w:r>
      <w:r>
        <w:rPr>
          <w:rFonts w:ascii="Calibri" w:hAnsi="Calibri"/>
          <w:b w:val="0"/>
          <w:i/>
          <w:color w:val="555555"/>
          <w:sz w:val="18"/>
        </w:rPr>
        <w:t xml:space="preserve">[Snowball] </w:t>
      </w:r>
      <w:r>
        <w:rPr>
          <w:rFonts w:ascii="Calibri" w:hAnsi="Calibri"/>
          <w:b w:val="0"/>
          <w:i w:val="0"/>
          <w:sz w:val="20"/>
        </w:rPr>
        <w:t xml:space="preserve">(2018). </w:t>
      </w:r>
      <w:r>
        <w:rPr>
          <w:rFonts w:ascii="Calibri" w:hAnsi="Calibri"/>
          <w:b w:val="0"/>
          <w:i/>
          <w:sz w:val="20"/>
        </w:rPr>
        <w:t xml:space="preserve">Learning to Simplify Distributed Systems Management. </w:t>
      </w:r>
      <w:r>
        <w:rPr>
          <w:rFonts w:ascii="Calibri" w:hAnsi="Calibri"/>
          <w:b w:val="0"/>
          <w:i w:val="0"/>
          <w:sz w:val="20"/>
        </w:rPr>
        <w:t xml:space="preserve">Proceedings - 2018 IEEE International Conference on Big Data, Big Data 2018. </w:t>
      </w:r>
    </w:p>
    <w:p>
      <w:pPr>
        <w:spacing w:after="80"/>
        <w:ind w:hanging="567" w:left="567"/>
      </w:pPr>
      <w:r>
        <w:rPr>
          <w:rFonts w:ascii="Calibri" w:hAnsi="Calibri"/>
          <w:b/>
          <w:i w:val="0"/>
          <w:sz w:val="20"/>
        </w:rPr>
        <w:t xml:space="preserve">S105.  </w:t>
      </w:r>
      <w:r>
        <w:rPr>
          <w:rFonts w:ascii="Calibri" w:hAnsi="Calibri"/>
          <w:b w:val="0"/>
          <w:i/>
          <w:color w:val="555555"/>
          <w:sz w:val="18"/>
        </w:rPr>
        <w:t xml:space="preserve">[V4] </w:t>
      </w:r>
      <w:r>
        <w:rPr>
          <w:rFonts w:ascii="Calibri" w:hAnsi="Calibri"/>
          <w:b w:val="0"/>
          <w:i w:val="0"/>
          <w:sz w:val="20"/>
        </w:rPr>
        <w:t xml:space="preserve">Willnecker, Felix and Krcmar, Helmut (2018). </w:t>
      </w:r>
      <w:r>
        <w:rPr>
          <w:rFonts w:ascii="Calibri" w:hAnsi="Calibri"/>
          <w:b w:val="0"/>
          <w:i/>
          <w:sz w:val="20"/>
        </w:rPr>
        <w:t xml:space="preserve">Multi-objective optimization of deployment topologies for distributed applications. </w:t>
      </w:r>
      <w:r>
        <w:rPr>
          <w:rFonts w:ascii="Calibri" w:hAnsi="Calibri"/>
          <w:b w:val="0"/>
          <w:i w:val="0"/>
          <w:sz w:val="20"/>
        </w:rPr>
        <w:t xml:space="preserve">ACM Transactions on Internet Technology. </w:t>
      </w:r>
      <w:r>
        <w:rPr>
          <w:rFonts w:ascii="Calibri" w:hAnsi="Calibri"/>
          <w:b w:val="0"/>
          <w:i w:val="0"/>
          <w:color w:val="1F3A5F"/>
          <w:sz w:val="20"/>
        </w:rPr>
        <w:t>https://doi.org/10.1145/3106158</w:t>
      </w:r>
    </w:p>
    <w:p>
      <w:pPr>
        <w:spacing w:after="80"/>
        <w:ind w:hanging="567" w:left="567"/>
      </w:pPr>
      <w:r>
        <w:rPr>
          <w:rFonts w:ascii="Calibri" w:hAnsi="Calibri"/>
          <w:b/>
          <w:i w:val="0"/>
          <w:sz w:val="20"/>
        </w:rPr>
        <w:t xml:space="preserve">S106.  </w:t>
      </w:r>
      <w:r>
        <w:rPr>
          <w:rFonts w:ascii="Calibri" w:hAnsi="Calibri"/>
          <w:b w:val="0"/>
          <w:i/>
          <w:color w:val="555555"/>
          <w:sz w:val="18"/>
        </w:rPr>
        <w:t xml:space="preserve">[Snowball] </w:t>
      </w:r>
      <w:r>
        <w:rPr>
          <w:rFonts w:ascii="Calibri" w:hAnsi="Calibri"/>
          <w:b w:val="0"/>
          <w:i w:val="0"/>
          <w:sz w:val="20"/>
        </w:rPr>
        <w:t xml:space="preserve">(2018). </w:t>
      </w:r>
      <w:r>
        <w:rPr>
          <w:rFonts w:ascii="Calibri" w:hAnsi="Calibri"/>
          <w:b w:val="0"/>
          <w:i/>
          <w:sz w:val="20"/>
        </w:rPr>
        <w:t xml:space="preserve">On black-box monitoring techniques for multi-component services. </w:t>
      </w:r>
      <w:r>
        <w:rPr>
          <w:rFonts w:ascii="Calibri" w:hAnsi="Calibri"/>
          <w:b w:val="0"/>
          <w:i w:val="0"/>
          <w:sz w:val="20"/>
        </w:rPr>
        <w:t xml:space="preserve">NCA 2018 - 2018 IEEE 17th International Symposium on Network Computing and Applications. </w:t>
      </w:r>
    </w:p>
    <w:p>
      <w:pPr>
        <w:spacing w:after="80"/>
        <w:ind w:hanging="567" w:left="567"/>
      </w:pPr>
      <w:r>
        <w:rPr>
          <w:rFonts w:ascii="Calibri" w:hAnsi="Calibri"/>
          <w:b/>
          <w:i w:val="0"/>
          <w:sz w:val="20"/>
        </w:rPr>
        <w:t xml:space="preserve">S107.  </w:t>
      </w:r>
      <w:r>
        <w:rPr>
          <w:rFonts w:ascii="Calibri" w:hAnsi="Calibri"/>
          <w:b w:val="0"/>
          <w:i/>
          <w:color w:val="555555"/>
          <w:sz w:val="18"/>
        </w:rPr>
        <w:t xml:space="preserve">[V4] </w:t>
      </w:r>
      <w:r>
        <w:rPr>
          <w:rFonts w:ascii="Calibri" w:hAnsi="Calibri"/>
          <w:b w:val="0"/>
          <w:i w:val="0"/>
          <w:sz w:val="20"/>
        </w:rPr>
        <w:t xml:space="preserve">Garcés, Kelly and Casallas, Rubby and Álvarez, Camilo and Sandoval, Edgar and Salamanca, Alejandro and Viera, Fredy and Melo, Fabián and Soto, Juan Manuel (2018). </w:t>
      </w:r>
      <w:r>
        <w:rPr>
          <w:rFonts w:ascii="Calibri" w:hAnsi="Calibri"/>
          <w:b w:val="0"/>
          <w:i/>
          <w:sz w:val="20"/>
        </w:rPr>
        <w:t xml:space="preserve">White-box modernization of legacy applications: The oracle forms case study. </w:t>
      </w:r>
      <w:r>
        <w:rPr>
          <w:rFonts w:ascii="Calibri" w:hAnsi="Calibri"/>
          <w:b w:val="0"/>
          <w:i w:val="0"/>
          <w:sz w:val="20"/>
        </w:rPr>
        <w:t xml:space="preserve">Computer Standards and Interfaces. </w:t>
      </w:r>
      <w:r>
        <w:rPr>
          <w:rFonts w:ascii="Calibri" w:hAnsi="Calibri"/>
          <w:b w:val="0"/>
          <w:i w:val="0"/>
          <w:color w:val="1F3A5F"/>
          <w:sz w:val="20"/>
        </w:rPr>
        <w:t>https://doi.org/10.1016/j.csi.2017.10.004</w:t>
      </w:r>
    </w:p>
    <w:p>
      <w:pPr>
        <w:spacing w:after="80"/>
        <w:ind w:hanging="567" w:left="567"/>
      </w:pPr>
      <w:r>
        <w:rPr>
          <w:rFonts w:ascii="Calibri" w:hAnsi="Calibri"/>
          <w:b/>
          <w:i w:val="0"/>
          <w:sz w:val="20"/>
        </w:rPr>
        <w:t xml:space="preserve">S108.  </w:t>
      </w:r>
      <w:r>
        <w:rPr>
          <w:rFonts w:ascii="Calibri" w:hAnsi="Calibri"/>
          <w:b w:val="0"/>
          <w:i/>
          <w:color w:val="555555"/>
          <w:sz w:val="18"/>
        </w:rPr>
        <w:t xml:space="preserve">[Snowball] </w:t>
      </w:r>
      <w:r>
        <w:rPr>
          <w:rFonts w:ascii="Calibri" w:hAnsi="Calibri"/>
          <w:b w:val="0"/>
          <w:i w:val="0"/>
          <w:sz w:val="20"/>
        </w:rPr>
        <w:t xml:space="preserve">(2017). </w:t>
      </w:r>
      <w:r>
        <w:rPr>
          <w:rFonts w:ascii="Calibri" w:hAnsi="Calibri"/>
          <w:b w:val="0"/>
          <w:i/>
          <w:sz w:val="20"/>
        </w:rPr>
        <w:t xml:space="preserve">Online machine learning for cloud resource provisioning of microservice backend systems. </w:t>
      </w:r>
      <w:r>
        <w:rPr>
          <w:rFonts w:ascii="Calibri" w:hAnsi="Calibri"/>
          <w:b w:val="0"/>
          <w:i w:val="0"/>
          <w:sz w:val="20"/>
        </w:rPr>
        <w:t xml:space="preserve">Proceedings - 2017 IEEE International Conference on Big Data, Big Data 2017. </w:t>
      </w:r>
    </w:p>
    <w:p>
      <w:pPr>
        <w:spacing w:after="80"/>
        <w:ind w:hanging="567" w:left="567"/>
      </w:pPr>
      <w:r>
        <w:rPr>
          <w:rFonts w:ascii="Calibri" w:hAnsi="Calibri"/>
          <w:b/>
          <w:i w:val="0"/>
          <w:sz w:val="20"/>
        </w:rPr>
        <w:t xml:space="preserve">S109.  </w:t>
      </w:r>
      <w:r>
        <w:rPr>
          <w:rFonts w:ascii="Calibri" w:hAnsi="Calibri"/>
          <w:b w:val="0"/>
          <w:i/>
          <w:color w:val="555555"/>
          <w:sz w:val="18"/>
        </w:rPr>
        <w:t xml:space="preserve">[V4] </w:t>
      </w:r>
      <w:r>
        <w:rPr>
          <w:rFonts w:ascii="Calibri" w:hAnsi="Calibri"/>
          <w:b w:val="0"/>
          <w:i w:val="0"/>
          <w:sz w:val="20"/>
        </w:rPr>
        <w:t xml:space="preserve">Mourad, Azzam and Tout, Hanine and Talhi, Chamseddine and Otrok, Hadi and Yahyaoui, Hamdi (2016). </w:t>
      </w:r>
      <w:r>
        <w:rPr>
          <w:rFonts w:ascii="Calibri" w:hAnsi="Calibri"/>
          <w:b w:val="0"/>
          <w:i/>
          <w:sz w:val="20"/>
        </w:rPr>
        <w:t xml:space="preserve">From model-driven specification to design-level set-based analysis of XACML policies. </w:t>
      </w:r>
      <w:r>
        <w:rPr>
          <w:rFonts w:ascii="Calibri" w:hAnsi="Calibri"/>
          <w:b w:val="0"/>
          <w:i w:val="0"/>
          <w:sz w:val="20"/>
        </w:rPr>
        <w:t xml:space="preserve">Computers and Electrical Engineering. </w:t>
      </w:r>
      <w:r>
        <w:rPr>
          <w:rFonts w:ascii="Calibri" w:hAnsi="Calibri"/>
          <w:b w:val="0"/>
          <w:i w:val="0"/>
          <w:color w:val="1F3A5F"/>
          <w:sz w:val="20"/>
        </w:rPr>
        <w:t>https://doi.org/10.1016/j.compeleceng.2015.09.021</w:t>
      </w:r>
    </w:p>
    <w:p>
      <w:pPr>
        <w:spacing w:after="80"/>
        <w:ind w:hanging="567" w:left="567"/>
      </w:pPr>
      <w:r>
        <w:rPr>
          <w:rFonts w:ascii="Calibri" w:hAnsi="Calibri"/>
          <w:b/>
          <w:i w:val="0"/>
          <w:sz w:val="20"/>
        </w:rPr>
        <w:t xml:space="preserve">S110.  </w:t>
      </w:r>
      <w:r>
        <w:rPr>
          <w:rFonts w:ascii="Calibri" w:hAnsi="Calibri"/>
          <w:b w:val="0"/>
          <w:i/>
          <w:color w:val="555555"/>
          <w:sz w:val="18"/>
        </w:rPr>
        <w:t xml:space="preserve">[V4] </w:t>
      </w:r>
      <w:r>
        <w:rPr>
          <w:rFonts w:ascii="Calibri" w:hAnsi="Calibri"/>
          <w:b w:val="0"/>
          <w:i w:val="0"/>
          <w:sz w:val="20"/>
        </w:rPr>
        <w:t xml:space="preserve">Triantafyllidis, Konstantinos and Aslam, Waqar and Bondarev, Egor and Lukkien, Johan J. and De With, Peter H.N. (2016). </w:t>
      </w:r>
      <w:r>
        <w:rPr>
          <w:rFonts w:ascii="Calibri" w:hAnsi="Calibri"/>
          <w:b w:val="0"/>
          <w:i/>
          <w:sz w:val="20"/>
        </w:rPr>
        <w:t xml:space="preserve">ProMARTES: Accurate network and computation delay prediction for component-based distributed systems. </w:t>
      </w:r>
      <w:r>
        <w:rPr>
          <w:rFonts w:ascii="Calibri" w:hAnsi="Calibri"/>
          <w:b w:val="0"/>
          <w:i w:val="0"/>
          <w:sz w:val="20"/>
        </w:rPr>
        <w:t xml:space="preserve">Journal of Systems and Software. </w:t>
      </w:r>
      <w:r>
        <w:rPr>
          <w:rFonts w:ascii="Calibri" w:hAnsi="Calibri"/>
          <w:b w:val="0"/>
          <w:i w:val="0"/>
          <w:color w:val="1F3A5F"/>
          <w:sz w:val="20"/>
        </w:rPr>
        <w:t>https://doi.org/10.1016/j.jss.2016.03.068</w:t>
      </w:r>
    </w:p>
    <w:p>
      <w:pPr>
        <w:spacing w:after="80"/>
        <w:ind w:hanging="567" w:left="567"/>
      </w:pPr>
      <w:r>
        <w:rPr>
          <w:rFonts w:ascii="Calibri" w:hAnsi="Calibri"/>
          <w:b/>
          <w:i w:val="0"/>
          <w:sz w:val="20"/>
        </w:rPr>
        <w:t xml:space="preserve">S111.  </w:t>
      </w:r>
      <w:r>
        <w:rPr>
          <w:rFonts w:ascii="Calibri" w:hAnsi="Calibri"/>
          <w:b/>
          <w:i w:val="0"/>
          <w:color w:val="D97B29"/>
          <w:sz w:val="20"/>
        </w:rPr>
        <w:t xml:space="preserve">★ </w:t>
      </w:r>
      <w:r>
        <w:rPr>
          <w:rFonts w:ascii="Calibri" w:hAnsi="Calibri"/>
          <w:b w:val="0"/>
          <w:i/>
          <w:color w:val="555555"/>
          <w:sz w:val="18"/>
        </w:rPr>
        <w:t xml:space="preserve">[Snowball] </w:t>
      </w:r>
      <w:r>
        <w:rPr>
          <w:rFonts w:ascii="Calibri" w:hAnsi="Calibri"/>
          <w:b w:val="0"/>
          <w:i w:val="0"/>
          <w:sz w:val="20"/>
        </w:rPr>
        <w:t xml:space="preserve">(2015). </w:t>
      </w:r>
      <w:r>
        <w:rPr>
          <w:rFonts w:ascii="Calibri" w:hAnsi="Calibri"/>
          <w:b w:val="0"/>
          <w:i/>
          <w:sz w:val="20"/>
        </w:rPr>
        <w:t xml:space="preserve">Runtime metric meets developer: building better cloud applications using feedback. </w:t>
      </w:r>
      <w:r>
        <w:rPr>
          <w:rFonts w:ascii="Calibri" w:hAnsi="Calibri"/>
          <w:b w:val="0"/>
          <w:i w:val="0"/>
          <w:sz w:val="20"/>
        </w:rPr>
        <w:t xml:space="preserve">2015 ACM International Symposium on New Ideas, New Paradigms, and Reflections on Programming and Software (Onward!). </w:t>
      </w:r>
      <w:r>
        <w:rPr>
          <w:rFonts w:ascii="Calibri" w:hAnsi="Calibri"/>
          <w:b w:val="0"/>
          <w:i w:val="0"/>
          <w:color w:val="1F3A5F"/>
          <w:sz w:val="20"/>
        </w:rPr>
        <w:t>https://doi.org/10.1145/2814228.2814232</w:t>
      </w:r>
    </w:p>
    <w:p>
      <w:pPr>
        <w:spacing w:after="80"/>
        <w:ind w:hanging="567" w:left="567"/>
      </w:pPr>
      <w:r>
        <w:rPr>
          <w:rFonts w:ascii="Calibri" w:hAnsi="Calibri"/>
          <w:b/>
          <w:i w:val="0"/>
          <w:sz w:val="20"/>
        </w:rPr>
        <w:t xml:space="preserve">S112.  </w:t>
      </w:r>
      <w:r>
        <w:rPr>
          <w:rFonts w:ascii="Calibri" w:hAnsi="Calibri"/>
          <w:b w:val="0"/>
          <w:i/>
          <w:color w:val="555555"/>
          <w:sz w:val="18"/>
        </w:rPr>
        <w:t xml:space="preserve">[V4] </w:t>
      </w:r>
      <w:r>
        <w:rPr>
          <w:rFonts w:ascii="Calibri" w:hAnsi="Calibri"/>
          <w:b w:val="0"/>
          <w:i w:val="0"/>
          <w:sz w:val="20"/>
        </w:rPr>
        <w:t xml:space="preserve">Haesevoets, Robrecht and Weyns, Danny and Holvoet, Tom (2014). </w:t>
      </w:r>
      <w:r>
        <w:rPr>
          <w:rFonts w:ascii="Calibri" w:hAnsi="Calibri"/>
          <w:b w:val="0"/>
          <w:i/>
          <w:sz w:val="20"/>
        </w:rPr>
        <w:t xml:space="preserve">Architecture-centric support for adaptive service collaborations. </w:t>
      </w:r>
      <w:r>
        <w:rPr>
          <w:rFonts w:ascii="Calibri" w:hAnsi="Calibri"/>
          <w:b w:val="0"/>
          <w:i w:val="0"/>
          <w:sz w:val="20"/>
        </w:rPr>
        <w:t xml:space="preserve">ACM Transactions on Software Engineering and Methodology. </w:t>
      </w:r>
      <w:r>
        <w:rPr>
          <w:rFonts w:ascii="Calibri" w:hAnsi="Calibri"/>
          <w:b w:val="0"/>
          <w:i w:val="0"/>
          <w:color w:val="1F3A5F"/>
          <w:sz w:val="20"/>
        </w:rPr>
        <w:t>https://doi.org/10.1145/2559937</w:t>
      </w:r>
    </w:p>
    <w:p>
      <w:pPr>
        <w:spacing w:after="80"/>
        <w:ind w:hanging="567" w:left="567"/>
      </w:pPr>
      <w:r>
        <w:rPr>
          <w:rFonts w:ascii="Calibri" w:hAnsi="Calibri"/>
          <w:b/>
          <w:i w:val="0"/>
          <w:sz w:val="20"/>
        </w:rPr>
        <w:t xml:space="preserve">S113.  </w:t>
      </w:r>
      <w:r>
        <w:rPr>
          <w:rFonts w:ascii="Calibri" w:hAnsi="Calibri"/>
          <w:b w:val="0"/>
          <w:i/>
          <w:color w:val="555555"/>
          <w:sz w:val="18"/>
        </w:rPr>
        <w:t xml:space="preserve">[V4] </w:t>
      </w:r>
      <w:r>
        <w:rPr>
          <w:rFonts w:ascii="Calibri" w:hAnsi="Calibri"/>
          <w:b w:val="0"/>
          <w:i w:val="0"/>
          <w:sz w:val="20"/>
        </w:rPr>
        <w:t xml:space="preserve">Xu, Xiwei and Ye, Xin and Zhu, Liming and Lu, Qinghua (2014). </w:t>
      </w:r>
      <w:r>
        <w:rPr>
          <w:rFonts w:ascii="Calibri" w:hAnsi="Calibri"/>
          <w:b w:val="0"/>
          <w:i/>
          <w:sz w:val="20"/>
        </w:rPr>
        <w:t xml:space="preserve">Role network model-based support for RESTful business processes. </w:t>
      </w:r>
      <w:r>
        <w:rPr>
          <w:rFonts w:ascii="Calibri" w:hAnsi="Calibri"/>
          <w:b w:val="0"/>
          <w:i w:val="0"/>
          <w:sz w:val="20"/>
        </w:rPr>
        <w:t xml:space="preserve">Data and Knowledge Engineering. </w:t>
      </w:r>
      <w:r>
        <w:rPr>
          <w:rFonts w:ascii="Calibri" w:hAnsi="Calibri"/>
          <w:b w:val="0"/>
          <w:i w:val="0"/>
          <w:color w:val="1F3A5F"/>
          <w:sz w:val="20"/>
        </w:rPr>
        <w:t>https://doi.org/10.1016/j.datak.2014.08.001</w:t>
      </w:r>
    </w:p>
    <w:p>
      <w:r>
        <w:br w:type="page"/>
      </w:r>
    </w:p>
    <w:p>
      <w:pPr>
        <w:pStyle w:val="Heading1"/>
        <w:keepNext/>
        <w:spacing w:before="360" w:after="120"/>
      </w:pPr>
      <w:r>
        <w:rPr>
          <w:rFonts w:ascii="Calibri" w:hAnsi="Calibri"/>
          <w:b/>
          <w:i w:val="0"/>
          <w:color w:val="1F3A5F"/>
          <w:sz w:val="36"/>
        </w:rPr>
        <w:t>Appendix B — Data Extraction Form</w:t>
      </w:r>
    </w:p>
    <w:p>
      <w:pPr>
        <w:spacing w:before="0" w:after="80" w:line="276" w:lineRule="auto"/>
      </w:pPr>
      <w:r>
        <w:rPr>
          <w:rFonts w:ascii="Calibri" w:hAnsi="Calibri"/>
          <w:b w:val="0"/>
          <w:i w:val="0"/>
          <w:sz w:val="22"/>
        </w:rPr>
        <w:t>For each primary study, the following fields were extracted into a structured spreadsheet. The full version including abstracts is available as a supplementary file (primary_studies_v4_final.json + v4_state_report.xlsx).</w:t>
      </w:r>
    </w:p>
    <w:tbl>
      <w:tblPr>
        <w:tblStyle w:val="LightGrid-Accent1"/>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737"/>
            <w:shd w:val="clear" w:color="auto" w:fill="1F3A5F"/>
            <w:vAlign w:val="center"/>
          </w:tcPr>
          <w:p>
            <w:r/>
            <w:r>
              <w:rPr>
                <w:rFonts w:ascii="Calibri" w:hAnsi="Calibri"/>
                <w:b/>
                <w:i w:val="0"/>
                <w:color w:val="FFFFFF"/>
                <w:sz w:val="20"/>
              </w:rPr>
              <w:t>SID</w:t>
            </w:r>
          </w:p>
        </w:tc>
        <w:tc>
          <w:tcPr>
            <w:tcW w:type="dxa" w:w="567"/>
            <w:shd w:val="clear" w:color="auto" w:fill="1F3A5F"/>
            <w:vAlign w:val="center"/>
          </w:tcPr>
          <w:p>
            <w:r/>
            <w:r>
              <w:rPr>
                <w:rFonts w:ascii="Calibri" w:hAnsi="Calibri"/>
                <w:b/>
                <w:i w:val="0"/>
                <w:color w:val="FFFFFF"/>
                <w:sz w:val="20"/>
              </w:rPr>
              <w:t>Yr</w:t>
            </w:r>
          </w:p>
        </w:tc>
        <w:tc>
          <w:tcPr>
            <w:tcW w:type="dxa" w:w="510"/>
            <w:shd w:val="clear" w:color="auto" w:fill="1F3A5F"/>
            <w:vAlign w:val="center"/>
          </w:tcPr>
          <w:p>
            <w:r/>
            <w:r>
              <w:rPr>
                <w:rFonts w:ascii="Calibri" w:hAnsi="Calibri"/>
                <w:b/>
                <w:i w:val="0"/>
                <w:color w:val="FFFFFF"/>
                <w:sz w:val="20"/>
              </w:rPr>
              <w:t>Src</w:t>
            </w:r>
          </w:p>
        </w:tc>
        <w:tc>
          <w:tcPr>
            <w:tcW w:type="dxa" w:w="2494"/>
            <w:shd w:val="clear" w:color="auto" w:fill="1F3A5F"/>
            <w:vAlign w:val="center"/>
          </w:tcPr>
          <w:p>
            <w:r/>
            <w:r>
              <w:rPr>
                <w:rFonts w:ascii="Calibri" w:hAnsi="Calibri"/>
                <w:b/>
                <w:i w:val="0"/>
                <w:color w:val="FFFFFF"/>
                <w:sz w:val="20"/>
              </w:rPr>
              <w:t>Approach (F1)</w:t>
            </w:r>
          </w:p>
        </w:tc>
        <w:tc>
          <w:tcPr>
            <w:tcW w:type="dxa" w:w="2268"/>
            <w:shd w:val="clear" w:color="auto" w:fill="1F3A5F"/>
            <w:vAlign w:val="center"/>
          </w:tcPr>
          <w:p>
            <w:r/>
            <w:r>
              <w:rPr>
                <w:rFonts w:ascii="Calibri" w:hAnsi="Calibri"/>
                <w:b/>
                <w:i w:val="0"/>
                <w:color w:val="FFFFFF"/>
                <w:sz w:val="20"/>
              </w:rPr>
              <w:t>Concern (F5)</w:t>
            </w:r>
          </w:p>
        </w:tc>
        <w:tc>
          <w:tcPr>
            <w:tcW w:type="dxa" w:w="567"/>
            <w:shd w:val="clear" w:color="auto" w:fill="1F3A5F"/>
            <w:vAlign w:val="center"/>
          </w:tcPr>
          <w:p>
            <w:r/>
            <w:r>
              <w:rPr>
                <w:rFonts w:ascii="Calibri" w:hAnsi="Calibri"/>
                <w:b/>
                <w:i w:val="0"/>
                <w:color w:val="FFFFFF"/>
                <w:sz w:val="20"/>
              </w:rPr>
              <w:t>Java</w:t>
            </w:r>
          </w:p>
        </w:tc>
        <w:tc>
          <w:tcPr>
            <w:tcW w:type="dxa" w:w="567"/>
            <w:shd w:val="clear" w:color="auto" w:fill="1F3A5F"/>
            <w:vAlign w:val="center"/>
          </w:tcPr>
          <w:p>
            <w:r/>
            <w:r>
              <w:rPr>
                <w:rFonts w:ascii="Calibri" w:hAnsi="Calibri"/>
                <w:b/>
                <w:i w:val="0"/>
                <w:color w:val="FFFFFF"/>
                <w:sz w:val="20"/>
              </w:rPr>
              <w:t>Expl</w:t>
            </w:r>
          </w:p>
        </w:tc>
      </w:tr>
      <w:tr>
        <w:tc>
          <w:tcPr>
            <w:tcW w:type="dxa" w:w="737"/>
            <w:vAlign w:val="center"/>
          </w:tcPr>
          <w:p>
            <w:r/>
            <w:r>
              <w:rPr>
                <w:rFonts w:ascii="Calibri" w:hAnsi="Calibri"/>
                <w:b w:val="0"/>
                <w:i w:val="0"/>
                <w:sz w:val="20"/>
              </w:rPr>
              <w:t>S001</w:t>
            </w:r>
          </w:p>
        </w:tc>
        <w:tc>
          <w:tcPr>
            <w:tcW w:type="dxa" w:w="567"/>
            <w:vAlign w:val="center"/>
          </w:tcPr>
          <w:p>
            <w:r/>
            <w:r>
              <w:rPr>
                <w:rFonts w:ascii="Calibri" w:hAnsi="Calibri"/>
                <w:b w:val="0"/>
                <w:i w:val="0"/>
                <w:sz w:val="20"/>
              </w:rPr>
              <w:t>2026</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Metric-based</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S002</w:t>
            </w:r>
          </w:p>
        </w:tc>
        <w:tc>
          <w:tcPr>
            <w:tcW w:type="dxa" w:w="567"/>
            <w:vAlign w:val="center"/>
          </w:tcPr>
          <w:p>
            <w:r/>
            <w:r>
              <w:rPr>
                <w:rFonts w:ascii="Calibri" w:hAnsi="Calibri"/>
                <w:b w:val="0"/>
                <w:i w:val="0"/>
                <w:sz w:val="20"/>
              </w:rPr>
              <w:t>2026</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Graph-based / GNN</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S003</w:t>
            </w:r>
          </w:p>
        </w:tc>
        <w:tc>
          <w:tcPr>
            <w:tcW w:type="dxa" w:w="567"/>
            <w:vAlign w:val="center"/>
          </w:tcPr>
          <w:p>
            <w:r/>
            <w:r>
              <w:rPr>
                <w:rFonts w:ascii="Calibri" w:hAnsi="Calibri"/>
                <w:b w:val="0"/>
                <w:i w:val="0"/>
                <w:sz w:val="20"/>
              </w:rPr>
              <w:t>2026</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Other</w:t>
            </w:r>
          </w:p>
        </w:tc>
        <w:tc>
          <w:tcPr>
            <w:tcW w:type="dxa" w:w="2268"/>
            <w:vAlign w:val="center"/>
          </w:tcPr>
          <w:p>
            <w:r/>
            <w:r>
              <w:rPr>
                <w:rFonts w:ascii="Calibri" w:hAnsi="Calibri"/>
                <w:b w:val="0"/>
                <w:i w:val="0"/>
                <w:sz w:val="20"/>
              </w:rPr>
              <w:t>Smells / Anti-patterns</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S004</w:t>
            </w:r>
          </w:p>
        </w:tc>
        <w:tc>
          <w:tcPr>
            <w:tcW w:type="dxa" w:w="567"/>
            <w:vAlign w:val="center"/>
          </w:tcPr>
          <w:p>
            <w:r/>
            <w:r>
              <w:rPr>
                <w:rFonts w:ascii="Calibri" w:hAnsi="Calibri"/>
                <w:b w:val="0"/>
                <w:i w:val="0"/>
                <w:sz w:val="20"/>
              </w:rPr>
              <w:t>2026</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Graph-based / GNN</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S005</w:t>
            </w:r>
          </w:p>
        </w:tc>
        <w:tc>
          <w:tcPr>
            <w:tcW w:type="dxa" w:w="567"/>
            <w:vAlign w:val="center"/>
          </w:tcPr>
          <w:p>
            <w:r/>
            <w:r>
              <w:rPr>
                <w:rFonts w:ascii="Calibri" w:hAnsi="Calibri"/>
                <w:b w:val="0"/>
                <w:i w:val="0"/>
                <w:sz w:val="20"/>
              </w:rPr>
              <w:t>2026</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Model-Driven / Metamodel</w:t>
            </w:r>
          </w:p>
        </w:tc>
        <w:tc>
          <w:tcPr>
            <w:tcW w:type="dxa" w:w="2268"/>
            <w:vAlign w:val="center"/>
          </w:tcPr>
          <w:p>
            <w:r/>
            <w:r>
              <w:rPr>
                <w:rFonts w:ascii="Calibri" w:hAnsi="Calibri"/>
                <w:b w:val="0"/>
                <w:i w:val="0"/>
                <w:sz w:val="20"/>
              </w:rPr>
              <w:t>Defect / Reliability</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S006</w:t>
            </w:r>
          </w:p>
        </w:tc>
        <w:tc>
          <w:tcPr>
            <w:tcW w:type="dxa" w:w="567"/>
            <w:vAlign w:val="center"/>
          </w:tcPr>
          <w:p>
            <w:r/>
            <w:r>
              <w:rPr>
                <w:rFonts w:ascii="Calibri" w:hAnsi="Calibri"/>
                <w:b w:val="0"/>
                <w:i w:val="0"/>
                <w:sz w:val="20"/>
              </w:rPr>
              <w:t>2026</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Other</w:t>
            </w:r>
          </w:p>
        </w:tc>
        <w:tc>
          <w:tcPr>
            <w:tcW w:type="dxa" w:w="2268"/>
            <w:vAlign w:val="center"/>
          </w:tcPr>
          <w:p>
            <w:r/>
            <w:r>
              <w:rPr>
                <w:rFonts w:ascii="Calibri" w:hAnsi="Calibri"/>
                <w:b w:val="0"/>
                <w:i w:val="0"/>
                <w:sz w:val="20"/>
              </w:rPr>
              <w:t>Other</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S007</w:t>
            </w:r>
          </w:p>
        </w:tc>
        <w:tc>
          <w:tcPr>
            <w:tcW w:type="dxa" w:w="567"/>
            <w:vAlign w:val="center"/>
          </w:tcPr>
          <w:p>
            <w:r/>
            <w:r>
              <w:rPr>
                <w:rFonts w:ascii="Calibri" w:hAnsi="Calibri"/>
                <w:b w:val="0"/>
                <w:i w:val="0"/>
                <w:sz w:val="20"/>
              </w:rPr>
              <w:t>2026</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Metric-based</w:t>
            </w:r>
          </w:p>
        </w:tc>
        <w:tc>
          <w:tcPr>
            <w:tcW w:type="dxa" w:w="2268"/>
            <w:vAlign w:val="center"/>
          </w:tcPr>
          <w:p>
            <w:r/>
            <w:r>
              <w:rPr>
                <w:rFonts w:ascii="Calibri" w:hAnsi="Calibri"/>
                <w:b w:val="0"/>
                <w:i w:val="0"/>
                <w:sz w:val="20"/>
              </w:rPr>
              <w:t>Resource Mgmt / Orches</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Yes</w:t>
            </w:r>
          </w:p>
        </w:tc>
      </w:tr>
      <w:tr>
        <w:tc>
          <w:tcPr>
            <w:tcW w:type="dxa" w:w="737"/>
            <w:vAlign w:val="center"/>
          </w:tcPr>
          <w:p>
            <w:r/>
            <w:r>
              <w:rPr>
                <w:rFonts w:ascii="Calibri" w:hAnsi="Calibri"/>
                <w:b w:val="0"/>
                <w:i w:val="0"/>
                <w:sz w:val="20"/>
              </w:rPr>
              <w:t>S008</w:t>
            </w:r>
          </w:p>
        </w:tc>
        <w:tc>
          <w:tcPr>
            <w:tcW w:type="dxa" w:w="567"/>
            <w:vAlign w:val="center"/>
          </w:tcPr>
          <w:p>
            <w:r/>
            <w:r>
              <w:rPr>
                <w:rFonts w:ascii="Calibri" w:hAnsi="Calibri"/>
                <w:b w:val="0"/>
                <w:i w:val="0"/>
                <w:sz w:val="20"/>
              </w:rPr>
              <w:t>2026</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Deep Learning</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S009</w:t>
            </w:r>
          </w:p>
        </w:tc>
        <w:tc>
          <w:tcPr>
            <w:tcW w:type="dxa" w:w="567"/>
            <w:vAlign w:val="center"/>
          </w:tcPr>
          <w:p>
            <w:r/>
            <w:r>
              <w:rPr>
                <w:rFonts w:ascii="Calibri" w:hAnsi="Calibri"/>
                <w:b w:val="0"/>
                <w:i w:val="0"/>
                <w:sz w:val="20"/>
              </w:rPr>
              <w:t>2026</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Deep Learning</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S010</w:t>
            </w:r>
          </w:p>
        </w:tc>
        <w:tc>
          <w:tcPr>
            <w:tcW w:type="dxa" w:w="567"/>
            <w:vAlign w:val="center"/>
          </w:tcPr>
          <w:p>
            <w:r/>
            <w:r>
              <w:rPr>
                <w:rFonts w:ascii="Calibri" w:hAnsi="Calibri"/>
                <w:b w:val="0"/>
                <w:i w:val="0"/>
                <w:sz w:val="20"/>
              </w:rPr>
              <w:t>2026</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LLM / Generative AI</w:t>
            </w:r>
          </w:p>
        </w:tc>
        <w:tc>
          <w:tcPr>
            <w:tcW w:type="dxa" w:w="2268"/>
            <w:vAlign w:val="center"/>
          </w:tcPr>
          <w:p>
            <w:r/>
            <w:r>
              <w:rPr>
                <w:rFonts w:ascii="Calibri" w:hAnsi="Calibri"/>
                <w:b w:val="0"/>
                <w:i w:val="0"/>
                <w:sz w:val="20"/>
              </w:rPr>
              <w:t>Defect / Reliability</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S011</w:t>
            </w:r>
          </w:p>
        </w:tc>
        <w:tc>
          <w:tcPr>
            <w:tcW w:type="dxa" w:w="567"/>
            <w:vAlign w:val="center"/>
          </w:tcPr>
          <w:p>
            <w:r/>
            <w:r>
              <w:rPr>
                <w:rFonts w:ascii="Calibri" w:hAnsi="Calibri"/>
                <w:b w:val="0"/>
                <w:i w:val="0"/>
                <w:sz w:val="20"/>
              </w:rPr>
              <w:t>2026</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Metric-based</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Yes</w:t>
            </w:r>
          </w:p>
        </w:tc>
      </w:tr>
      <w:tr>
        <w:tc>
          <w:tcPr>
            <w:tcW w:type="dxa" w:w="737"/>
            <w:vAlign w:val="center"/>
          </w:tcPr>
          <w:p>
            <w:r/>
            <w:r>
              <w:rPr>
                <w:rFonts w:ascii="Calibri" w:hAnsi="Calibri"/>
                <w:b w:val="0"/>
                <w:i w:val="0"/>
                <w:sz w:val="20"/>
              </w:rPr>
              <w:t>S012</w:t>
            </w:r>
          </w:p>
        </w:tc>
        <w:tc>
          <w:tcPr>
            <w:tcW w:type="dxa" w:w="567"/>
            <w:vAlign w:val="center"/>
          </w:tcPr>
          <w:p>
            <w:r/>
            <w:r>
              <w:rPr>
                <w:rFonts w:ascii="Calibri" w:hAnsi="Calibri"/>
                <w:b w:val="0"/>
                <w:i w:val="0"/>
                <w:sz w:val="20"/>
              </w:rPr>
              <w:t>2026</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LLM / Generative AI</w:t>
            </w:r>
          </w:p>
        </w:tc>
        <w:tc>
          <w:tcPr>
            <w:tcW w:type="dxa" w:w="2268"/>
            <w:vAlign w:val="center"/>
          </w:tcPr>
          <w:p>
            <w:r/>
            <w:r>
              <w:rPr>
                <w:rFonts w:ascii="Calibri" w:hAnsi="Calibri"/>
                <w:b w:val="0"/>
                <w:i w:val="0"/>
                <w:sz w:val="20"/>
              </w:rPr>
              <w:t>Performance / SLO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S013</w:t>
            </w:r>
          </w:p>
        </w:tc>
        <w:tc>
          <w:tcPr>
            <w:tcW w:type="dxa" w:w="567"/>
            <w:vAlign w:val="center"/>
          </w:tcPr>
          <w:p>
            <w:r/>
            <w:r>
              <w:rPr>
                <w:rFonts w:ascii="Calibri" w:hAnsi="Calibri"/>
                <w:b w:val="0"/>
                <w:i w:val="0"/>
                <w:sz w:val="20"/>
              </w:rPr>
              <w:t>2026</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Graph-based / GNN</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S014</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Other</w:t>
            </w:r>
          </w:p>
        </w:tc>
        <w:tc>
          <w:tcPr>
            <w:tcW w:type="dxa" w:w="2268"/>
            <w:vAlign w:val="center"/>
          </w:tcPr>
          <w:p>
            <w:r/>
            <w:r>
              <w:rPr>
                <w:rFonts w:ascii="Calibri" w:hAnsi="Calibri"/>
                <w:b w:val="0"/>
                <w:i w:val="0"/>
                <w:sz w:val="20"/>
              </w:rPr>
              <w:t>Performance / SLO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S015</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Other</w:t>
            </w:r>
          </w:p>
        </w:tc>
        <w:tc>
          <w:tcPr>
            <w:tcW w:type="dxa" w:w="2268"/>
            <w:vAlign w:val="center"/>
          </w:tcPr>
          <w:p>
            <w:r/>
            <w:r>
              <w:rPr>
                <w:rFonts w:ascii="Calibri" w:hAnsi="Calibri"/>
                <w:b w:val="0"/>
                <w:i w:val="0"/>
                <w:sz w:val="20"/>
              </w:rPr>
              <w:t>Other</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S016</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Observability-based</w:t>
            </w:r>
          </w:p>
        </w:tc>
        <w:tc>
          <w:tcPr>
            <w:tcW w:type="dxa" w:w="2268"/>
            <w:vAlign w:val="center"/>
          </w:tcPr>
          <w:p>
            <w:r/>
            <w:r>
              <w:rPr>
                <w:rFonts w:ascii="Calibri" w:hAnsi="Calibri"/>
                <w:b w:val="0"/>
                <w:i w:val="0"/>
                <w:sz w:val="20"/>
              </w:rPr>
              <w:t>Migration / Refactorin</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S017</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Graph-based / GNN</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Yes</w:t>
            </w:r>
          </w:p>
        </w:tc>
      </w:tr>
      <w:tr>
        <w:tc>
          <w:tcPr>
            <w:tcW w:type="dxa" w:w="737"/>
            <w:vAlign w:val="center"/>
          </w:tcPr>
          <w:p>
            <w:r/>
            <w:r>
              <w:rPr>
                <w:rFonts w:ascii="Calibri" w:hAnsi="Calibri"/>
                <w:b w:val="0"/>
                <w:i w:val="0"/>
                <w:sz w:val="20"/>
              </w:rPr>
              <w:t>S018</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Deep Learning</w:t>
            </w:r>
          </w:p>
        </w:tc>
        <w:tc>
          <w:tcPr>
            <w:tcW w:type="dxa" w:w="2268"/>
            <w:vAlign w:val="center"/>
          </w:tcPr>
          <w:p>
            <w:r/>
            <w:r>
              <w:rPr>
                <w:rFonts w:ascii="Calibri" w:hAnsi="Calibri"/>
                <w:b w:val="0"/>
                <w:i w:val="0"/>
                <w:sz w:val="20"/>
              </w:rPr>
              <w:t>Resource Mgmt / Orches</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S019</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AutoML / Meta-learning</w:t>
            </w:r>
          </w:p>
        </w:tc>
        <w:tc>
          <w:tcPr>
            <w:tcW w:type="dxa" w:w="2268"/>
            <w:vAlign w:val="center"/>
          </w:tcPr>
          <w:p>
            <w:r/>
            <w:r>
              <w:rPr>
                <w:rFonts w:ascii="Calibri" w:hAnsi="Calibri"/>
                <w:b w:val="0"/>
                <w:i w:val="0"/>
                <w:sz w:val="20"/>
              </w:rPr>
              <w:t>Resource Mgmt / Orches</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S020</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LLM / Generative AI</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S021</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Static Analysis</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S022</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Classical ML</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S023</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Static Analysis</w:t>
            </w:r>
          </w:p>
        </w:tc>
        <w:tc>
          <w:tcPr>
            <w:tcW w:type="dxa" w:w="2268"/>
            <w:vAlign w:val="center"/>
          </w:tcPr>
          <w:p>
            <w:r/>
            <w:r>
              <w:rPr>
                <w:rFonts w:ascii="Calibri" w:hAnsi="Calibri"/>
                <w:b w:val="0"/>
                <w:i w:val="0"/>
                <w:sz w:val="20"/>
              </w:rPr>
              <w:t>Performance / SLO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S024</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Static Analysis</w:t>
            </w:r>
          </w:p>
        </w:tc>
        <w:tc>
          <w:tcPr>
            <w:tcW w:type="dxa" w:w="2268"/>
            <w:vAlign w:val="center"/>
          </w:tcPr>
          <w:p>
            <w:r/>
            <w:r>
              <w:rPr>
                <w:rFonts w:ascii="Calibri" w:hAnsi="Calibri"/>
                <w:b w:val="0"/>
                <w:i w:val="0"/>
                <w:sz w:val="20"/>
              </w:rPr>
              <w:t>Resource Mgmt / Orches</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S025</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LLM / Generative AI</w:t>
            </w:r>
          </w:p>
        </w:tc>
        <w:tc>
          <w:tcPr>
            <w:tcW w:type="dxa" w:w="2268"/>
            <w:vAlign w:val="center"/>
          </w:tcPr>
          <w:p>
            <w:r/>
            <w:r>
              <w:rPr>
                <w:rFonts w:ascii="Calibri" w:hAnsi="Calibri"/>
                <w:b w:val="0"/>
                <w:i w:val="0"/>
                <w:sz w:val="20"/>
              </w:rPr>
              <w:t>Defect / Reliability</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Yes</w:t>
            </w:r>
          </w:p>
        </w:tc>
      </w:tr>
      <w:tr>
        <w:tc>
          <w:tcPr>
            <w:tcW w:type="dxa" w:w="737"/>
            <w:vAlign w:val="center"/>
          </w:tcPr>
          <w:p>
            <w:r/>
            <w:r>
              <w:rPr>
                <w:rFonts w:ascii="Calibri" w:hAnsi="Calibri"/>
                <w:b w:val="0"/>
                <w:i w:val="0"/>
                <w:sz w:val="20"/>
              </w:rPr>
              <w:t>S026</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Graph-based / GNN</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S027</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Other</w:t>
            </w:r>
          </w:p>
        </w:tc>
        <w:tc>
          <w:tcPr>
            <w:tcW w:type="dxa" w:w="2268"/>
            <w:vAlign w:val="center"/>
          </w:tcPr>
          <w:p>
            <w:r/>
            <w:r>
              <w:rPr>
                <w:rFonts w:ascii="Calibri" w:hAnsi="Calibri"/>
                <w:b w:val="0"/>
                <w:i w:val="0"/>
                <w:sz w:val="20"/>
              </w:rPr>
              <w:t>Smells / Anti-patterns</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S028 ★</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Other</w:t>
            </w:r>
          </w:p>
        </w:tc>
        <w:tc>
          <w:tcPr>
            <w:tcW w:type="dxa" w:w="2268"/>
            <w:vAlign w:val="center"/>
          </w:tcPr>
          <w:p>
            <w:r/>
            <w:r>
              <w:rPr>
                <w:rFonts w:ascii="Calibri" w:hAnsi="Calibri"/>
                <w:b w:val="0"/>
                <w:i w:val="0"/>
                <w:sz w:val="20"/>
              </w:rPr>
              <w:t>Migration / Refactorin</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S029</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LLM / Generative AI</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Yes</w:t>
            </w:r>
          </w:p>
        </w:tc>
      </w:tr>
      <w:tr>
        <w:tc>
          <w:tcPr>
            <w:tcW w:type="dxa" w:w="737"/>
            <w:vAlign w:val="center"/>
          </w:tcPr>
          <w:p>
            <w:r/>
            <w:r>
              <w:rPr>
                <w:rFonts w:ascii="Calibri" w:hAnsi="Calibri"/>
                <w:b w:val="0"/>
                <w:i w:val="0"/>
                <w:sz w:val="20"/>
              </w:rPr>
              <w:t>S030</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Metric-based</w:t>
            </w:r>
          </w:p>
        </w:tc>
        <w:tc>
          <w:tcPr>
            <w:tcW w:type="dxa" w:w="2268"/>
            <w:vAlign w:val="center"/>
          </w:tcPr>
          <w:p>
            <w:r/>
            <w:r>
              <w:rPr>
                <w:rFonts w:ascii="Calibri" w:hAnsi="Calibri"/>
                <w:b w:val="0"/>
                <w:i w:val="0"/>
                <w:sz w:val="20"/>
              </w:rPr>
              <w:t>Other</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Yes</w:t>
            </w:r>
          </w:p>
        </w:tc>
      </w:tr>
      <w:tr>
        <w:tc>
          <w:tcPr>
            <w:tcW w:type="dxa" w:w="737"/>
            <w:vAlign w:val="center"/>
          </w:tcPr>
          <w:p>
            <w:r/>
            <w:r>
              <w:rPr>
                <w:rFonts w:ascii="Calibri" w:hAnsi="Calibri"/>
                <w:b w:val="0"/>
                <w:i w:val="0"/>
                <w:sz w:val="20"/>
              </w:rPr>
              <w:t>S031</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Static Analysis</w:t>
            </w:r>
          </w:p>
        </w:tc>
        <w:tc>
          <w:tcPr>
            <w:tcW w:type="dxa" w:w="2268"/>
            <w:vAlign w:val="center"/>
          </w:tcPr>
          <w:p>
            <w:r/>
            <w:r>
              <w:rPr>
                <w:rFonts w:ascii="Calibri" w:hAnsi="Calibri"/>
                <w:b w:val="0"/>
                <w:i w:val="0"/>
                <w:sz w:val="20"/>
              </w:rPr>
              <w:t>Migration / Refactorin</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S032</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Other</w:t>
            </w:r>
          </w:p>
        </w:tc>
        <w:tc>
          <w:tcPr>
            <w:tcW w:type="dxa" w:w="2268"/>
            <w:vAlign w:val="center"/>
          </w:tcPr>
          <w:p>
            <w:r/>
            <w:r>
              <w:rPr>
                <w:rFonts w:ascii="Calibri" w:hAnsi="Calibri"/>
                <w:b w:val="0"/>
                <w:i w:val="0"/>
                <w:sz w:val="20"/>
              </w:rPr>
              <w:t>Other</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S033</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Observability-based</w:t>
            </w:r>
          </w:p>
        </w:tc>
        <w:tc>
          <w:tcPr>
            <w:tcW w:type="dxa" w:w="2268"/>
            <w:vAlign w:val="center"/>
          </w:tcPr>
          <w:p>
            <w:r/>
            <w:r>
              <w:rPr>
                <w:rFonts w:ascii="Calibri" w:hAnsi="Calibri"/>
                <w:b w:val="0"/>
                <w:i w:val="0"/>
                <w:sz w:val="20"/>
              </w:rPr>
              <w:t>Resource Mgmt / Orches</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S034</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Metric-based</w:t>
            </w:r>
          </w:p>
        </w:tc>
        <w:tc>
          <w:tcPr>
            <w:tcW w:type="dxa" w:w="2268"/>
            <w:vAlign w:val="center"/>
          </w:tcPr>
          <w:p>
            <w:r/>
            <w:r>
              <w:rPr>
                <w:rFonts w:ascii="Calibri" w:hAnsi="Calibri"/>
                <w:b w:val="0"/>
                <w:i w:val="0"/>
                <w:sz w:val="20"/>
              </w:rPr>
              <w:t>Resource Mgmt / Orches</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S035</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Deep Learning</w:t>
            </w:r>
          </w:p>
        </w:tc>
        <w:tc>
          <w:tcPr>
            <w:tcW w:type="dxa" w:w="2268"/>
            <w:vAlign w:val="center"/>
          </w:tcPr>
          <w:p>
            <w:r/>
            <w:r>
              <w:rPr>
                <w:rFonts w:ascii="Calibri" w:hAnsi="Calibri"/>
                <w:b w:val="0"/>
                <w:i w:val="0"/>
                <w:sz w:val="20"/>
              </w:rPr>
              <w:t>Architecture Documenta</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S036</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Reinforcement Learning</w:t>
            </w:r>
          </w:p>
        </w:tc>
        <w:tc>
          <w:tcPr>
            <w:tcW w:type="dxa" w:w="2268"/>
            <w:vAlign w:val="center"/>
          </w:tcPr>
          <w:p>
            <w:r/>
            <w:r>
              <w:rPr>
                <w:rFonts w:ascii="Calibri" w:hAnsi="Calibri"/>
                <w:b w:val="0"/>
                <w:i w:val="0"/>
                <w:sz w:val="20"/>
              </w:rPr>
              <w:t>Resource Mgmt / Orches</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Yes</w:t>
            </w:r>
          </w:p>
        </w:tc>
      </w:tr>
      <w:tr>
        <w:tc>
          <w:tcPr>
            <w:tcW w:type="dxa" w:w="737"/>
            <w:vAlign w:val="center"/>
          </w:tcPr>
          <w:p>
            <w:r/>
            <w:r>
              <w:rPr>
                <w:rFonts w:ascii="Calibri" w:hAnsi="Calibri"/>
                <w:b w:val="0"/>
                <w:i w:val="0"/>
                <w:sz w:val="20"/>
              </w:rPr>
              <w:t>S037</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Other</w:t>
            </w:r>
          </w:p>
        </w:tc>
        <w:tc>
          <w:tcPr>
            <w:tcW w:type="dxa" w:w="2268"/>
            <w:vAlign w:val="center"/>
          </w:tcPr>
          <w:p>
            <w:r/>
            <w:r>
              <w:rPr>
                <w:rFonts w:ascii="Calibri" w:hAnsi="Calibri"/>
                <w:b w:val="0"/>
                <w:i w:val="0"/>
                <w:sz w:val="20"/>
              </w:rPr>
              <w:t>Performance / SLO</w:t>
            </w:r>
          </w:p>
        </w:tc>
        <w:tc>
          <w:tcPr>
            <w:tcW w:type="dxa" w:w="567"/>
            <w:vAlign w:val="center"/>
          </w:tcPr>
          <w:p>
            <w:r/>
            <w:r>
              <w:rPr>
                <w:rFonts w:ascii="Calibri" w:hAnsi="Calibri"/>
                <w:b w:val="0"/>
                <w:i w:val="0"/>
                <w:sz w:val="20"/>
              </w:rPr>
              <w:t>Yes</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S038</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LLM / Generative AI</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S039</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Static Analysis</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S040</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Other</w:t>
            </w:r>
          </w:p>
        </w:tc>
        <w:tc>
          <w:tcPr>
            <w:tcW w:type="dxa" w:w="2268"/>
            <w:vAlign w:val="center"/>
          </w:tcPr>
          <w:p>
            <w:r/>
            <w:r>
              <w:rPr>
                <w:rFonts w:ascii="Calibri" w:hAnsi="Calibri"/>
                <w:b w:val="0"/>
                <w:i w:val="0"/>
                <w:sz w:val="20"/>
              </w:rPr>
              <w:t>Other</w:t>
            </w:r>
          </w:p>
        </w:tc>
        <w:tc>
          <w:tcPr>
            <w:tcW w:type="dxa" w:w="567"/>
            <w:vAlign w:val="center"/>
          </w:tcPr>
          <w:p>
            <w:r/>
            <w:r>
              <w:rPr>
                <w:rFonts w:ascii="Calibri" w:hAnsi="Calibri"/>
                <w:b w:val="0"/>
                <w:i w:val="0"/>
                <w:sz w:val="20"/>
              </w:rPr>
              <w:t>Yes</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S041</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Model-Driven / Metamodel</w:t>
            </w:r>
          </w:p>
        </w:tc>
        <w:tc>
          <w:tcPr>
            <w:tcW w:type="dxa" w:w="2268"/>
            <w:vAlign w:val="center"/>
          </w:tcPr>
          <w:p>
            <w:r/>
            <w:r>
              <w:rPr>
                <w:rFonts w:ascii="Calibri" w:hAnsi="Calibri"/>
                <w:b w:val="0"/>
                <w:i w:val="0"/>
                <w:sz w:val="20"/>
              </w:rPr>
              <w:t>Security</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Yes</w:t>
            </w:r>
          </w:p>
        </w:tc>
      </w:tr>
      <w:tr>
        <w:tc>
          <w:tcPr>
            <w:tcW w:type="dxa" w:w="737"/>
            <w:vAlign w:val="center"/>
          </w:tcPr>
          <w:p>
            <w:r/>
            <w:r>
              <w:rPr>
                <w:rFonts w:ascii="Calibri" w:hAnsi="Calibri"/>
                <w:b w:val="0"/>
                <w:i w:val="0"/>
                <w:sz w:val="20"/>
              </w:rPr>
              <w:t>S042</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Metric-based</w:t>
            </w:r>
          </w:p>
        </w:tc>
        <w:tc>
          <w:tcPr>
            <w:tcW w:type="dxa" w:w="2268"/>
            <w:vAlign w:val="center"/>
          </w:tcPr>
          <w:p>
            <w:r/>
            <w:r>
              <w:rPr>
                <w:rFonts w:ascii="Calibri" w:hAnsi="Calibri"/>
                <w:b w:val="0"/>
                <w:i w:val="0"/>
                <w:sz w:val="20"/>
              </w:rPr>
              <w:t>Other</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S043</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Deep Learning</w:t>
            </w:r>
          </w:p>
        </w:tc>
        <w:tc>
          <w:tcPr>
            <w:tcW w:type="dxa" w:w="2268"/>
            <w:vAlign w:val="center"/>
          </w:tcPr>
          <w:p>
            <w:r/>
            <w:r>
              <w:rPr>
                <w:rFonts w:ascii="Calibri" w:hAnsi="Calibri"/>
                <w:b w:val="0"/>
                <w:i w:val="0"/>
                <w:sz w:val="20"/>
              </w:rPr>
              <w:t>Other</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S044</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Other</w:t>
            </w:r>
          </w:p>
        </w:tc>
        <w:tc>
          <w:tcPr>
            <w:tcW w:type="dxa" w:w="2268"/>
            <w:vAlign w:val="center"/>
          </w:tcPr>
          <w:p>
            <w:r/>
            <w:r>
              <w:rPr>
                <w:rFonts w:ascii="Calibri" w:hAnsi="Calibri"/>
                <w:b w:val="0"/>
                <w:i w:val="0"/>
                <w:sz w:val="20"/>
              </w:rPr>
              <w:t>Other</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S045</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Classical ML</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S046 ★</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Graph-based / GNN</w:t>
            </w:r>
          </w:p>
        </w:tc>
        <w:tc>
          <w:tcPr>
            <w:tcW w:type="dxa" w:w="2268"/>
            <w:vAlign w:val="center"/>
          </w:tcPr>
          <w:p>
            <w:r/>
            <w:r>
              <w:rPr>
                <w:rFonts w:ascii="Calibri" w:hAnsi="Calibri"/>
                <w:b w:val="0"/>
                <w:i w:val="0"/>
                <w:sz w:val="20"/>
              </w:rPr>
              <w:t>Resource Mgmt / Orches</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S047</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Metric-based</w:t>
            </w:r>
          </w:p>
        </w:tc>
        <w:tc>
          <w:tcPr>
            <w:tcW w:type="dxa" w:w="2268"/>
            <w:vAlign w:val="center"/>
          </w:tcPr>
          <w:p>
            <w:r/>
            <w:r>
              <w:rPr>
                <w:rFonts w:ascii="Calibri" w:hAnsi="Calibri"/>
                <w:b w:val="0"/>
                <w:i w:val="0"/>
                <w:sz w:val="20"/>
              </w:rPr>
              <w:t>Resource Mgmt / Orches</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S048</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Graph-based / GNN</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S049</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Static Analysis</w:t>
            </w:r>
          </w:p>
        </w:tc>
        <w:tc>
          <w:tcPr>
            <w:tcW w:type="dxa" w:w="2268"/>
            <w:vAlign w:val="center"/>
          </w:tcPr>
          <w:p>
            <w:r/>
            <w:r>
              <w:rPr>
                <w:rFonts w:ascii="Calibri" w:hAnsi="Calibri"/>
                <w:b w:val="0"/>
                <w:i w:val="0"/>
                <w:sz w:val="20"/>
              </w:rPr>
              <w:t>Resource Mgmt / Orches</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S050</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Static Analysis</w:t>
            </w:r>
          </w:p>
        </w:tc>
        <w:tc>
          <w:tcPr>
            <w:tcW w:type="dxa" w:w="2268"/>
            <w:vAlign w:val="center"/>
          </w:tcPr>
          <w:p>
            <w:r/>
            <w:r>
              <w:rPr>
                <w:rFonts w:ascii="Calibri" w:hAnsi="Calibri"/>
                <w:b w:val="0"/>
                <w:i w:val="0"/>
                <w:sz w:val="20"/>
              </w:rPr>
              <w:t>Resource Mgmt / Orches</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S051</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Deep Learning</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S052</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Other</w:t>
            </w:r>
          </w:p>
        </w:tc>
        <w:tc>
          <w:tcPr>
            <w:tcW w:type="dxa" w:w="2268"/>
            <w:vAlign w:val="center"/>
          </w:tcPr>
          <w:p>
            <w:r/>
            <w:r>
              <w:rPr>
                <w:rFonts w:ascii="Calibri" w:hAnsi="Calibri"/>
                <w:b w:val="0"/>
                <w:i w:val="0"/>
                <w:sz w:val="20"/>
              </w:rPr>
              <w:t>Defect / Reliability</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S053</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Static Analysis</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S054</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Graph-based / GNN</w:t>
            </w:r>
          </w:p>
        </w:tc>
        <w:tc>
          <w:tcPr>
            <w:tcW w:type="dxa" w:w="2268"/>
            <w:vAlign w:val="center"/>
          </w:tcPr>
          <w:p>
            <w:r/>
            <w:r>
              <w:rPr>
                <w:rFonts w:ascii="Calibri" w:hAnsi="Calibri"/>
                <w:b w:val="0"/>
                <w:i w:val="0"/>
                <w:sz w:val="20"/>
              </w:rPr>
              <w:t>Migration / Refactorin</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S055</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Model-Driven / Metamodel</w:t>
            </w:r>
          </w:p>
        </w:tc>
        <w:tc>
          <w:tcPr>
            <w:tcW w:type="dxa" w:w="2268"/>
            <w:vAlign w:val="center"/>
          </w:tcPr>
          <w:p>
            <w:r/>
            <w:r>
              <w:rPr>
                <w:rFonts w:ascii="Calibri" w:hAnsi="Calibri"/>
                <w:b w:val="0"/>
                <w:i w:val="0"/>
                <w:sz w:val="20"/>
              </w:rPr>
              <w:t>Other</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S056</w:t>
            </w:r>
          </w:p>
        </w:tc>
        <w:tc>
          <w:tcPr>
            <w:tcW w:type="dxa" w:w="567"/>
            <w:vAlign w:val="center"/>
          </w:tcPr>
          <w:p>
            <w:r/>
            <w:r>
              <w:rPr>
                <w:rFonts w:ascii="Calibri" w:hAnsi="Calibri"/>
                <w:b w:val="0"/>
                <w:i w:val="0"/>
                <w:sz w:val="20"/>
              </w:rPr>
              <w:t>2023</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Metric-based</w:t>
            </w:r>
          </w:p>
        </w:tc>
        <w:tc>
          <w:tcPr>
            <w:tcW w:type="dxa" w:w="2268"/>
            <w:vAlign w:val="center"/>
          </w:tcPr>
          <w:p>
            <w:r/>
            <w:r>
              <w:rPr>
                <w:rFonts w:ascii="Calibri" w:hAnsi="Calibri"/>
                <w:b w:val="0"/>
                <w:i w:val="0"/>
                <w:sz w:val="20"/>
              </w:rPr>
              <w:t xml:space="preserve">Change Impact / Issue </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S057</w:t>
            </w:r>
          </w:p>
        </w:tc>
        <w:tc>
          <w:tcPr>
            <w:tcW w:type="dxa" w:w="567"/>
            <w:vAlign w:val="center"/>
          </w:tcPr>
          <w:p>
            <w:r/>
            <w:r>
              <w:rPr>
                <w:rFonts w:ascii="Calibri" w:hAnsi="Calibri"/>
                <w:b w:val="0"/>
                <w:i w:val="0"/>
                <w:sz w:val="20"/>
              </w:rPr>
              <w:t>2023</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Deep Learning</w:t>
            </w:r>
          </w:p>
        </w:tc>
        <w:tc>
          <w:tcPr>
            <w:tcW w:type="dxa" w:w="2268"/>
            <w:vAlign w:val="center"/>
          </w:tcPr>
          <w:p>
            <w:r/>
            <w:r>
              <w:rPr>
                <w:rFonts w:ascii="Calibri" w:hAnsi="Calibri"/>
                <w:b w:val="0"/>
                <w:i w:val="0"/>
                <w:sz w:val="20"/>
              </w:rPr>
              <w:t>Performance / SLO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S058</w:t>
            </w:r>
          </w:p>
        </w:tc>
        <w:tc>
          <w:tcPr>
            <w:tcW w:type="dxa" w:w="567"/>
            <w:vAlign w:val="center"/>
          </w:tcPr>
          <w:p>
            <w:r/>
            <w:r>
              <w:rPr>
                <w:rFonts w:ascii="Calibri" w:hAnsi="Calibri"/>
                <w:b w:val="0"/>
                <w:i w:val="0"/>
                <w:sz w:val="20"/>
              </w:rPr>
              <w:t>2023</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Classical ML</w:t>
            </w:r>
          </w:p>
        </w:tc>
        <w:tc>
          <w:tcPr>
            <w:tcW w:type="dxa" w:w="2268"/>
            <w:vAlign w:val="center"/>
          </w:tcPr>
          <w:p>
            <w:r/>
            <w:r>
              <w:rPr>
                <w:rFonts w:ascii="Calibri" w:hAnsi="Calibri"/>
                <w:b w:val="0"/>
                <w:i w:val="0"/>
                <w:sz w:val="20"/>
              </w:rPr>
              <w:t>Defect / Reliability</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S059</w:t>
            </w:r>
          </w:p>
        </w:tc>
        <w:tc>
          <w:tcPr>
            <w:tcW w:type="dxa" w:w="567"/>
            <w:vAlign w:val="center"/>
          </w:tcPr>
          <w:p>
            <w:r/>
            <w:r>
              <w:rPr>
                <w:rFonts w:ascii="Calibri" w:hAnsi="Calibri"/>
                <w:b w:val="0"/>
                <w:i w:val="0"/>
                <w:sz w:val="20"/>
              </w:rPr>
              <w:t>2023</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Metric-based</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Yes</w:t>
            </w:r>
          </w:p>
        </w:tc>
      </w:tr>
      <w:tr>
        <w:tc>
          <w:tcPr>
            <w:tcW w:type="dxa" w:w="737"/>
            <w:vAlign w:val="center"/>
          </w:tcPr>
          <w:p>
            <w:r/>
            <w:r>
              <w:rPr>
                <w:rFonts w:ascii="Calibri" w:hAnsi="Calibri"/>
                <w:b w:val="0"/>
                <w:i w:val="0"/>
                <w:sz w:val="20"/>
              </w:rPr>
              <w:t>S060</w:t>
            </w:r>
          </w:p>
        </w:tc>
        <w:tc>
          <w:tcPr>
            <w:tcW w:type="dxa" w:w="567"/>
            <w:vAlign w:val="center"/>
          </w:tcPr>
          <w:p>
            <w:r/>
            <w:r>
              <w:rPr>
                <w:rFonts w:ascii="Calibri" w:hAnsi="Calibri"/>
                <w:b w:val="0"/>
                <w:i w:val="0"/>
                <w:sz w:val="20"/>
              </w:rPr>
              <w:t>2023</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Metric-based</w:t>
            </w:r>
          </w:p>
        </w:tc>
        <w:tc>
          <w:tcPr>
            <w:tcW w:type="dxa" w:w="2268"/>
            <w:vAlign w:val="center"/>
          </w:tcPr>
          <w:p>
            <w:r/>
            <w:r>
              <w:rPr>
                <w:rFonts w:ascii="Calibri" w:hAnsi="Calibri"/>
                <w:b w:val="0"/>
                <w:i w:val="0"/>
                <w:sz w:val="20"/>
              </w:rPr>
              <w:t>Migration / Refactorin</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bl>
    <w:p>
      <w:pPr>
        <w:spacing w:before="40" w:after="200"/>
        <w:jc w:val="center"/>
      </w:pPr>
      <w:r>
        <w:rPr>
          <w:rFonts w:ascii="Calibri" w:hAnsi="Calibri"/>
          <w:b w:val="0"/>
          <w:i/>
          <w:color w:val="555555"/>
          <w:sz w:val="18"/>
        </w:rPr>
        <w:t>Table 13 — Data extraction form (first 60 of 113 studies; full extraction in the supplementary spreadsheet).</w:t>
      </w:r>
    </w:p>
    <w:p>
      <w:r>
        <w:br w:type="page"/>
      </w:r>
    </w:p>
    <w:p>
      <w:pPr>
        <w:pStyle w:val="Heading1"/>
        <w:keepNext/>
        <w:spacing w:before="360" w:after="120"/>
      </w:pPr>
      <w:r>
        <w:rPr>
          <w:rFonts w:ascii="Calibri" w:hAnsi="Calibri"/>
          <w:b/>
          <w:i w:val="0"/>
          <w:color w:val="1F3A5F"/>
          <w:sz w:val="36"/>
        </w:rPr>
        <w:t>Appendix C — STAR Candidates</w:t>
      </w:r>
    </w:p>
    <w:p>
      <w:pPr>
        <w:spacing w:before="0" w:after="80" w:line="276" w:lineRule="auto"/>
      </w:pPr>
      <w:r>
        <w:rPr>
          <w:rFonts w:ascii="Calibri" w:hAnsi="Calibri"/>
          <w:b w:val="0"/>
          <w:i w:val="0"/>
          <w:sz w:val="22"/>
        </w:rPr>
        <w:t>The STAR-candidate label is given to primary studies whose alignment with the four research questions of the thesis is the strongest. The ranking combines explicit microservice / cloud-native domain (RQ1), presence of architecture-aware metric vocabulary (RQ2), use of ML/AI for prediction or explanation (RQ3), and developer-facing tooling (RQ4). Java focus and explainability provisions are added bonuses. Recency contributes a small tie-breaker.</w:t>
      </w:r>
    </w:p>
    <w:tbl>
      <w:tblPr>
        <w:tblStyle w:val="LightGrid-Accent1"/>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737"/>
            <w:shd w:val="clear" w:color="auto" w:fill="1F3A5F"/>
            <w:vAlign w:val="center"/>
          </w:tcPr>
          <w:p>
            <w:r/>
            <w:r>
              <w:rPr>
                <w:rFonts w:ascii="Calibri" w:hAnsi="Calibri"/>
                <w:b/>
                <w:i w:val="0"/>
                <w:color w:val="FFFFFF"/>
                <w:sz w:val="20"/>
              </w:rPr>
              <w:t>SID</w:t>
            </w:r>
          </w:p>
        </w:tc>
        <w:tc>
          <w:tcPr>
            <w:tcW w:type="dxa" w:w="567"/>
            <w:shd w:val="clear" w:color="auto" w:fill="1F3A5F"/>
            <w:vAlign w:val="center"/>
          </w:tcPr>
          <w:p>
            <w:r/>
            <w:r>
              <w:rPr>
                <w:rFonts w:ascii="Calibri" w:hAnsi="Calibri"/>
                <w:b/>
                <w:i w:val="0"/>
                <w:color w:val="FFFFFF"/>
                <w:sz w:val="20"/>
              </w:rPr>
              <w:t>Yr</w:t>
            </w:r>
          </w:p>
        </w:tc>
        <w:tc>
          <w:tcPr>
            <w:tcW w:type="dxa" w:w="2154"/>
            <w:shd w:val="clear" w:color="auto" w:fill="1F3A5F"/>
            <w:vAlign w:val="center"/>
          </w:tcPr>
          <w:p>
            <w:r/>
            <w:r>
              <w:rPr>
                <w:rFonts w:ascii="Calibri" w:hAnsi="Calibri"/>
                <w:b/>
                <w:i w:val="0"/>
                <w:color w:val="FFFFFF"/>
                <w:sz w:val="20"/>
              </w:rPr>
              <w:t>Lead author</w:t>
            </w:r>
          </w:p>
        </w:tc>
        <w:tc>
          <w:tcPr>
            <w:tcW w:type="dxa" w:w="2041"/>
            <w:shd w:val="clear" w:color="auto" w:fill="1F3A5F"/>
            <w:vAlign w:val="center"/>
          </w:tcPr>
          <w:p>
            <w:r/>
            <w:r>
              <w:rPr>
                <w:rFonts w:ascii="Calibri" w:hAnsi="Calibri"/>
                <w:b/>
                <w:i w:val="0"/>
                <w:color w:val="FFFFFF"/>
                <w:sz w:val="20"/>
              </w:rPr>
              <w:t>Approach</w:t>
            </w:r>
          </w:p>
        </w:tc>
        <w:tc>
          <w:tcPr>
            <w:tcW w:type="dxa" w:w="2041"/>
            <w:shd w:val="clear" w:color="auto" w:fill="1F3A5F"/>
            <w:vAlign w:val="center"/>
          </w:tcPr>
          <w:p>
            <w:r/>
            <w:r>
              <w:rPr>
                <w:rFonts w:ascii="Calibri" w:hAnsi="Calibri"/>
                <w:b/>
                <w:i w:val="0"/>
                <w:color w:val="FFFFFF"/>
                <w:sz w:val="20"/>
              </w:rPr>
              <w:t>Concern</w:t>
            </w:r>
          </w:p>
        </w:tc>
        <w:tc>
          <w:tcPr>
            <w:tcW w:type="dxa" w:w="680"/>
            <w:shd w:val="clear" w:color="auto" w:fill="1F3A5F"/>
            <w:vAlign w:val="center"/>
          </w:tcPr>
          <w:p>
            <w:r/>
            <w:r>
              <w:rPr>
                <w:rFonts w:ascii="Calibri" w:hAnsi="Calibri"/>
                <w:b/>
                <w:i w:val="0"/>
                <w:color w:val="FFFFFF"/>
                <w:sz w:val="20"/>
              </w:rPr>
              <w:t>Score</w:t>
            </w:r>
          </w:p>
        </w:tc>
        <w:tc>
          <w:tcPr>
            <w:tcW w:type="dxa" w:w="850"/>
            <w:shd w:val="clear" w:color="auto" w:fill="1F3A5F"/>
            <w:vAlign w:val="center"/>
          </w:tcPr>
          <w:p>
            <w:r/>
            <w:r>
              <w:rPr>
                <w:rFonts w:ascii="Calibri" w:hAnsi="Calibri"/>
                <w:b/>
                <w:i w:val="0"/>
                <w:color w:val="FFFFFF"/>
                <w:sz w:val="20"/>
              </w:rPr>
              <w:t>Source</w:t>
            </w:r>
          </w:p>
        </w:tc>
      </w:tr>
      <w:tr>
        <w:tc>
          <w:tcPr>
            <w:tcW w:type="dxa" w:w="737"/>
            <w:vAlign w:val="center"/>
          </w:tcPr>
          <w:p>
            <w:r/>
            <w:r>
              <w:rPr>
                <w:rFonts w:ascii="Calibri" w:hAnsi="Calibri"/>
                <w:b w:val="0"/>
                <w:i w:val="0"/>
                <w:sz w:val="20"/>
              </w:rPr>
              <w:t>S046</w:t>
            </w:r>
          </w:p>
        </w:tc>
        <w:tc>
          <w:tcPr>
            <w:tcW w:type="dxa" w:w="567"/>
            <w:vAlign w:val="center"/>
          </w:tcPr>
          <w:p>
            <w:r/>
            <w:r>
              <w:rPr>
                <w:rFonts w:ascii="Calibri" w:hAnsi="Calibri"/>
                <w:b w:val="0"/>
                <w:i w:val="0"/>
                <w:sz w:val="20"/>
              </w:rPr>
              <w:t>2024</w:t>
            </w:r>
          </w:p>
        </w:tc>
        <w:tc>
          <w:tcPr>
            <w:tcW w:type="dxa" w:w="2154"/>
            <w:vAlign w:val="center"/>
          </w:tcPr>
          <w:p>
            <w:r/>
            <w:r>
              <w:rPr>
                <w:rFonts w:ascii="Calibri" w:hAnsi="Calibri"/>
                <w:b w:val="0"/>
                <w:i w:val="0"/>
                <w:sz w:val="20"/>
              </w:rPr>
              <w:t>Park, Jinwoo</w:t>
            </w:r>
          </w:p>
        </w:tc>
        <w:tc>
          <w:tcPr>
            <w:tcW w:type="dxa" w:w="2041"/>
            <w:vAlign w:val="center"/>
          </w:tcPr>
          <w:p>
            <w:r/>
            <w:r>
              <w:rPr>
                <w:rFonts w:ascii="Calibri" w:hAnsi="Calibri"/>
                <w:b w:val="0"/>
                <w:i w:val="0"/>
                <w:sz w:val="20"/>
              </w:rPr>
              <w:t>Graph-based / GNN</w:t>
            </w:r>
          </w:p>
        </w:tc>
        <w:tc>
          <w:tcPr>
            <w:tcW w:type="dxa" w:w="2041"/>
            <w:vAlign w:val="center"/>
          </w:tcPr>
          <w:p>
            <w:r/>
            <w:r>
              <w:rPr>
                <w:rFonts w:ascii="Calibri" w:hAnsi="Calibri"/>
                <w:b w:val="0"/>
                <w:i w:val="0"/>
                <w:sz w:val="20"/>
              </w:rPr>
              <w:t>Resource Mgmt / Orches</w:t>
            </w:r>
          </w:p>
        </w:tc>
        <w:tc>
          <w:tcPr>
            <w:tcW w:type="dxa" w:w="680"/>
            <w:vAlign w:val="center"/>
          </w:tcPr>
          <w:p>
            <w:r/>
            <w:r>
              <w:rPr>
                <w:rFonts w:ascii="Calibri" w:hAnsi="Calibri"/>
                <w:b w:val="0"/>
                <w:i w:val="0"/>
                <w:sz w:val="20"/>
              </w:rPr>
              <w:t>16</w:t>
            </w:r>
          </w:p>
        </w:tc>
        <w:tc>
          <w:tcPr>
            <w:tcW w:type="dxa" w:w="850"/>
            <w:vAlign w:val="center"/>
          </w:tcPr>
          <w:p>
            <w:r/>
            <w:r>
              <w:rPr>
                <w:rFonts w:ascii="Calibri" w:hAnsi="Calibri"/>
                <w:b w:val="0"/>
                <w:i w:val="0"/>
                <w:sz w:val="20"/>
              </w:rPr>
              <w:t>V4</w:t>
            </w:r>
          </w:p>
        </w:tc>
      </w:tr>
      <w:tr>
        <w:tc>
          <w:tcPr>
            <w:tcW w:type="dxa" w:w="737"/>
            <w:vAlign w:val="center"/>
          </w:tcPr>
          <w:p>
            <w:r/>
            <w:r>
              <w:rPr>
                <w:rFonts w:ascii="Calibri" w:hAnsi="Calibri"/>
                <w:b w:val="0"/>
                <w:i w:val="0"/>
                <w:sz w:val="20"/>
              </w:rPr>
              <w:t>S028</w:t>
            </w:r>
          </w:p>
        </w:tc>
        <w:tc>
          <w:tcPr>
            <w:tcW w:type="dxa" w:w="567"/>
            <w:vAlign w:val="center"/>
          </w:tcPr>
          <w:p>
            <w:r/>
            <w:r>
              <w:rPr>
                <w:rFonts w:ascii="Calibri" w:hAnsi="Calibri"/>
                <w:b w:val="0"/>
                <w:i w:val="0"/>
                <w:sz w:val="20"/>
              </w:rPr>
              <w:t>2025</w:t>
            </w:r>
          </w:p>
        </w:tc>
        <w:tc>
          <w:tcPr>
            <w:tcW w:type="dxa" w:w="2154"/>
            <w:vAlign w:val="center"/>
          </w:tcPr>
          <w:p>
            <w:r/>
            <w:r>
              <w:rPr>
                <w:rFonts w:ascii="Calibri" w:hAnsi="Calibri"/>
                <w:b w:val="0"/>
                <w:i w:val="0"/>
                <w:sz w:val="20"/>
              </w:rPr>
              <w:t>Cortellessa, Vittorio</w:t>
            </w:r>
          </w:p>
        </w:tc>
        <w:tc>
          <w:tcPr>
            <w:tcW w:type="dxa" w:w="2041"/>
            <w:vAlign w:val="center"/>
          </w:tcPr>
          <w:p>
            <w:r/>
            <w:r>
              <w:rPr>
                <w:rFonts w:ascii="Calibri" w:hAnsi="Calibri"/>
                <w:b w:val="0"/>
                <w:i w:val="0"/>
                <w:sz w:val="20"/>
              </w:rPr>
              <w:t>Other</w:t>
            </w:r>
          </w:p>
        </w:tc>
        <w:tc>
          <w:tcPr>
            <w:tcW w:type="dxa" w:w="2041"/>
            <w:vAlign w:val="center"/>
          </w:tcPr>
          <w:p>
            <w:r/>
            <w:r>
              <w:rPr>
                <w:rFonts w:ascii="Calibri" w:hAnsi="Calibri"/>
                <w:b w:val="0"/>
                <w:i w:val="0"/>
                <w:sz w:val="20"/>
              </w:rPr>
              <w:t>Migration / Refactorin</w:t>
            </w:r>
          </w:p>
        </w:tc>
        <w:tc>
          <w:tcPr>
            <w:tcW w:type="dxa" w:w="680"/>
            <w:vAlign w:val="center"/>
          </w:tcPr>
          <w:p>
            <w:r/>
            <w:r>
              <w:rPr>
                <w:rFonts w:ascii="Calibri" w:hAnsi="Calibri"/>
                <w:b w:val="0"/>
                <w:i w:val="0"/>
                <w:sz w:val="20"/>
              </w:rPr>
              <w:t>10</w:t>
            </w:r>
          </w:p>
        </w:tc>
        <w:tc>
          <w:tcPr>
            <w:tcW w:type="dxa" w:w="850"/>
            <w:vAlign w:val="center"/>
          </w:tcPr>
          <w:p>
            <w:r/>
            <w:r>
              <w:rPr>
                <w:rFonts w:ascii="Calibri" w:hAnsi="Calibri"/>
                <w:b w:val="0"/>
                <w:i w:val="0"/>
                <w:sz w:val="20"/>
              </w:rPr>
              <w:t>V4</w:t>
            </w:r>
          </w:p>
        </w:tc>
      </w:tr>
      <w:tr>
        <w:tc>
          <w:tcPr>
            <w:tcW w:type="dxa" w:w="737"/>
            <w:vAlign w:val="center"/>
          </w:tcPr>
          <w:p>
            <w:r/>
            <w:r>
              <w:rPr>
                <w:rFonts w:ascii="Calibri" w:hAnsi="Calibri"/>
                <w:b w:val="0"/>
                <w:i w:val="0"/>
                <w:sz w:val="20"/>
              </w:rPr>
              <w:t>S101</w:t>
            </w:r>
          </w:p>
        </w:tc>
        <w:tc>
          <w:tcPr>
            <w:tcW w:type="dxa" w:w="567"/>
            <w:vAlign w:val="center"/>
          </w:tcPr>
          <w:p>
            <w:r/>
            <w:r>
              <w:rPr>
                <w:rFonts w:ascii="Calibri" w:hAnsi="Calibri"/>
                <w:b w:val="0"/>
                <w:i w:val="0"/>
                <w:sz w:val="20"/>
              </w:rPr>
              <w:t>2018</w:t>
            </w:r>
          </w:p>
        </w:tc>
        <w:tc>
          <w:tcPr>
            <w:tcW w:type="dxa" w:w="2154"/>
            <w:vAlign w:val="center"/>
          </w:tcPr>
          <w:p>
            <w:r/>
            <w:r>
              <w:rPr>
                <w:rFonts w:ascii="Calibri" w:hAnsi="Calibri"/>
                <w:b w:val="0"/>
                <w:i w:val="0"/>
                <w:sz w:val="20"/>
              </w:rPr>
              <w:t>n/a</w:t>
            </w:r>
          </w:p>
        </w:tc>
        <w:tc>
          <w:tcPr>
            <w:tcW w:type="dxa" w:w="2041"/>
            <w:vAlign w:val="center"/>
          </w:tcPr>
          <w:p>
            <w:r/>
            <w:r>
              <w:rPr>
                <w:rFonts w:ascii="Calibri" w:hAnsi="Calibri"/>
                <w:b w:val="0"/>
                <w:i w:val="0"/>
                <w:sz w:val="20"/>
              </w:rPr>
              <w:t>Model-Driven / Metamodel</w:t>
            </w:r>
          </w:p>
        </w:tc>
        <w:tc>
          <w:tcPr>
            <w:tcW w:type="dxa" w:w="2041"/>
            <w:vAlign w:val="center"/>
          </w:tcPr>
          <w:p>
            <w:r/>
            <w:r>
              <w:rPr>
                <w:rFonts w:ascii="Calibri" w:hAnsi="Calibri"/>
                <w:b w:val="0"/>
                <w:i w:val="0"/>
                <w:sz w:val="20"/>
              </w:rPr>
              <w:t>Smells / Anti-patterns</w:t>
            </w:r>
          </w:p>
        </w:tc>
        <w:tc>
          <w:tcPr>
            <w:tcW w:type="dxa" w:w="680"/>
            <w:vAlign w:val="center"/>
          </w:tcPr>
          <w:p>
            <w:r/>
            <w:r>
              <w:rPr>
                <w:rFonts w:ascii="Calibri" w:hAnsi="Calibri"/>
                <w:b w:val="0"/>
                <w:i w:val="0"/>
                <w:sz w:val="20"/>
              </w:rPr>
              <w:t>8</w:t>
            </w:r>
          </w:p>
        </w:tc>
        <w:tc>
          <w:tcPr>
            <w:tcW w:type="dxa" w:w="850"/>
            <w:vAlign w:val="center"/>
          </w:tcPr>
          <w:p>
            <w:r/>
            <w:r>
              <w:rPr>
                <w:rFonts w:ascii="Calibri" w:hAnsi="Calibri"/>
                <w:b w:val="0"/>
                <w:i w:val="0"/>
                <w:sz w:val="20"/>
              </w:rPr>
              <w:t>Snowball</w:t>
            </w:r>
          </w:p>
        </w:tc>
      </w:tr>
      <w:tr>
        <w:tc>
          <w:tcPr>
            <w:tcW w:type="dxa" w:w="737"/>
            <w:vAlign w:val="center"/>
          </w:tcPr>
          <w:p>
            <w:r/>
            <w:r>
              <w:rPr>
                <w:rFonts w:ascii="Calibri" w:hAnsi="Calibri"/>
                <w:b w:val="0"/>
                <w:i w:val="0"/>
                <w:sz w:val="20"/>
              </w:rPr>
              <w:t>S111</w:t>
            </w:r>
          </w:p>
        </w:tc>
        <w:tc>
          <w:tcPr>
            <w:tcW w:type="dxa" w:w="567"/>
            <w:vAlign w:val="center"/>
          </w:tcPr>
          <w:p>
            <w:r/>
            <w:r>
              <w:rPr>
                <w:rFonts w:ascii="Calibri" w:hAnsi="Calibri"/>
                <w:b w:val="0"/>
                <w:i w:val="0"/>
                <w:sz w:val="20"/>
              </w:rPr>
              <w:t>2015</w:t>
            </w:r>
          </w:p>
        </w:tc>
        <w:tc>
          <w:tcPr>
            <w:tcW w:type="dxa" w:w="2154"/>
            <w:vAlign w:val="center"/>
          </w:tcPr>
          <w:p>
            <w:r/>
            <w:r>
              <w:rPr>
                <w:rFonts w:ascii="Calibri" w:hAnsi="Calibri"/>
                <w:b w:val="0"/>
                <w:i w:val="0"/>
                <w:sz w:val="20"/>
              </w:rPr>
              <w:t>n/a</w:t>
            </w:r>
          </w:p>
        </w:tc>
        <w:tc>
          <w:tcPr>
            <w:tcW w:type="dxa" w:w="2041"/>
            <w:vAlign w:val="center"/>
          </w:tcPr>
          <w:p>
            <w:r/>
            <w:r>
              <w:rPr>
                <w:rFonts w:ascii="Calibri" w:hAnsi="Calibri"/>
                <w:b w:val="0"/>
                <w:i w:val="0"/>
                <w:sz w:val="20"/>
              </w:rPr>
              <w:t>Metric-based</w:t>
            </w:r>
          </w:p>
        </w:tc>
        <w:tc>
          <w:tcPr>
            <w:tcW w:type="dxa" w:w="2041"/>
            <w:vAlign w:val="center"/>
          </w:tcPr>
          <w:p>
            <w:r/>
            <w:r>
              <w:rPr>
                <w:rFonts w:ascii="Calibri" w:hAnsi="Calibri"/>
                <w:b w:val="0"/>
                <w:i w:val="0"/>
                <w:sz w:val="20"/>
              </w:rPr>
              <w:t>Other</w:t>
            </w:r>
          </w:p>
        </w:tc>
        <w:tc>
          <w:tcPr>
            <w:tcW w:type="dxa" w:w="680"/>
            <w:vAlign w:val="center"/>
          </w:tcPr>
          <w:p>
            <w:r/>
            <w:r>
              <w:rPr>
                <w:rFonts w:ascii="Calibri" w:hAnsi="Calibri"/>
                <w:b w:val="0"/>
                <w:i w:val="0"/>
                <w:sz w:val="20"/>
              </w:rPr>
              <w:t>8</w:t>
            </w:r>
          </w:p>
        </w:tc>
        <w:tc>
          <w:tcPr>
            <w:tcW w:type="dxa" w:w="850"/>
            <w:vAlign w:val="center"/>
          </w:tcPr>
          <w:p>
            <w:r/>
            <w:r>
              <w:rPr>
                <w:rFonts w:ascii="Calibri" w:hAnsi="Calibri"/>
                <w:b w:val="0"/>
                <w:i w:val="0"/>
                <w:sz w:val="20"/>
              </w:rPr>
              <w:t>Snowball</w:t>
            </w:r>
          </w:p>
        </w:tc>
      </w:tr>
      <w:tr>
        <w:tc>
          <w:tcPr>
            <w:tcW w:type="dxa" w:w="737"/>
            <w:vAlign w:val="center"/>
          </w:tcPr>
          <w:p>
            <w:r/>
            <w:r>
              <w:rPr>
                <w:rFonts w:ascii="Calibri" w:hAnsi="Calibri"/>
                <w:b w:val="0"/>
                <w:i w:val="0"/>
                <w:sz w:val="20"/>
              </w:rPr>
              <w:t>S064</w:t>
            </w:r>
          </w:p>
        </w:tc>
        <w:tc>
          <w:tcPr>
            <w:tcW w:type="dxa" w:w="567"/>
            <w:vAlign w:val="center"/>
          </w:tcPr>
          <w:p>
            <w:r/>
            <w:r>
              <w:rPr>
                <w:rFonts w:ascii="Calibri" w:hAnsi="Calibri"/>
                <w:b w:val="0"/>
                <w:i w:val="0"/>
                <w:sz w:val="20"/>
              </w:rPr>
              <w:t>2023</w:t>
            </w:r>
          </w:p>
        </w:tc>
        <w:tc>
          <w:tcPr>
            <w:tcW w:type="dxa" w:w="2154"/>
            <w:vAlign w:val="center"/>
          </w:tcPr>
          <w:p>
            <w:r/>
            <w:r>
              <w:rPr>
                <w:rFonts w:ascii="Calibri" w:hAnsi="Calibri"/>
                <w:b w:val="0"/>
                <w:i w:val="0"/>
                <w:sz w:val="20"/>
              </w:rPr>
              <w:t>n/a</w:t>
            </w:r>
          </w:p>
        </w:tc>
        <w:tc>
          <w:tcPr>
            <w:tcW w:type="dxa" w:w="2041"/>
            <w:vAlign w:val="center"/>
          </w:tcPr>
          <w:p>
            <w:r/>
            <w:r>
              <w:rPr>
                <w:rFonts w:ascii="Calibri" w:hAnsi="Calibri"/>
                <w:b w:val="0"/>
                <w:i w:val="0"/>
                <w:sz w:val="20"/>
              </w:rPr>
              <w:t>Metric-based</w:t>
            </w:r>
          </w:p>
        </w:tc>
        <w:tc>
          <w:tcPr>
            <w:tcW w:type="dxa" w:w="2041"/>
            <w:vAlign w:val="center"/>
          </w:tcPr>
          <w:p>
            <w:r/>
            <w:r>
              <w:rPr>
                <w:rFonts w:ascii="Calibri" w:hAnsi="Calibri"/>
                <w:b w:val="0"/>
                <w:i w:val="0"/>
                <w:sz w:val="20"/>
              </w:rPr>
              <w:t>Sustainability</w:t>
            </w:r>
          </w:p>
        </w:tc>
        <w:tc>
          <w:tcPr>
            <w:tcW w:type="dxa" w:w="680"/>
            <w:vAlign w:val="center"/>
          </w:tcPr>
          <w:p>
            <w:r/>
            <w:r>
              <w:rPr>
                <w:rFonts w:ascii="Calibri" w:hAnsi="Calibri"/>
                <w:b w:val="0"/>
                <w:i w:val="0"/>
                <w:sz w:val="20"/>
              </w:rPr>
              <w:t>5</w:t>
            </w:r>
          </w:p>
        </w:tc>
        <w:tc>
          <w:tcPr>
            <w:tcW w:type="dxa" w:w="850"/>
            <w:vAlign w:val="center"/>
          </w:tcPr>
          <w:p>
            <w:r/>
            <w:r>
              <w:rPr>
                <w:rFonts w:ascii="Calibri" w:hAnsi="Calibri"/>
                <w:b w:val="0"/>
                <w:i w:val="0"/>
                <w:sz w:val="20"/>
              </w:rPr>
              <w:t>Snowball</w:t>
            </w:r>
          </w:p>
        </w:tc>
      </w:tr>
      <w:tr>
        <w:tc>
          <w:tcPr>
            <w:tcW w:type="dxa" w:w="737"/>
            <w:vAlign w:val="center"/>
          </w:tcPr>
          <w:p>
            <w:r/>
            <w:r>
              <w:rPr>
                <w:rFonts w:ascii="Calibri" w:hAnsi="Calibri"/>
                <w:b w:val="0"/>
                <w:i w:val="0"/>
                <w:sz w:val="20"/>
              </w:rPr>
              <w:t>S104</w:t>
            </w:r>
          </w:p>
        </w:tc>
        <w:tc>
          <w:tcPr>
            <w:tcW w:type="dxa" w:w="567"/>
            <w:vAlign w:val="center"/>
          </w:tcPr>
          <w:p>
            <w:r/>
            <w:r>
              <w:rPr>
                <w:rFonts w:ascii="Calibri" w:hAnsi="Calibri"/>
                <w:b w:val="0"/>
                <w:i w:val="0"/>
                <w:sz w:val="20"/>
              </w:rPr>
              <w:t>2018</w:t>
            </w:r>
          </w:p>
        </w:tc>
        <w:tc>
          <w:tcPr>
            <w:tcW w:type="dxa" w:w="2154"/>
            <w:vAlign w:val="center"/>
          </w:tcPr>
          <w:p>
            <w:r/>
            <w:r>
              <w:rPr>
                <w:rFonts w:ascii="Calibri" w:hAnsi="Calibri"/>
                <w:b w:val="0"/>
                <w:i w:val="0"/>
                <w:sz w:val="20"/>
              </w:rPr>
              <w:t>n/a</w:t>
            </w:r>
          </w:p>
        </w:tc>
        <w:tc>
          <w:tcPr>
            <w:tcW w:type="dxa" w:w="2041"/>
            <w:vAlign w:val="center"/>
          </w:tcPr>
          <w:p>
            <w:r/>
            <w:r>
              <w:rPr>
                <w:rFonts w:ascii="Calibri" w:hAnsi="Calibri"/>
                <w:b w:val="0"/>
                <w:i w:val="0"/>
                <w:sz w:val="20"/>
              </w:rPr>
              <w:t>Other</w:t>
            </w:r>
          </w:p>
        </w:tc>
        <w:tc>
          <w:tcPr>
            <w:tcW w:type="dxa" w:w="2041"/>
            <w:vAlign w:val="center"/>
          </w:tcPr>
          <w:p>
            <w:r/>
            <w:r>
              <w:rPr>
                <w:rFonts w:ascii="Calibri" w:hAnsi="Calibri"/>
                <w:b w:val="0"/>
                <w:i w:val="0"/>
                <w:sz w:val="20"/>
              </w:rPr>
              <w:t>Other</w:t>
            </w:r>
          </w:p>
        </w:tc>
        <w:tc>
          <w:tcPr>
            <w:tcW w:type="dxa" w:w="680"/>
            <w:vAlign w:val="center"/>
          </w:tcPr>
          <w:p>
            <w:r/>
            <w:r>
              <w:rPr>
                <w:rFonts w:ascii="Calibri" w:hAnsi="Calibri"/>
                <w:b w:val="0"/>
                <w:i w:val="0"/>
                <w:sz w:val="20"/>
              </w:rPr>
              <w:t>5</w:t>
            </w:r>
          </w:p>
        </w:tc>
        <w:tc>
          <w:tcPr>
            <w:tcW w:type="dxa" w:w="850"/>
            <w:vAlign w:val="center"/>
          </w:tcPr>
          <w:p>
            <w:r/>
            <w:r>
              <w:rPr>
                <w:rFonts w:ascii="Calibri" w:hAnsi="Calibri"/>
                <w:b w:val="0"/>
                <w:i w:val="0"/>
                <w:sz w:val="20"/>
              </w:rPr>
              <w:t>Snowball</w:t>
            </w:r>
          </w:p>
        </w:tc>
      </w:tr>
    </w:tbl>
    <w:p>
      <w:pPr>
        <w:spacing w:before="40" w:after="200"/>
        <w:jc w:val="center"/>
      </w:pPr>
      <w:r>
        <w:rPr>
          <w:rFonts w:ascii="Calibri" w:hAnsi="Calibri"/>
          <w:b w:val="0"/>
          <w:i/>
          <w:color w:val="555555"/>
          <w:sz w:val="18"/>
        </w:rPr>
        <w:t>Table 14 — STAR candidates with relevance scores and origin source. A higher score indicates higher alignment with the thesis RQs.</w:t>
      </w:r>
    </w:p>
    <w:p>
      <w:r>
        <w:br w:type="page"/>
      </w:r>
    </w:p>
    <w:p>
      <w:pPr>
        <w:pStyle w:val="Heading1"/>
        <w:keepNext/>
        <w:spacing w:before="360" w:after="120"/>
      </w:pPr>
      <w:r>
        <w:rPr>
          <w:rFonts w:ascii="Calibri" w:hAnsi="Calibri"/>
          <w:b/>
          <w:i w:val="0"/>
          <w:color w:val="1F3A5F"/>
          <w:sz w:val="36"/>
        </w:rPr>
        <w:t>Appendix D — Verbatim Search-String Versions (V1, V2, V3, V4)</w:t>
      </w:r>
    </w:p>
    <w:p>
      <w:pPr>
        <w:spacing w:before="0" w:after="80" w:line="276" w:lineRule="auto"/>
      </w:pPr>
      <w:r>
        <w:rPr>
          <w:rFonts w:ascii="Calibri" w:hAnsi="Calibri"/>
          <w:b w:val="0"/>
          <w:i w:val="0"/>
          <w:sz w:val="22"/>
        </w:rPr>
        <w:t>For full auditability, the four versions of the search string are reproduced verbatim below in the syntax used at execution time. The corrected canonical form (V4) appears as the master in §3.2.3 and is the one actually used to produce the V4 corpus.</w:t>
      </w:r>
    </w:p>
    <w:p>
      <w:pPr>
        <w:spacing w:before="0" w:after="40" w:line="276" w:lineRule="auto"/>
      </w:pPr>
      <w:r>
        <w:rPr>
          <w:rFonts w:ascii="Calibri" w:hAnsi="Calibri"/>
          <w:b/>
          <w:i w:val="0"/>
          <w:sz w:val="22"/>
        </w:rPr>
        <w:t>V1 — initial attempt (Java + OCL/EMF/Eclipse + MDE).</w:t>
      </w:r>
    </w:p>
    <w:p>
      <w:pPr>
        <w:spacing w:before="40" w:after="120" w:line="288" w:lineRule="auto"/>
        <w:ind w:left="283" w:right="283"/>
      </w:pPr>
      <w:r>
        <w:rPr>
          <w:rFonts w:ascii="Consolas" w:hAnsi="Consolas"/>
          <w:b w:val="0"/>
          <w:i w:val="0"/>
          <w:sz w:val="19"/>
        </w:rPr>
        <w:t>(java OR JVM OR "Java systems")</w:t>
        <w:br/>
        <w:t>AND (OCL OR "Object Constraint Language" OR EMF OR Eclipse OR metamodel*</w:t>
        <w:br/>
        <w:t xml:space="preserve">     OR "model-driven")</w:t>
        <w:br/>
        <w:t>AND (metric* OR "software metric*" OR "runtime metric*" OR "quality metric*"</w:t>
        <w:br/>
        <w:t xml:space="preserve">     OR "code metric*" OR "architecture metric*" OR measurement)</w:t>
        <w:br/>
        <w:t>AND (microservice* OR "distributed system*" OR "cloud native" OR Kubernetes)</w:t>
        <w:br/>
        <w:t>AND (observability OR telemetry OR monitoring OR log* OR trace* OR "distributed tracing")</w:t>
        <w:br/>
        <w:t>AND ("machine learning" OR "artificial intelligence" OR AI OR "metric generation"</w:t>
        <w:br/>
        <w:t xml:space="preserve">     OR "automatic metric*" OR "learned metric*")</w:t>
        <w:br/>
        <w:t>AND (architectur* OR "software architecture" OR "architecture evaluation"</w:t>
        <w:br/>
        <w:t xml:space="preserve">     OR "architectural metric*" OR "architectural analysis"</w:t>
        <w:br/>
        <w:t xml:space="preserve">     OR "architectural pattern*" OR "reference architecture"</w:t>
        <w:br/>
        <w:t xml:space="preserve">     OR "architecture decision*" OR "architecture description")</w:t>
        <w:br/>
        <w:t>NOT (IoT OR "internet of things" OR sensor* OR "wireless sensor" OR WSN</w:t>
        <w:br/>
        <w:t xml:space="preserve">     OR "smart home" OR "smart city" OR "cyber-physical" OR "edge computing"</w:t>
        <w:br/>
        <w:t xml:space="preserve">     OR "fog computing")</w:t>
        <w:br/>
        <w:t>NOT (medicine OR medical OR patient OR biology)</w:t>
      </w:r>
    </w:p>
    <w:p>
      <w:pPr>
        <w:spacing w:before="0" w:after="40" w:line="276" w:lineRule="auto"/>
      </w:pPr>
      <w:r>
        <w:rPr>
          <w:rFonts w:ascii="Calibri" w:hAnsi="Calibri"/>
          <w:b/>
          <w:i w:val="0"/>
          <w:sz w:val="22"/>
        </w:rPr>
        <w:t>V2 — relaxed MDE block.</w:t>
      </w:r>
    </w:p>
    <w:p>
      <w:pPr>
        <w:spacing w:before="40" w:after="120" w:line="288" w:lineRule="auto"/>
        <w:ind w:left="283" w:right="283"/>
      </w:pPr>
      <w:r>
        <w:rPr>
          <w:rFonts w:ascii="Consolas" w:hAnsi="Consolas"/>
          <w:b w:val="0"/>
          <w:i w:val="0"/>
          <w:sz w:val="19"/>
        </w:rPr>
        <w:t>(java OR JVM OR "Java systems")</w:t>
        <w:br/>
        <w:t>AND (metamodel* OR "model-driven")</w:t>
        <w:br/>
        <w:t>AND (metric* OR "software metric*" OR ...)</w:t>
        <w:br/>
        <w:t>AND (microservice* OR ...)</w:t>
        <w:br/>
        <w:t>AND (observability OR telemetry OR ...)</w:t>
        <w:br/>
        <w:t>AND ("machine learning" OR "artificial intelligence" OR AI OR ...)</w:t>
        <w:br/>
        <w:t>AND (architectur* OR "software architecture" OR ...)</w:t>
        <w:br/>
        <w:t>NOT (IoT OR ...)</w:t>
        <w:br/>
        <w:t>NOT (medicine OR ...)</w:t>
      </w:r>
    </w:p>
    <w:p>
      <w:pPr>
        <w:spacing w:before="0" w:after="40" w:line="276" w:lineRule="auto"/>
      </w:pPr>
      <w:r>
        <w:rPr>
          <w:rFonts w:ascii="Calibri" w:hAnsi="Calibri"/>
          <w:b/>
          <w:i w:val="0"/>
          <w:sz w:val="22"/>
        </w:rPr>
        <w:t>V3 — language-agnostic (no Java, no MDE).</w:t>
      </w:r>
    </w:p>
    <w:p>
      <w:pPr>
        <w:spacing w:before="40" w:after="120" w:line="288" w:lineRule="auto"/>
        <w:ind w:left="283" w:right="283"/>
      </w:pPr>
      <w:r>
        <w:rPr>
          <w:rFonts w:ascii="Consolas" w:hAnsi="Consolas"/>
          <w:b w:val="0"/>
          <w:i w:val="0"/>
          <w:sz w:val="19"/>
        </w:rPr>
        <w:t>(metric* OR "software metric*" OR "runtime metric*" OR "quality metric*"</w:t>
        <w:br/>
        <w:t xml:space="preserve"> OR "code metric*" OR "architecture metric*" OR measurement)</w:t>
        <w:br/>
        <w:t>AND (microservice* OR "distributed system*" OR "cloud native" OR Kubernetes)</w:t>
        <w:br/>
        <w:t>AND (observability OR telemetry OR monitoring OR log* OR trace* OR "distributed tracing")</w:t>
        <w:br/>
        <w:t>AND ("machine learning" OR "artificial intelligence" OR AI OR "metric generation"</w:t>
        <w:br/>
        <w:t xml:space="preserve">     OR "automatic metric*" OR "learned metric*")</w:t>
        <w:br/>
        <w:t>AND (architectur* OR "software architecture" OR "architecture evaluation"</w:t>
        <w:br/>
        <w:t xml:space="preserve">     OR "architectural metric*" OR "architectural analysis"</w:t>
        <w:br/>
        <w:t xml:space="preserve">     OR "architectural pattern*" OR "reference architecture"</w:t>
        <w:br/>
        <w:t xml:space="preserve">     OR "architecture decision*" OR "architecture description")</w:t>
        <w:br/>
        <w:t>NOT (IoT OR ...)</w:t>
        <w:br/>
        <w:t>NOT (medicine OR ...)</w:t>
      </w:r>
    </w:p>
    <w:p>
      <w:pPr>
        <w:spacing w:before="0" w:after="40" w:line="276" w:lineRule="auto"/>
      </w:pPr>
      <w:r>
        <w:rPr>
          <w:rFonts w:ascii="Calibri" w:hAnsi="Calibri"/>
          <w:b/>
          <w:i w:val="0"/>
          <w:sz w:val="22"/>
        </w:rPr>
        <w:t>V4 — final accepted (V3 + mandatory MDE block).</w:t>
      </w:r>
    </w:p>
    <w:p>
      <w:pPr>
        <w:spacing w:before="40" w:after="120" w:line="288" w:lineRule="auto"/>
        <w:ind w:left="283" w:right="283"/>
      </w:pPr>
      <w:r>
        <w:rPr>
          <w:rFonts w:ascii="Consolas" w:hAnsi="Consolas"/>
          <w:b w:val="0"/>
          <w:i w:val="0"/>
          <w:sz w:val="19"/>
        </w:rPr>
        <w:t>(metamodel* OR "model-driven" OR "model-driven engineering"</w:t>
        <w:br/>
        <w:t xml:space="preserve"> OR "model-driven architecture" OR MDE OR MDA)</w:t>
        <w:br/>
        <w:t>AND (metric* OR "software metric*" OR "runtime metric*" OR "quality metric*"</w:t>
        <w:br/>
        <w:t xml:space="preserve">     OR "code metric*" OR "architecture metric*" OR measurement)</w:t>
        <w:br/>
        <w:t>AND (microservice* OR "distributed system*" OR "cloud native" OR Kubernetes)</w:t>
        <w:br/>
        <w:t>AND (observability OR telemetry OR monitoring OR log* OR trace* OR "distributed tracing")</w:t>
        <w:br/>
        <w:t>AND ("machine learning" OR "artificial intelligence" OR AI OR "metric generation"</w:t>
        <w:br/>
        <w:t xml:space="preserve">     OR "automatic metric*" OR "learned metric*")</w:t>
        <w:br/>
        <w:t>AND (architectur* OR "software architecture" OR "architecture evaluation"</w:t>
        <w:br/>
        <w:t xml:space="preserve">     OR "architectural metric*" OR "architectural analysis"</w:t>
        <w:br/>
        <w:t xml:space="preserve">     OR "architectural pattern*" OR "reference architecture"</w:t>
        <w:br/>
        <w:t xml:space="preserve">     OR "architecture decision*" OR "architecture description")</w:t>
        <w:br/>
        <w:t>NOT (IoT OR "internet of things" OR sensor* OR "wireless sensor" OR WSN</w:t>
        <w:br/>
        <w:t xml:space="preserve">     OR "smart home" OR "smart city" OR "cyber-physical" OR "edge computing"</w:t>
        <w:br/>
        <w:t xml:space="preserve">     OR "fog computing")</w:t>
        <w:br/>
        <w:t>NOT (medicine OR medical OR patient OR biology)</w:t>
      </w:r>
    </w:p>
    <w:p>
      <w:pPr>
        <w:spacing w:before="0" w:after="80" w:line="276" w:lineRule="auto"/>
      </w:pPr>
      <w:r>
        <w:rPr>
          <w:rFonts w:ascii="Calibri" w:hAnsi="Calibri"/>
          <w:b w:val="0"/>
          <w:i/>
          <w:sz w:val="22"/>
        </w:rPr>
        <w:t>Yield: 305 cumulative records (Scopus 175, ACM 48, WoS 28, IEEE 27, Springer 27), 234 unique after cross-database deduplication. This is the canonical V4 string referenced throughout the document.</w:t>
      </w:r>
    </w:p>
    <w:p>
      <w:r>
        <w:br w:type="page"/>
      </w:r>
    </w:p>
    <w:p>
      <w:pPr>
        <w:pStyle w:val="Heading1"/>
        <w:keepNext/>
        <w:spacing w:before="360" w:after="120"/>
      </w:pPr>
      <w:r>
        <w:rPr>
          <w:rFonts w:ascii="Calibri" w:hAnsi="Calibri"/>
          <w:b/>
          <w:i w:val="0"/>
          <w:color w:val="1F3A5F"/>
          <w:sz w:val="36"/>
        </w:rPr>
        <w:t>Appendix E — Orphan Studies Recovered via Backward Snowballing</w:t>
      </w:r>
    </w:p>
    <w:p>
      <w:pPr>
        <w:spacing w:before="0" w:after="80" w:line="276" w:lineRule="auto"/>
      </w:pPr>
      <w:r>
        <w:rPr>
          <w:rFonts w:ascii="Calibri" w:hAnsi="Calibri"/>
          <w:b w:val="0"/>
          <w:i w:val="0"/>
          <w:sz w:val="22"/>
        </w:rPr>
        <w:t>During the preliminary V3 screening, the candidate identified 34 papers (4 STARs and 30 phase1_inc) that V4 did not re-locate because they do not use the MDE vocabulary explicitly in their title, abstract or keywords. Rather than discarding these previously-validated contributions, the protocol uses them as a backward-snowballing seed: each paper is re-located in its host database and added to the Phase 2 input set. This is a standard application of [Kitchenham &amp; Charters, 2007, §6.1.1] and [Wohlin, 2014]. Table 15 lists the 34 orphans with their year, original phase, and the database where each can be re-located.</w:t>
      </w:r>
    </w:p>
    <w:tbl>
      <w:tblPr>
        <w:tblStyle w:val="LightGrid-Accent1"/>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340"/>
            <w:shd w:val="clear" w:color="auto" w:fill="1F3A5F"/>
            <w:vAlign w:val="center"/>
          </w:tcPr>
          <w:p>
            <w:r/>
            <w:r>
              <w:rPr>
                <w:rFonts w:ascii="Calibri" w:hAnsi="Calibri"/>
                <w:b/>
                <w:i w:val="0"/>
                <w:color w:val="FFFFFF"/>
                <w:sz w:val="20"/>
              </w:rPr>
            </w:r>
          </w:p>
        </w:tc>
        <w:tc>
          <w:tcPr>
            <w:tcW w:type="dxa" w:w="510"/>
            <w:shd w:val="clear" w:color="auto" w:fill="1F3A5F"/>
            <w:vAlign w:val="center"/>
          </w:tcPr>
          <w:p>
            <w:r/>
            <w:r>
              <w:rPr>
                <w:rFonts w:ascii="Calibri" w:hAnsi="Calibri"/>
                <w:b/>
                <w:i w:val="0"/>
                <w:color w:val="FFFFFF"/>
                <w:sz w:val="20"/>
              </w:rPr>
              <w:t>Yr</w:t>
            </w:r>
          </w:p>
        </w:tc>
        <w:tc>
          <w:tcPr>
            <w:tcW w:type="dxa" w:w="1020"/>
            <w:shd w:val="clear" w:color="auto" w:fill="1F3A5F"/>
            <w:vAlign w:val="center"/>
          </w:tcPr>
          <w:p>
            <w:r/>
            <w:r>
              <w:rPr>
                <w:rFonts w:ascii="Calibri" w:hAnsi="Calibri"/>
                <w:b/>
                <w:i w:val="0"/>
                <w:color w:val="FFFFFF"/>
                <w:sz w:val="20"/>
              </w:rPr>
              <w:t>Orig. phase</w:t>
            </w:r>
          </w:p>
        </w:tc>
        <w:tc>
          <w:tcPr>
            <w:tcW w:type="dxa" w:w="4535"/>
            <w:shd w:val="clear" w:color="auto" w:fill="1F3A5F"/>
            <w:vAlign w:val="center"/>
          </w:tcPr>
          <w:p>
            <w:r/>
            <w:r>
              <w:rPr>
                <w:rFonts w:ascii="Calibri" w:hAnsi="Calibri"/>
                <w:b/>
                <w:i w:val="0"/>
                <w:color w:val="FFFFFF"/>
                <w:sz w:val="20"/>
              </w:rPr>
              <w:t>Title</w:t>
            </w:r>
          </w:p>
        </w:tc>
        <w:tc>
          <w:tcPr>
            <w:tcW w:type="dxa" w:w="1984"/>
            <w:shd w:val="clear" w:color="auto" w:fill="1F3A5F"/>
            <w:vAlign w:val="center"/>
          </w:tcPr>
          <w:p>
            <w:r/>
            <w:r>
              <w:rPr>
                <w:rFonts w:ascii="Calibri" w:hAnsi="Calibri"/>
                <w:b/>
                <w:i w:val="0"/>
                <w:color w:val="FFFFFF"/>
                <w:sz w:val="20"/>
              </w:rPr>
              <w:t>Likely DB</w:t>
            </w:r>
          </w:p>
        </w:tc>
        <w:tc>
          <w:tcPr>
            <w:tcW w:type="dxa" w:w="1417"/>
            <w:shd w:val="clear" w:color="auto" w:fill="1F3A5F"/>
            <w:vAlign w:val="center"/>
          </w:tcPr>
          <w:p>
            <w:r/>
            <w:r>
              <w:rPr>
                <w:rFonts w:ascii="Calibri" w:hAnsi="Calibri"/>
                <w:b/>
                <w:i w:val="0"/>
                <w:color w:val="FFFFFF"/>
                <w:sz w:val="20"/>
              </w:rPr>
              <w:t>DOI</w:t>
            </w:r>
          </w:p>
        </w:tc>
      </w:tr>
      <w:tr>
        <w:tc>
          <w:tcPr>
            <w:tcW w:type="dxa" w:w="340"/>
            <w:vAlign w:val="center"/>
          </w:tcPr>
          <w:p>
            <w:r/>
            <w:r>
              <w:rPr>
                <w:rFonts w:ascii="Calibri" w:hAnsi="Calibri"/>
                <w:b w:val="0"/>
                <w:i w:val="0"/>
                <w:sz w:val="20"/>
              </w:rPr>
              <w:t>★</w:t>
            </w:r>
          </w:p>
        </w:tc>
        <w:tc>
          <w:tcPr>
            <w:tcW w:type="dxa" w:w="510"/>
            <w:vAlign w:val="center"/>
          </w:tcPr>
          <w:p>
            <w:r/>
            <w:r>
              <w:rPr>
                <w:rFonts w:ascii="Calibri" w:hAnsi="Calibri"/>
                <w:b w:val="0"/>
                <w:i w:val="0"/>
                <w:sz w:val="20"/>
              </w:rPr>
              <w:t>2015</w:t>
            </w:r>
          </w:p>
        </w:tc>
        <w:tc>
          <w:tcPr>
            <w:tcW w:type="dxa" w:w="1020"/>
            <w:vAlign w:val="center"/>
          </w:tcPr>
          <w:p>
            <w:r/>
            <w:r>
              <w:rPr>
                <w:rFonts w:ascii="Calibri" w:hAnsi="Calibri"/>
                <w:b w:val="0"/>
                <w:i w:val="0"/>
                <w:sz w:val="20"/>
              </w:rPr>
              <w:t>star</w:t>
            </w:r>
          </w:p>
        </w:tc>
        <w:tc>
          <w:tcPr>
            <w:tcW w:type="dxa" w:w="4535"/>
            <w:vAlign w:val="center"/>
          </w:tcPr>
          <w:p>
            <w:r/>
            <w:r>
              <w:rPr>
                <w:rFonts w:ascii="Calibri" w:hAnsi="Calibri"/>
                <w:b w:val="0"/>
                <w:i w:val="0"/>
                <w:sz w:val="20"/>
              </w:rPr>
              <w:t>Runtime metric meets developer: building better cloud application</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10.1145/2814228.2814232</w:t>
            </w:r>
          </w:p>
        </w:tc>
      </w:tr>
      <w:tr>
        <w:tc>
          <w:tcPr>
            <w:tcW w:type="dxa" w:w="340"/>
            <w:vAlign w:val="center"/>
          </w:tcPr>
          <w:p>
            <w:r/>
            <w:r>
              <w:rPr>
                <w:rFonts w:ascii="Calibri" w:hAnsi="Calibri"/>
                <w:b w:val="0"/>
                <w:i w:val="0"/>
                <w:sz w:val="20"/>
              </w:rPr>
              <w:t>★</w:t>
            </w:r>
          </w:p>
        </w:tc>
        <w:tc>
          <w:tcPr>
            <w:tcW w:type="dxa" w:w="510"/>
            <w:vAlign w:val="center"/>
          </w:tcPr>
          <w:p>
            <w:r/>
            <w:r>
              <w:rPr>
                <w:rFonts w:ascii="Calibri" w:hAnsi="Calibri"/>
                <w:b w:val="0"/>
                <w:i w:val="0"/>
                <w:sz w:val="20"/>
              </w:rPr>
              <w:t>2018</w:t>
            </w:r>
          </w:p>
        </w:tc>
        <w:tc>
          <w:tcPr>
            <w:tcW w:type="dxa" w:w="1020"/>
            <w:vAlign w:val="center"/>
          </w:tcPr>
          <w:p>
            <w:r/>
            <w:r>
              <w:rPr>
                <w:rFonts w:ascii="Calibri" w:hAnsi="Calibri"/>
                <w:b w:val="0"/>
                <w:i w:val="0"/>
                <w:sz w:val="20"/>
              </w:rPr>
              <w:t>star</w:t>
            </w:r>
          </w:p>
        </w:tc>
        <w:tc>
          <w:tcPr>
            <w:tcW w:type="dxa" w:w="4535"/>
            <w:vAlign w:val="center"/>
          </w:tcPr>
          <w:p>
            <w:r/>
            <w:r>
              <w:rPr>
                <w:rFonts w:ascii="Calibri" w:hAnsi="Calibri"/>
                <w:b w:val="0"/>
                <w:i w:val="0"/>
                <w:sz w:val="20"/>
              </w:rPr>
              <w:t xml:space="preserve">A metamodeling approach for the identification of organizational </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t>★</w:t>
            </w:r>
          </w:p>
        </w:tc>
        <w:tc>
          <w:tcPr>
            <w:tcW w:type="dxa" w:w="510"/>
            <w:vAlign w:val="center"/>
          </w:tcPr>
          <w:p>
            <w:r/>
            <w:r>
              <w:rPr>
                <w:rFonts w:ascii="Calibri" w:hAnsi="Calibri"/>
                <w:b w:val="0"/>
                <w:i w:val="0"/>
                <w:sz w:val="20"/>
              </w:rPr>
              <w:t>2018</w:t>
            </w:r>
          </w:p>
        </w:tc>
        <w:tc>
          <w:tcPr>
            <w:tcW w:type="dxa" w:w="1020"/>
            <w:vAlign w:val="center"/>
          </w:tcPr>
          <w:p>
            <w:r/>
            <w:r>
              <w:rPr>
                <w:rFonts w:ascii="Calibri" w:hAnsi="Calibri"/>
                <w:b w:val="0"/>
                <w:i w:val="0"/>
                <w:sz w:val="20"/>
              </w:rPr>
              <w:t>star</w:t>
            </w:r>
          </w:p>
        </w:tc>
        <w:tc>
          <w:tcPr>
            <w:tcW w:type="dxa" w:w="4535"/>
            <w:vAlign w:val="center"/>
          </w:tcPr>
          <w:p>
            <w:r/>
            <w:r>
              <w:rPr>
                <w:rFonts w:ascii="Calibri" w:hAnsi="Calibri"/>
                <w:b w:val="0"/>
                <w:i w:val="0"/>
                <w:sz w:val="20"/>
              </w:rPr>
              <w:t>Learning to Simplify Distributed Systems Management</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t>★</w:t>
            </w:r>
          </w:p>
        </w:tc>
        <w:tc>
          <w:tcPr>
            <w:tcW w:type="dxa" w:w="510"/>
            <w:vAlign w:val="center"/>
          </w:tcPr>
          <w:p>
            <w:r/>
            <w:r>
              <w:rPr>
                <w:rFonts w:ascii="Calibri" w:hAnsi="Calibri"/>
                <w:b w:val="0"/>
                <w:i w:val="0"/>
                <w:sz w:val="20"/>
              </w:rPr>
              <w:t>2023</w:t>
            </w:r>
          </w:p>
        </w:tc>
        <w:tc>
          <w:tcPr>
            <w:tcW w:type="dxa" w:w="1020"/>
            <w:vAlign w:val="center"/>
          </w:tcPr>
          <w:p>
            <w:r/>
            <w:r>
              <w:rPr>
                <w:rFonts w:ascii="Calibri" w:hAnsi="Calibri"/>
                <w:b w:val="0"/>
                <w:i w:val="0"/>
                <w:sz w:val="20"/>
              </w:rPr>
              <w:t>star</w:t>
            </w:r>
          </w:p>
        </w:tc>
        <w:tc>
          <w:tcPr>
            <w:tcW w:type="dxa" w:w="4535"/>
            <w:vAlign w:val="center"/>
          </w:tcPr>
          <w:p>
            <w:r/>
            <w:r>
              <w:rPr>
                <w:rFonts w:ascii="Calibri" w:hAnsi="Calibri"/>
                <w:b w:val="0"/>
                <w:i w:val="0"/>
                <w:sz w:val="20"/>
              </w:rPr>
              <w:t>Towards a Methodology and Framework for AI Sustainability Metrics</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10.1145/3604930.3605715</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2017</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Online machine learning for cloud resource provisioning of micros</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2018</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On black-box monitoring techniques for multi-component services</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2019</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Predicting reliability by severity and priority of defects</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10.1145/3340495.3342753</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2020</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Topic Modeling Based Warning Prioritization from Change Sets of S</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2020</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Interference-Aware Orchestration in Kubernetes</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2021</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Automatic API Usage Scenario Documentation from Technical Q&amp;amp;a</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10.1145/3439769</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2021</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A Study on Modeling and Optimization of Memory Systems</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2022</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LongTale: Toward Automatic Performance Anomaly Explanation in Mic</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10.1145/3489525.3511675</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2022</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 xml:space="preserve">SmartCLIDE: Shortening the Toolchain of SOA-based Cloud Software </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10.1145/3503823.3503880</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2022</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Pair programming conversations with agents vs. developers: challe</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10.1145/3540250.3549127</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2022</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Code Smell Prioritization with Business Process Mining and Static</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2022</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Artificial Intelligence-Based Centralized Resource Management App</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2023</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Inference of Resource Management Specifications</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10.1145/3622858</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2023</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Traceability of Architectural Design Decisions and Software Artif</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2024</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 xml:space="preserve">DeepFlow: A Cross-Stack Pathfinding Framework for Distributed AI </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10.1145/3635867</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2024</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APIstic: A Large Collection of OpenAPI Metrics</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10.1145/3643991.3644932</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2024</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Creating and Validating a Ground Truth Dataset of Unified Modelin</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2024</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Zynerator: Bridging Model-Driven Architecture and Microservices f</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2024</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Towards Generating a Dataset for Failure Prediction in Microservi</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2025</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Rethinking Java Performance Analysis</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10.1145/3669940.3707217</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2025</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A Review of Cloud Computing CPU Resource Optimization: Methods, D</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10.1145/3745812.3745839</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2025</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Tracing Optimization for Performance Modeling and Regression Dete</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2025</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XBoot: A RAPID and Instructional Low-Code Generator for Spring Bo</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2025</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A Novel Framework for Evaluating Application Performance in Distr</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2025</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How Far Is Machine Learning From the Detection of Complex Microse</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2025</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Microservices Architecture in Fintech: A Case Study on Scalable L</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2026</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Past, Present, and Future of Bug Tracking in the Generative AI Er</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10.1145/3806655</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2026</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Design and Implementation of a Cloud-Native Project Repository Sy</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10.1145/3802607.3802608</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2026</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Software Performance Engineering for Foundation Model-Powered Sof</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10.1145/3794844</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2026</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Catalog, Impact, and Evaluation of Microservice Bad Smells: A Sys</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bl>
    <w:p>
      <w:pPr>
        <w:spacing w:before="40" w:after="200"/>
        <w:jc w:val="center"/>
      </w:pPr>
      <w:r>
        <w:rPr>
          <w:rFonts w:ascii="Calibri" w:hAnsi="Calibri"/>
          <w:b w:val="0"/>
          <w:i/>
          <w:color w:val="555555"/>
          <w:sz w:val="18"/>
        </w:rPr>
        <w:t>Table 15 — 34 orphan studies recovered via backward snowballing. ★ marks the 4 STARs.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