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b/>
          <w:color w:val="1F3864"/>
          <w:sz w:val="40"/>
        </w:rPr>
        <w:t>Elder Care — TL;DR One-Pager</w:t>
      </w:r>
    </w:p>
    <w:p>
      <w:pPr>
        <w:spacing w:before="80" w:after="40"/>
      </w:pPr>
      <w:r>
        <w:rPr>
          <w:b/>
          <w:i w:val="0"/>
          <w:color w:val="000000"/>
          <w:sz w:val="19"/>
        </w:rPr>
        <w:t>Vertical:</w:t>
      </w:r>
      <w:r>
        <w:rPr>
          <w:b w:val="0"/>
          <w:i w:val="0"/>
          <w:color w:val="000000"/>
          <w:sz w:val="19"/>
        </w:rPr>
        <w:t xml:space="preserve"> healthcare_services</w:t>
      </w:r>
    </w:p>
    <w:p>
      <w:pPr>
        <w:spacing w:before="60" w:after="160"/>
        <w:jc w:val="center"/>
      </w:pPr>
      <w:r>
        <w:rPr>
          <w:i/>
          <w:color w:val="595959"/>
          <w:sz w:val="18"/>
        </w:rPr>
        <w:t>Generated: 2026-06-29T23:01:39.102326Z</w:t>
      </w:r>
    </w:p>
    <w:p>
      <w:pPr>
        <w:spacing w:before="80" w:after="40"/>
      </w:pPr>
      <w:r>
        <w:rPr>
          <w:b/>
          <w:i w:val="0"/>
          <w:color w:val="000000"/>
          <w:sz w:val="19"/>
        </w:rPr>
        <w:t>Overall Confidence:</w:t>
      </w:r>
      <w:r>
        <w:rPr>
          <w:b w:val="0"/>
          <w:i w:val="0"/>
          <w:color w:val="000000"/>
          <w:sz w:val="19"/>
        </w:rPr>
        <w:t xml:space="preserve"> low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D0E8"/>
          <w:left w:val="single" w:sz="4" w:space="0" w:color="BFD0E8"/>
          <w:bottom w:val="single" w:sz="4" w:space="0" w:color="BFD0E8"/>
          <w:right w:val="single" w:sz="4" w:space="0" w:color="BFD0E8"/>
          <w:insideH w:val="single" w:sz="4" w:space="0" w:color="BFD0E8"/>
          <w:insideV w:val="single" w:sz="4" w:space="0" w:color="BFD0E8"/>
        </w:tblBorders>
      </w:tblPr>
      <w:tblGrid>
        <w:gridCol w:w="5040"/>
        <w:gridCol w:w="5040"/>
      </w:tblGrid>
      <w:tr>
        <w:trPr>
          <w:trHeight w:val="280"/>
        </w:trPr>
        <w:tc>
          <w:tcPr>
            <w:tcW w:type="dxa" w:w="3226"/>
            <w:vAlign w:val="center"/>
            <w:shd w:val="clear" w:color="auto" w:fill="1F3864"/>
          </w:tcPr>
          <w:p>
            <w:pPr>
              <w:spacing w:before="20" w:after="20"/>
              <w:ind w:left="72"/>
            </w:pPr>
            <w:r>
              <w:rPr>
                <w:b/>
                <w:i w:val="0"/>
                <w:color w:val="FFFFFF"/>
                <w:sz w:val="18"/>
              </w:rPr>
              <w:t>Metric</w:t>
            </w:r>
          </w:p>
        </w:tc>
        <w:tc>
          <w:tcPr>
            <w:tcW w:type="dxa" w:w="6854"/>
            <w:vAlign w:val="center"/>
            <w:shd w:val="clear" w:color="auto" w:fill="1F3864"/>
          </w:tcPr>
          <w:p>
            <w:pPr>
              <w:spacing w:before="20" w:after="20"/>
              <w:ind w:left="72"/>
            </w:pPr>
            <w:r>
              <w:rPr>
                <w:b/>
                <w:i w:val="0"/>
                <w:color w:val="FFFFFF"/>
                <w:sz w:val="18"/>
              </w:rPr>
              <w:t>Value</w:t>
            </w:r>
          </w:p>
        </w:tc>
      </w:tr>
      <w:tr>
        <w:trPr>
          <w:trHeight w:val="260"/>
        </w:trPr>
        <w:tc>
          <w:tcPr>
            <w:tcW w:type="dxa" w:w="3226"/>
            <w:vAlign w:val="center"/>
          </w:tcPr>
          <w:p>
            <w:pPr>
              <w:spacing w:before="20" w:after="20"/>
              <w:ind w:left="72"/>
            </w:pPr>
            <w:r>
              <w:rPr>
                <w:b w:val="0"/>
                <w:i w:val="0"/>
                <w:color w:val="000000"/>
                <w:sz w:val="18"/>
              </w:rPr>
              <w:t>Revenue CAGR</w:t>
            </w:r>
          </w:p>
        </w:tc>
        <w:tc>
          <w:tcPr>
            <w:tcW w:type="dxa" w:w="6854"/>
            <w:vAlign w:val="center"/>
          </w:tcPr>
          <w:p>
            <w:pPr>
              <w:spacing w:before="20" w:after="20"/>
              <w:ind w:left="72"/>
            </w:pPr>
            <w:r>
              <w:rPr>
                <w:b w:val="0"/>
                <w:i w:val="0"/>
                <w:color w:val="000000"/>
                <w:sz w:val="18"/>
              </w:rPr>
              <w:t>376%</w:t>
            </w:r>
          </w:p>
        </w:tc>
      </w:tr>
      <w:tr>
        <w:trPr>
          <w:trHeight w:val="260"/>
        </w:trPr>
        <w:tc>
          <w:tcPr>
            <w:tcW w:type="dxa" w:w="3226"/>
            <w:vAlign w:val="center"/>
            <w:shd w:val="clear" w:color="auto" w:fill="EEF3FA"/>
          </w:tcPr>
          <w:p>
            <w:pPr>
              <w:spacing w:before="20" w:after="20"/>
              <w:ind w:left="72"/>
            </w:pPr>
            <w:r>
              <w:rPr>
                <w:b w:val="0"/>
                <w:i w:val="0"/>
                <w:color w:val="000000"/>
                <w:sz w:val="18"/>
              </w:rPr>
              <w:t>Growth</w:t>
            </w:r>
          </w:p>
        </w:tc>
        <w:tc>
          <w:tcPr>
            <w:tcW w:type="dxa" w:w="6854"/>
            <w:vAlign w:val="center"/>
            <w:shd w:val="clear" w:color="auto" w:fill="EEF3FA"/>
          </w:tcPr>
          <w:p>
            <w:pPr>
              <w:spacing w:before="20" w:after="20"/>
              <w:ind w:left="72"/>
            </w:pPr>
            <w:r>
              <w:rPr>
                <w:b w:val="0"/>
                <w:i w:val="0"/>
                <w:color w:val="000000"/>
                <w:sz w:val="18"/>
              </w:rPr>
              <w:t>72% YoY</w:t>
            </w:r>
          </w:p>
        </w:tc>
      </w:tr>
      <w:tr>
        <w:trPr>
          <w:trHeight w:val="260"/>
        </w:trPr>
        <w:tc>
          <w:tcPr>
            <w:tcW w:type="dxa" w:w="3226"/>
            <w:vAlign w:val="center"/>
          </w:tcPr>
          <w:p>
            <w:pPr>
              <w:spacing w:before="20" w:after="20"/>
              <w:ind w:left="72"/>
            </w:pPr>
            <w:r>
              <w:rPr>
                <w:b w:val="0"/>
                <w:i w:val="0"/>
                <w:color w:val="000000"/>
                <w:sz w:val="18"/>
              </w:rPr>
              <w:t>Gross Margin</w:t>
            </w:r>
          </w:p>
        </w:tc>
        <w:tc>
          <w:tcPr>
            <w:tcW w:type="dxa" w:w="6854"/>
            <w:vAlign w:val="center"/>
          </w:tcPr>
          <w:p>
            <w:pPr>
              <w:spacing w:before="20" w:after="20"/>
              <w:ind w:left="72"/>
            </w:pPr>
            <w:r>
              <w:rPr>
                <w:b w:val="0"/>
                <w:i w:val="0"/>
                <w:color w:val="000000"/>
                <w:sz w:val="18"/>
              </w:rPr>
              <w:t>43.4%</w:t>
            </w:r>
          </w:p>
        </w:tc>
      </w:tr>
      <w:tr>
        <w:trPr>
          <w:trHeight w:val="260"/>
        </w:trPr>
        <w:tc>
          <w:tcPr>
            <w:tcW w:type="dxa" w:w="3226"/>
            <w:vAlign w:val="center"/>
            <w:shd w:val="clear" w:color="auto" w:fill="EEF3FA"/>
          </w:tcPr>
          <w:p>
            <w:pPr>
              <w:spacing w:before="20" w:after="20"/>
              <w:ind w:left="72"/>
            </w:pPr>
            <w:r>
              <w:rPr>
                <w:b w:val="0"/>
                <w:i w:val="0"/>
                <w:color w:val="000000"/>
                <w:sz w:val="18"/>
              </w:rPr>
              <w:t>Gross Margin</w:t>
            </w:r>
          </w:p>
        </w:tc>
        <w:tc>
          <w:tcPr>
            <w:tcW w:type="dxa" w:w="6854"/>
            <w:vAlign w:val="center"/>
            <w:shd w:val="clear" w:color="auto" w:fill="EEF3FA"/>
          </w:tcPr>
          <w:p>
            <w:pPr>
              <w:spacing w:before="20" w:after="20"/>
              <w:ind w:left="72"/>
            </w:pPr>
            <w:r>
              <w:rPr>
                <w:b w:val="0"/>
                <w:i w:val="0"/>
                <w:color w:val="000000"/>
                <w:sz w:val="18"/>
              </w:rPr>
              <w:t>54.2%</w:t>
            </w:r>
          </w:p>
        </w:tc>
      </w:tr>
    </w:tbl>
    <w:p>
      <w:pPr>
        <w:spacing w:before="40" w:after="40"/>
      </w:pPr>
    </w:p>
    <w:p>
      <w:pPr>
        <w:spacing w:before="80" w:after="80"/>
        <w:pBdr>
          <w:bottom w:val="single" w:sz="4" w:space="1" w:color="1F3864"/>
        </w:pBdr>
      </w:pPr>
    </w:p>
    <w:p>
      <w:pPr>
        <w:spacing w:before="240" w:after="60"/>
        <w:pBdr>
          <w:bottom w:val="single" w:sz="8" w:space="1" w:color="1F3864"/>
        </w:pBdr>
      </w:pPr>
      <w:r>
        <w:rPr>
          <w:b/>
          <w:color w:val="1F3864"/>
          <w:sz w:val="26"/>
        </w:rPr>
        <w:t>Preliminary View</w:t>
      </w:r>
    </w:p>
    <w:p>
      <w:pPr>
        <w:spacing w:before="160" w:after="40"/>
      </w:pPr>
      <w:r>
        <w:rPr>
          <w:b/>
          <w:color w:val="2E75B6"/>
          <w:sz w:val="22"/>
        </w:rPr>
        <w:t>Strengths</w:t>
      </w:r>
    </w:p>
    <w:p>
      <w:pPr>
        <w:spacing w:before="20" w:after="20"/>
        <w:ind w:left="360" w:hanging="259"/>
      </w:pPr>
      <w:r>
        <w:rPr>
          <w:color w:val="000000"/>
          <w:sz w:val="19"/>
        </w:rPr>
        <w:t xml:space="preserve">• </w:t>
      </w:r>
      <w:r>
        <w:rPr>
          <w:b w:val="0"/>
          <w:i w:val="0"/>
          <w:color w:val="000000"/>
          <w:sz w:val="19"/>
        </w:rPr>
        <w:t>Strong revenue growth: clients expanded 376% from 125 (Q1-2020) to 595 (Q4-2024E), with 72% YoY growth in the most recent year driven by acquisitions in NJ and MA</w:t>
      </w:r>
    </w:p>
    <w:p>
      <w:pPr>
        <w:spacing w:before="20" w:after="20"/>
        <w:ind w:left="360" w:hanging="259"/>
      </w:pPr>
      <w:r>
        <w:rPr>
          <w:color w:val="000000"/>
          <w:sz w:val="19"/>
        </w:rPr>
        <w:t xml:space="preserve">• </w:t>
      </w:r>
      <w:r>
        <w:rPr>
          <w:b w:val="0"/>
          <w:i w:val="0"/>
          <w:color w:val="000000"/>
          <w:sz w:val="19"/>
        </w:rPr>
        <w:t>64% private-pay revenue concentration reduces government reimbursement rate risk</w:t>
      </w:r>
    </w:p>
    <w:p>
      <w:pPr>
        <w:spacing w:before="20" w:after="20"/>
        <w:ind w:left="360" w:hanging="259"/>
      </w:pPr>
      <w:r>
        <w:rPr>
          <w:color w:val="000000"/>
          <w:sz w:val="19"/>
        </w:rPr>
        <w:t xml:space="preserve">• </w:t>
      </w:r>
      <w:r>
        <w:rPr>
          <w:b w:val="0"/>
          <w:i w:val="0"/>
          <w:color w:val="000000"/>
          <w:sz w:val="19"/>
        </w:rPr>
        <w:t>Pro forma adjusted gross margin of 43.4% (TTM Aug-2024) is above typical home care benchmarks; HHA/Live-In line carries 54.2% gross margin</w:t>
      </w:r>
    </w:p>
    <w:p>
      <w:pPr>
        <w:spacing w:before="160" w:after="40"/>
      </w:pPr>
      <w:r>
        <w:rPr>
          <w:b/>
          <w:color w:val="2E75B6"/>
          <w:sz w:val="22"/>
        </w:rPr>
        <w:t>Concerns</w:t>
      </w:r>
    </w:p>
    <w:p>
      <w:pPr>
        <w:spacing w:before="20" w:after="20"/>
        <w:ind w:left="360" w:hanging="259"/>
      </w:pPr>
      <w:r>
        <w:rPr>
          <w:color w:val="000000"/>
          <w:sz w:val="19"/>
        </w:rPr>
        <w:t xml:space="preserve">• </w:t>
      </w:r>
      <w:r>
        <w:rPr>
          <w:b w:val="0"/>
          <w:i w:val="0"/>
          <w:color w:val="000000"/>
          <w:sz w:val="19"/>
        </w:rPr>
        <w:t>Professional liability (E&amp;O/malpractice), cyber, D&amp;O, and workers' compensation insurance coverage not confirmed in data room</w:t>
      </w:r>
    </w:p>
    <w:p>
      <w:pPr>
        <w:spacing w:before="20" w:after="20"/>
        <w:ind w:left="360" w:hanging="259"/>
      </w:pPr>
      <w:r>
        <w:rPr>
          <w:color w:val="000000"/>
          <w:sz w:val="19"/>
        </w:rPr>
        <w:t xml:space="preserve">• </w:t>
      </w:r>
      <w:r>
        <w:rPr>
          <w:b w:val="0"/>
          <w:i w:val="0"/>
          <w:color w:val="000000"/>
          <w:sz w:val="19"/>
        </w:rPr>
        <w:t>Key-person concentration: founder David Gilberg holds 92% equity; no non-compete or change-of-control protections identified in employment agreements</w:t>
      </w:r>
    </w:p>
    <w:p>
      <w:pPr>
        <w:spacing w:before="20" w:after="20"/>
        <w:ind w:left="360" w:hanging="259"/>
      </w:pPr>
      <w:r>
        <w:rPr>
          <w:color w:val="000000"/>
          <w:sz w:val="19"/>
        </w:rPr>
        <w:t xml:space="preserve">• </w:t>
      </w:r>
      <w:r>
        <w:rPr>
          <w:b w:val="0"/>
          <w:i w:val="0"/>
          <w:color w:val="000000"/>
          <w:sz w:val="19"/>
        </w:rPr>
        <w:t>Lease assignment consent required from Manhattan and Long Island landlords — transaction execution risk</w:t>
      </w:r>
    </w:p>
    <w:p>
      <w:pPr>
        <w:spacing w:before="80" w:after="80"/>
        <w:pBdr>
          <w:bottom w:val="single" w:sz="4" w:space="1" w:color="1F3864"/>
        </w:pBdr>
      </w:pPr>
    </w:p>
    <w:p>
      <w:pPr>
        <w:spacing w:before="240" w:after="60"/>
        <w:pBdr>
          <w:bottom w:val="single" w:sz="8" w:space="1" w:color="1F3864"/>
        </w:pBdr>
      </w:pPr>
      <w:r>
        <w:rPr>
          <w:b/>
          <w:color w:val="1F3864"/>
          <w:sz w:val="26"/>
        </w:rPr>
        <w:t>Legal Snapshot</w:t>
      </w:r>
    </w:p>
    <w:p>
      <w:pPr>
        <w:spacing w:before="20" w:after="20"/>
        <w:ind w:left="360" w:hanging="259"/>
      </w:pPr>
      <w:r>
        <w:rPr>
          <w:color w:val="000000"/>
          <w:sz w:val="19"/>
        </w:rPr>
        <w:t xml:space="preserve">• </w:t>
      </w:r>
      <w:r>
        <w:rPr>
          <w:b/>
          <w:i w:val="0"/>
          <w:color w:val="000000"/>
          <w:sz w:val="19"/>
        </w:rPr>
        <w:t>Assessed:</w:t>
      </w:r>
      <w:r>
        <w:rPr>
          <w:b w:val="0"/>
          <w:i w:val="0"/>
          <w:color w:val="000000"/>
          <w:sz w:val="19"/>
        </w:rPr>
        <w:t xml:space="preserve"> 7 / 11</w:t>
      </w:r>
    </w:p>
    <w:p>
      <w:pPr>
        <w:spacing w:before="20" w:after="20"/>
        <w:ind w:left="360" w:hanging="259"/>
      </w:pPr>
      <w:r>
        <w:rPr>
          <w:color w:val="000000"/>
          <w:sz w:val="19"/>
        </w:rPr>
        <w:t xml:space="preserve">• </w:t>
      </w:r>
      <w:r>
        <w:rPr>
          <w:b/>
          <w:i w:val="0"/>
          <w:color w:val="000000"/>
          <w:sz w:val="19"/>
        </w:rPr>
        <w:t>Section confidence:</w:t>
      </w:r>
      <w:r>
        <w:rPr>
          <w:b w:val="0"/>
          <w:i w:val="0"/>
          <w:color w:val="000000"/>
          <w:sz w:val="19"/>
        </w:rPr>
        <w:t xml:space="preserve"> high</w:t>
      </w:r>
    </w:p>
    <w:p>
      <w:pPr>
        <w:spacing w:before="20" w:after="20"/>
        <w:ind w:left="360" w:hanging="259"/>
      </w:pPr>
      <w:r>
        <w:rPr>
          <w:color w:val="000000"/>
          <w:sz w:val="19"/>
        </w:rPr>
        <w:t xml:space="preserve">• </w:t>
      </w:r>
      <w:r>
        <w:rPr>
          <w:b w:val="0"/>
          <w:i w:val="0"/>
          <w:color w:val="000000"/>
          <w:sz w:val="19"/>
        </w:rPr>
        <w:t>Open legal matter (other): Engagement of outside counsel (Peter Ackerman Esq.) for collection of patient receivables on behalf of Eldercare Homecare, Inc.. Source: April 30 2025 Fully Executed Retainer Agreement for...</w:t>
      </w:r>
    </w:p>
    <w:p>
      <w:pPr>
        <w:spacing w:before="20" w:after="20"/>
        <w:ind w:left="360" w:hanging="259"/>
      </w:pPr>
      <w:r>
        <w:rPr>
          <w:color w:val="000000"/>
          <w:sz w:val="19"/>
        </w:rPr>
        <w:t xml:space="preserve">• </w:t>
      </w:r>
      <w:r>
        <w:rPr>
          <w:b w:val="0"/>
          <w:i w:val="0"/>
          <w:color w:val="000000"/>
          <w:sz w:val="19"/>
        </w:rPr>
        <w:t>Restrictive covenant (Consultant shall comply with all mandatory rules and regulations adopted by Company; comply with all applicable laws; not violate public conventions, morals, or standards of decency.) in...</w:t>
      </w:r>
    </w:p>
    <w:p>
      <w:pPr>
        <w:spacing w:before="20" w:after="20"/>
        <w:ind w:left="360" w:hanging="259"/>
      </w:pPr>
      <w:r>
        <w:rPr>
          <w:color w:val="000000"/>
          <w:sz w:val="19"/>
        </w:rPr>
        <w:t xml:space="preserve">• </w:t>
      </w:r>
      <w:r>
        <w:rPr>
          <w:b w:val="0"/>
          <w:i w:val="0"/>
          <w:color w:val="000000"/>
          <w:sz w:val="19"/>
        </w:rPr>
        <w:t>Restrictive covenant (Licensee acknowledges Licensor has not made warranties or representations except as expressly set forth in the License Agreement or other written agreements made concurrently.) in Licensor...</w:t>
      </w:r>
    </w:p>
    <w:p>
      <w:pPr>
        <w:spacing w:before="20" w:after="20"/>
        <w:ind w:left="360" w:hanging="259"/>
      </w:pPr>
      <w:r>
        <w:rPr>
          <w:color w:val="000000"/>
          <w:sz w:val="19"/>
        </w:rPr>
        <w:t xml:space="preserve">• </w:t>
      </w:r>
      <w:r>
        <w:rPr>
          <w:b w:val="0"/>
          <w:i w:val="0"/>
          <w:color w:val="000000"/>
          <w:sz w:val="19"/>
        </w:rPr>
        <w:t>Restrictive covenant (Seller's Owner as Guarantor irrevocably guarantees obligations; Seller shall not make unscheduled changes to working capital accounts; no changes to operations without Buyer's prior written...</w:t>
      </w:r>
    </w:p>
    <w:p>
      <w:pPr>
        <w:spacing w:before="20" w:after="20"/>
        <w:ind w:left="360" w:hanging="259"/>
      </w:pPr>
      <w:r>
        <w:rPr>
          <w:color w:val="000000"/>
          <w:sz w:val="19"/>
        </w:rPr>
        <w:t xml:space="preserve">• </w:t>
      </w:r>
      <w:r>
        <w:rPr>
          <w:b w:val="0"/>
          <w:i w:val="0"/>
          <w:color w:val="000000"/>
          <w:sz w:val="19"/>
        </w:rPr>
        <w:t>Restrictive covenant (Tenant shall not transfer or assign interest in Lease, mortgage, pledge or encumber Lease or Demised Premises without compliance with assignment provisions.) in Landlord (unnamed — Manhattan)...</w:t>
      </w:r>
    </w:p>
    <w:p>
      <w:pPr>
        <w:spacing w:before="80" w:after="80"/>
        <w:pBdr>
          <w:bottom w:val="single" w:sz="4" w:space="1" w:color="1F3864"/>
        </w:pBdr>
      </w:pPr>
    </w:p>
    <w:p>
      <w:pPr>
        <w:spacing w:before="240" w:after="60"/>
        <w:pBdr>
          <w:bottom w:val="single" w:sz="8" w:space="1" w:color="1F3864"/>
        </w:pBdr>
      </w:pPr>
      <w:r>
        <w:rPr>
          <w:b/>
          <w:color w:val="1F3864"/>
          <w:sz w:val="26"/>
        </w:rPr>
        <w:t>Quality of Earnings</w:t>
      </w:r>
    </w:p>
    <w:p>
      <w:pPr>
        <w:spacing w:before="20" w:after="20"/>
        <w:ind w:left="360" w:hanging="259"/>
      </w:pPr>
      <w:r>
        <w:rPr>
          <w:color w:val="000000"/>
          <w:sz w:val="19"/>
        </w:rPr>
        <w:t xml:space="preserve">• </w:t>
      </w:r>
      <w:r>
        <w:rPr>
          <w:b/>
          <w:i w:val="0"/>
          <w:color w:val="000000"/>
          <w:sz w:val="19"/>
        </w:rPr>
        <w:t>Tier summary:</w:t>
      </w:r>
      <w:r>
        <w:rPr>
          <w:b w:val="0"/>
          <w:i w:val="0"/>
          <w:color w:val="000000"/>
          <w:sz w:val="19"/>
        </w:rPr>
        <w:t xml:space="preserve"> The company has several one-time expenses with no documentation or explanation provided. The reported EBITDA for 2023 is $2,773.</w:t>
      </w:r>
    </w:p>
    <w:p>
      <w:pPr>
        <w:spacing w:before="20" w:after="20"/>
        <w:ind w:left="360" w:hanging="259"/>
      </w:pPr>
      <w:r>
        <w:rPr>
          <w:color w:val="000000"/>
          <w:sz w:val="19"/>
        </w:rPr>
        <w:t xml:space="preserve">• </w:t>
      </w:r>
      <w:r>
        <w:rPr>
          <w:b w:val="0"/>
          <w:i w:val="0"/>
          <w:color w:val="000000"/>
          <w:sz w:val="19"/>
        </w:rPr>
        <w:t>9 Tier 4 addbacks with undocumented or zero amounts — unlikely to survive buyer QoE (see full report).</w:t>
      </w:r>
    </w:p>
    <w:p>
      <w:pPr>
        <w:spacing w:before="80" w:after="80"/>
        <w:pBdr>
          <w:bottom w:val="single" w:sz="4" w:space="1" w:color="1F3864"/>
        </w:pBdr>
      </w:pPr>
    </w:p>
    <w:p>
      <w:pPr>
        <w:spacing w:before="240" w:after="60"/>
        <w:pBdr>
          <w:bottom w:val="single" w:sz="8" w:space="1" w:color="1F3864"/>
        </w:pBdr>
      </w:pPr>
      <w:r>
        <w:rPr>
          <w:b/>
          <w:color w:val="1F3864"/>
          <w:sz w:val="26"/>
        </w:rPr>
        <w:t>Top Risks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D0E8"/>
          <w:left w:val="single" w:sz="4" w:space="0" w:color="BFD0E8"/>
          <w:bottom w:val="single" w:sz="4" w:space="0" w:color="BFD0E8"/>
          <w:right w:val="single" w:sz="4" w:space="0" w:color="BFD0E8"/>
          <w:insideH w:val="single" w:sz="4" w:space="0" w:color="BFD0E8"/>
          <w:insideV w:val="single" w:sz="4" w:space="0" w:color="BFD0E8"/>
        </w:tblBorders>
      </w:tblPr>
      <w:tblGrid>
        <w:gridCol w:w="2520"/>
        <w:gridCol w:w="2520"/>
        <w:gridCol w:w="2520"/>
        <w:gridCol w:w="2520"/>
      </w:tblGrid>
      <w:tr>
        <w:trPr>
          <w:trHeight w:val="280"/>
        </w:trPr>
        <w:tc>
          <w:tcPr>
            <w:tcW w:type="dxa" w:w="3226"/>
            <w:vAlign w:val="center"/>
            <w:shd w:val="clear" w:color="auto" w:fill="1F3864"/>
          </w:tcPr>
          <w:p>
            <w:pPr>
              <w:spacing w:before="20" w:after="20"/>
              <w:ind w:left="72"/>
            </w:pPr>
            <w:r>
              <w:rPr>
                <w:b/>
                <w:i w:val="0"/>
                <w:color w:val="FFFFFF"/>
                <w:sz w:val="18"/>
              </w:rPr>
              <w:t>Risk</w:t>
            </w:r>
          </w:p>
        </w:tc>
        <w:tc>
          <w:tcPr>
            <w:tcW w:type="dxa" w:w="2285"/>
            <w:vAlign w:val="center"/>
            <w:shd w:val="clear" w:color="auto" w:fill="1F3864"/>
          </w:tcPr>
          <w:p>
            <w:pPr>
              <w:spacing w:before="20" w:after="20"/>
              <w:ind w:left="72"/>
            </w:pPr>
            <w:r>
              <w:rPr>
                <w:b/>
                <w:i w:val="0"/>
                <w:color w:val="FFFFFF"/>
                <w:sz w:val="18"/>
              </w:rPr>
              <w:t>Severity</w:t>
            </w:r>
          </w:p>
        </w:tc>
        <w:tc>
          <w:tcPr>
            <w:tcW w:type="dxa" w:w="2285"/>
            <w:vAlign w:val="center"/>
            <w:shd w:val="clear" w:color="auto" w:fill="1F3864"/>
          </w:tcPr>
          <w:p>
            <w:pPr>
              <w:spacing w:before="20" w:after="20"/>
              <w:ind w:left="72"/>
            </w:pPr>
            <w:r>
              <w:rPr>
                <w:b/>
                <w:i w:val="0"/>
                <w:color w:val="FFFFFF"/>
                <w:sz w:val="18"/>
              </w:rPr>
              <w:t>Evidence</w:t>
            </w:r>
          </w:p>
        </w:tc>
        <w:tc>
          <w:tcPr>
            <w:tcW w:type="dxa" w:w="2285"/>
            <w:vAlign w:val="center"/>
            <w:shd w:val="clear" w:color="auto" w:fill="1F3864"/>
          </w:tcPr>
          <w:p>
            <w:pPr>
              <w:spacing w:before="20" w:after="20"/>
              <w:ind w:left="72"/>
            </w:pPr>
            <w:r>
              <w:rPr>
                <w:b/>
                <w:i w:val="0"/>
                <w:color w:val="FFFFFF"/>
                <w:sz w:val="18"/>
              </w:rPr>
              <w:t>Mitigant</w:t>
            </w:r>
          </w:p>
        </w:tc>
      </w:tr>
      <w:tr>
        <w:trPr>
          <w:trHeight w:val="260"/>
        </w:trPr>
        <w:tc>
          <w:tcPr>
            <w:tcW w:type="dxa" w:w="3226"/>
            <w:vAlign w:val="center"/>
          </w:tcPr>
          <w:p>
            <w:pPr>
              <w:spacing w:before="20" w:after="20"/>
              <w:ind w:left="72"/>
            </w:pPr>
            <w:r>
              <w:rPr>
                <w:b w:val="0"/>
                <w:i w:val="0"/>
                <w:color w:val="000000"/>
                <w:sz w:val="18"/>
              </w:rPr>
              <w:t>Open legal matters</w:t>
            </w:r>
          </w:p>
        </w:tc>
        <w:tc>
          <w:tcPr>
            <w:tcW w:type="dxa" w:w="2285"/>
            <w:vAlign w:val="center"/>
          </w:tcPr>
          <w:p>
            <w:pPr>
              <w:spacing w:before="20" w:after="20"/>
              <w:ind w:left="72"/>
            </w:pPr>
            <w:r>
              <w:rPr>
                <w:b w:val="0"/>
                <w:i w:val="0"/>
                <w:color w:val="000000"/>
                <w:sz w:val="18"/>
              </w:rPr>
              <w:t>critical</w:t>
            </w:r>
          </w:p>
        </w:tc>
        <w:tc>
          <w:tcPr>
            <w:tcW w:type="dxa" w:w="2285"/>
            <w:vAlign w:val="center"/>
          </w:tcPr>
          <w:p>
            <w:pPr>
              <w:spacing w:before="20" w:after="20"/>
              <w:ind w:left="72"/>
            </w:pPr>
            <w:r>
              <w:rPr>
                <w:b w:val="0"/>
                <w:i w:val="0"/>
                <w:color w:val="000000"/>
                <w:sz w:val="18"/>
              </w:rPr>
              <w:t>other: Engagement of outside counsel (Peter Ackerman Esq.) for collection of patient re (April 30 2025 Fully...</w:t>
            </w:r>
          </w:p>
        </w:tc>
        <w:tc>
          <w:tcPr>
            <w:tcW w:type="dxa" w:w="2285"/>
            <w:vAlign w:val="center"/>
          </w:tcPr>
          <w:p>
            <w:pPr>
              <w:spacing w:before="20" w:after="20"/>
              <w:ind w:left="72"/>
            </w:pPr>
            <w:r>
              <w:rPr>
                <w:b w:val="0"/>
                <w:i w:val="0"/>
                <w:color w:val="000000"/>
                <w:sz w:val="18"/>
              </w:rPr>
              <w:t>Open legal matter (other): Engagement of outside counsel (Peter Ackerman Esq.) for collection of patient receivables...</w:t>
            </w:r>
          </w:p>
        </w:tc>
      </w:tr>
      <w:tr>
        <w:trPr>
          <w:trHeight w:val="260"/>
        </w:trPr>
        <w:tc>
          <w:tcPr>
            <w:tcW w:type="dxa" w:w="3226"/>
            <w:vAlign w:val="center"/>
            <w:shd w:val="clear" w:color="auto" w:fill="EEF3FA"/>
          </w:tcPr>
          <w:p>
            <w:pPr>
              <w:spacing w:before="20" w:after="20"/>
              <w:ind w:left="72"/>
            </w:pPr>
            <w:r>
              <w:rPr>
                <w:b w:val="0"/>
                <w:i w:val="0"/>
                <w:color w:val="000000"/>
                <w:sz w:val="18"/>
              </w:rPr>
              <w:t>Undocumented Tier 4 addbacks</w:t>
            </w:r>
          </w:p>
        </w:tc>
        <w:tc>
          <w:tcPr>
            <w:tcW w:type="dxa" w:w="2285"/>
            <w:vAlign w:val="center"/>
            <w:shd w:val="clear" w:color="auto" w:fill="EEF3FA"/>
          </w:tcPr>
          <w:p>
            <w:pPr>
              <w:spacing w:before="20" w:after="20"/>
              <w:ind w:left="72"/>
            </w:pPr>
            <w:r>
              <w:rPr>
                <w:b w:val="0"/>
                <w:i w:val="0"/>
                <w:color w:val="000000"/>
                <w:sz w:val="18"/>
              </w:rPr>
              <w:t>critical</w:t>
            </w:r>
          </w:p>
        </w:tc>
        <w:tc>
          <w:tcPr>
            <w:tcW w:type="dxa" w:w="2285"/>
            <w:vAlign w:val="center"/>
            <w:shd w:val="clear" w:color="auto" w:fill="EEF3FA"/>
          </w:tcPr>
          <w:p>
            <w:pPr>
              <w:spacing w:before="20" w:after="20"/>
              <w:ind w:left="72"/>
            </w:pPr>
            <w:r>
              <w:rPr>
                <w:b w:val="0"/>
                <w:i w:val="0"/>
                <w:color w:val="000000"/>
                <w:sz w:val="18"/>
              </w:rPr>
              <w:t>One Time Expenses ($0) (Elder Care Projection Model Refresh_vF.xlsx (+6 related)</w:t>
            </w:r>
          </w:p>
        </w:tc>
        <w:tc>
          <w:tcPr>
            <w:tcW w:type="dxa" w:w="2285"/>
            <w:vAlign w:val="center"/>
            <w:shd w:val="clear" w:color="auto" w:fill="EEF3FA"/>
          </w:tcPr>
          <w:p>
            <w:pPr>
              <w:spacing w:before="20" w:after="20"/>
              <w:ind w:left="72"/>
            </w:pPr>
            <w:r>
              <w:rPr>
                <w:b w:val="0"/>
                <w:i w:val="0"/>
                <w:color w:val="000000"/>
                <w:sz w:val="18"/>
              </w:rPr>
              <w:t>Tier 4 addback: One Time Expenses ($0) — unlikely to survive buyer QofE. Source: Elder Care Projection Model...</w:t>
            </w:r>
          </w:p>
        </w:tc>
      </w:tr>
    </w:tbl>
    <w:p>
      <w:pPr>
        <w:spacing w:before="40" w:after="40"/>
      </w:pPr>
    </w:p>
    <w:p>
      <w:pPr>
        <w:spacing w:before="80" w:after="80"/>
        <w:pBdr>
          <w:bottom w:val="single" w:sz="4" w:space="1" w:color="1F3864"/>
        </w:pBdr>
      </w:pPr>
    </w:p>
    <w:p>
      <w:pPr>
        <w:spacing w:before="240" w:after="60"/>
        <w:pBdr>
          <w:bottom w:val="single" w:sz="8" w:space="1" w:color="1F3864"/>
        </w:pBdr>
      </w:pPr>
      <w:r>
        <w:rPr>
          <w:b/>
          <w:color w:val="1F3864"/>
          <w:sz w:val="26"/>
        </w:rPr>
        <w:t>Priority Diligence Questions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D0E8"/>
          <w:left w:val="single" w:sz="4" w:space="0" w:color="BFD0E8"/>
          <w:bottom w:val="single" w:sz="4" w:space="0" w:color="BFD0E8"/>
          <w:right w:val="single" w:sz="4" w:space="0" w:color="BFD0E8"/>
          <w:insideH w:val="single" w:sz="4" w:space="0" w:color="BFD0E8"/>
          <w:insideV w:val="single" w:sz="4" w:space="0" w:color="BFD0E8"/>
        </w:tblBorders>
      </w:tblPr>
      <w:tblGrid>
        <w:gridCol w:w="3360"/>
        <w:gridCol w:w="3360"/>
        <w:gridCol w:w="3360"/>
      </w:tblGrid>
      <w:tr>
        <w:trPr>
          <w:trHeight w:val="280"/>
        </w:trPr>
        <w:tc>
          <w:tcPr>
            <w:tcW w:type="dxa" w:w="3226"/>
            <w:vAlign w:val="center"/>
            <w:shd w:val="clear" w:color="auto" w:fill="1F3864"/>
          </w:tcPr>
          <w:p>
            <w:pPr>
              <w:spacing w:before="20" w:after="20"/>
              <w:ind w:left="72"/>
            </w:pPr>
            <w:r>
              <w:rPr>
                <w:b/>
                <w:i w:val="0"/>
                <w:color w:val="FFFFFF"/>
                <w:sz w:val="18"/>
              </w:rPr>
              <w:t>Category</w:t>
            </w:r>
          </w:p>
        </w:tc>
        <w:tc>
          <w:tcPr>
            <w:tcW w:type="dxa" w:w="3427"/>
            <w:vAlign w:val="center"/>
            <w:shd w:val="clear" w:color="auto" w:fill="1F3864"/>
          </w:tcPr>
          <w:p>
            <w:pPr>
              <w:spacing w:before="20" w:after="20"/>
              <w:ind w:left="72"/>
            </w:pPr>
            <w:r>
              <w:rPr>
                <w:b/>
                <w:i w:val="0"/>
                <w:color w:val="FFFFFF"/>
                <w:sz w:val="18"/>
              </w:rPr>
              <w:t>Question</w:t>
            </w:r>
          </w:p>
        </w:tc>
        <w:tc>
          <w:tcPr>
            <w:tcW w:type="dxa" w:w="3427"/>
            <w:vAlign w:val="center"/>
            <w:shd w:val="clear" w:color="auto" w:fill="1F3864"/>
          </w:tcPr>
          <w:p>
            <w:pPr>
              <w:spacing w:before="20" w:after="20"/>
              <w:ind w:left="72"/>
            </w:pPr>
            <w:r>
              <w:rPr>
                <w:b/>
                <w:i w:val="0"/>
                <w:color w:val="FFFFFF"/>
                <w:sz w:val="18"/>
              </w:rPr>
              <w:t>Priority</w:t>
            </w:r>
          </w:p>
        </w:tc>
      </w:tr>
      <w:tr>
        <w:trPr>
          <w:trHeight w:val="260"/>
        </w:trPr>
        <w:tc>
          <w:tcPr>
            <w:tcW w:type="dxa" w:w="3226"/>
            <w:vAlign w:val="center"/>
          </w:tcPr>
          <w:p>
            <w:pPr>
              <w:spacing w:before="20" w:after="20"/>
              <w:ind w:left="72"/>
            </w:pPr>
            <w:r>
              <w:rPr>
                <w:b w:val="0"/>
                <w:i w:val="0"/>
                <w:color w:val="000000"/>
                <w:sz w:val="18"/>
              </w:rPr>
              <w:t>legal</w:t>
            </w:r>
          </w:p>
        </w:tc>
        <w:tc>
          <w:tcPr>
            <w:tcW w:type="dxa" w:w="3427"/>
            <w:vAlign w:val="center"/>
          </w:tcPr>
          <w:p>
            <w:pPr>
              <w:spacing w:before="20" w:after="20"/>
              <w:ind w:left="72"/>
            </w:pPr>
            <w:r>
              <w:rPr>
                <w:b w:val="0"/>
                <w:i w:val="0"/>
                <w:color w:val="000000"/>
                <w:sz w:val="18"/>
              </w:rPr>
              <w:t>Request and review Healthcare Referral Agreements</w:t>
            </w:r>
          </w:p>
        </w:tc>
        <w:tc>
          <w:tcPr>
            <w:tcW w:type="dxa" w:w="3427"/>
            <w:vAlign w:val="center"/>
          </w:tcPr>
          <w:p>
            <w:pPr>
              <w:spacing w:before="20" w:after="20"/>
              <w:ind w:left="72"/>
            </w:pPr>
            <w:r>
              <w:rPr>
                <w:b w:val="0"/>
                <w:i w:val="0"/>
                <w:color w:val="000000"/>
                <w:sz w:val="18"/>
              </w:rPr>
              <w:t>High</w:t>
            </w:r>
          </w:p>
        </w:tc>
      </w:tr>
    </w:tbl>
    <w:p>
      <w:pPr>
        <w:spacing w:before="40" w:after="40"/>
      </w:pPr>
    </w:p>
    <w:p>
      <w:pPr>
        <w:spacing w:before="80" w:after="80"/>
        <w:pBdr>
          <w:bottom w:val="single" w:sz="4" w:space="1" w:color="1F3864"/>
        </w:pBdr>
      </w:pPr>
    </w:p>
    <w:p>
      <w:pPr>
        <w:spacing w:before="240" w:after="60"/>
        <w:pBdr>
          <w:bottom w:val="single" w:sz="8" w:space="1" w:color="1F3864"/>
        </w:pBdr>
      </w:pPr>
      <w:r>
        <w:rPr>
          <w:b/>
          <w:color w:val="1F3864"/>
          <w:sz w:val="26"/>
        </w:rPr>
        <w:t>Open Items / Data Requests</w:t>
      </w:r>
    </w:p>
    <w:p>
      <w:pPr>
        <w:spacing w:before="20" w:after="20"/>
        <w:ind w:left="360" w:hanging="259"/>
      </w:pPr>
      <w:r>
        <w:rPr>
          <w:color w:val="000000"/>
          <w:sz w:val="19"/>
        </w:rPr>
        <w:t xml:space="preserve">• </w:t>
      </w:r>
      <w:r>
        <w:rPr>
          <w:b w:val="0"/>
          <w:i w:val="0"/>
          <w:color w:val="000000"/>
          <w:sz w:val="19"/>
        </w:rPr>
        <w:t>Customer contracts — termination for convenience</w:t>
      </w:r>
    </w:p>
    <w:p>
      <w:pPr>
        <w:spacing w:before="20" w:after="20"/>
        <w:ind w:left="360" w:hanging="259"/>
      </w:pPr>
      <w:r>
        <w:rPr>
          <w:color w:val="000000"/>
          <w:sz w:val="19"/>
        </w:rPr>
        <w:t xml:space="preserve">• </w:t>
      </w:r>
      <w:r>
        <w:rPr>
          <w:b w:val="0"/>
          <w:i w:val="0"/>
          <w:color w:val="000000"/>
          <w:sz w:val="19"/>
        </w:rPr>
        <w:t>Change-of-control clauses</w:t>
      </w:r>
    </w:p>
    <w:p>
      <w:pPr>
        <w:spacing w:before="20" w:after="20"/>
        <w:ind w:left="360" w:hanging="259"/>
      </w:pPr>
      <w:r>
        <w:rPr>
          <w:color w:val="000000"/>
          <w:sz w:val="19"/>
        </w:rPr>
        <w:t xml:space="preserve">• </w:t>
      </w:r>
      <w:r>
        <w:rPr>
          <w:b w:val="0"/>
          <w:i w:val="0"/>
          <w:color w:val="000000"/>
          <w:sz w:val="19"/>
        </w:rPr>
        <w:t>Platform / reseller / channel dependencies</w:t>
      </w:r>
    </w:p>
    <w:p>
      <w:pPr>
        <w:spacing w:before="20" w:after="20"/>
        <w:ind w:left="360" w:hanging="259"/>
      </w:pPr>
      <w:r>
        <w:rPr>
          <w:color w:val="000000"/>
          <w:sz w:val="19"/>
        </w:rPr>
        <w:t xml:space="preserve">• </w:t>
      </w:r>
      <w:r>
        <w:rPr>
          <w:b w:val="0"/>
          <w:i w:val="0"/>
          <w:color w:val="000000"/>
          <w:sz w:val="19"/>
        </w:rPr>
        <w:t>IP ownership, assignment, OSS</w:t>
      </w:r>
    </w:p>
    <w:p>
      <w:pPr>
        <w:spacing w:before="80" w:after="80"/>
        <w:pBdr>
          <w:bottom w:val="single" w:sz="4" w:space="1" w:color="1F3864"/>
        </w:pBdr>
      </w:pPr>
    </w:p>
    <w:p>
      <w:pPr>
        <w:spacing w:before="240" w:after="60"/>
        <w:pBdr>
          <w:bottom w:val="single" w:sz="8" w:space="1" w:color="1F3864"/>
        </w:pBdr>
      </w:pPr>
      <w:r>
        <w:rPr>
          <w:b/>
          <w:color w:val="1F3864"/>
          <w:sz w:val="26"/>
        </w:rPr>
        <w:t>Confidence by Area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D0E8"/>
          <w:left w:val="single" w:sz="4" w:space="0" w:color="BFD0E8"/>
          <w:bottom w:val="single" w:sz="4" w:space="0" w:color="BFD0E8"/>
          <w:right w:val="single" w:sz="4" w:space="0" w:color="BFD0E8"/>
          <w:insideH w:val="single" w:sz="4" w:space="0" w:color="BFD0E8"/>
          <w:insideV w:val="single" w:sz="4" w:space="0" w:color="BFD0E8"/>
        </w:tblBorders>
      </w:tblPr>
      <w:tblGrid>
        <w:gridCol w:w="5040"/>
        <w:gridCol w:w="5040"/>
      </w:tblGrid>
      <w:tr>
        <w:trPr>
          <w:trHeight w:val="280"/>
        </w:trPr>
        <w:tc>
          <w:tcPr>
            <w:tcW w:type="dxa" w:w="3226"/>
            <w:vAlign w:val="center"/>
            <w:shd w:val="clear" w:color="auto" w:fill="1F3864"/>
          </w:tcPr>
          <w:p>
            <w:pPr>
              <w:spacing w:before="20" w:after="20"/>
              <w:ind w:left="72"/>
            </w:pPr>
            <w:r>
              <w:rPr>
                <w:b/>
                <w:i w:val="0"/>
                <w:color w:val="FFFFFF"/>
                <w:sz w:val="18"/>
              </w:rPr>
              <w:t>Area</w:t>
            </w:r>
          </w:p>
        </w:tc>
        <w:tc>
          <w:tcPr>
            <w:tcW w:type="dxa" w:w="6854"/>
            <w:vAlign w:val="center"/>
            <w:shd w:val="clear" w:color="auto" w:fill="1F3864"/>
          </w:tcPr>
          <w:p>
            <w:pPr>
              <w:spacing w:before="20" w:after="20"/>
              <w:ind w:left="72"/>
            </w:pPr>
            <w:r>
              <w:rPr>
                <w:b/>
                <w:i w:val="0"/>
                <w:color w:val="FFFFFF"/>
                <w:sz w:val="18"/>
              </w:rPr>
              <w:t>Confidence</w:t>
            </w:r>
          </w:p>
        </w:tc>
      </w:tr>
      <w:tr>
        <w:trPr>
          <w:trHeight w:val="260"/>
        </w:trPr>
        <w:tc>
          <w:tcPr>
            <w:tcW w:type="dxa" w:w="3226"/>
            <w:vAlign w:val="center"/>
          </w:tcPr>
          <w:p>
            <w:pPr>
              <w:spacing w:before="20" w:after="20"/>
              <w:ind w:left="72"/>
            </w:pPr>
            <w:r>
              <w:rPr>
                <w:b w:val="0"/>
                <w:i w:val="0"/>
                <w:color w:val="000000"/>
                <w:sz w:val="18"/>
              </w:rPr>
              <w:t>Business Model</w:t>
            </w:r>
          </w:p>
        </w:tc>
        <w:tc>
          <w:tcPr>
            <w:tcW w:type="dxa" w:w="6854"/>
            <w:vAlign w:val="center"/>
          </w:tcPr>
          <w:p>
            <w:pPr>
              <w:spacing w:before="20" w:after="20"/>
              <w:ind w:left="72"/>
            </w:pPr>
            <w:r>
              <w:rPr>
                <w:b w:val="0"/>
                <w:i w:val="0"/>
                <w:color w:val="000000"/>
                <w:sz w:val="18"/>
              </w:rPr>
              <w:t>low</w:t>
            </w:r>
          </w:p>
        </w:tc>
      </w:tr>
      <w:tr>
        <w:trPr>
          <w:trHeight w:val="260"/>
        </w:trPr>
        <w:tc>
          <w:tcPr>
            <w:tcW w:type="dxa" w:w="3226"/>
            <w:vAlign w:val="center"/>
            <w:shd w:val="clear" w:color="auto" w:fill="EEF3FA"/>
          </w:tcPr>
          <w:p>
            <w:pPr>
              <w:spacing w:before="20" w:after="20"/>
              <w:ind w:left="72"/>
            </w:pPr>
            <w:r>
              <w:rPr>
                <w:b w:val="0"/>
                <w:i w:val="0"/>
                <w:color w:val="000000"/>
                <w:sz w:val="18"/>
              </w:rPr>
              <w:t>Financial Trends</w:t>
            </w:r>
          </w:p>
        </w:tc>
        <w:tc>
          <w:tcPr>
            <w:tcW w:type="dxa" w:w="6854"/>
            <w:vAlign w:val="center"/>
            <w:shd w:val="clear" w:color="auto" w:fill="EEF3FA"/>
          </w:tcPr>
          <w:p>
            <w:pPr>
              <w:spacing w:before="20" w:after="20"/>
              <w:ind w:left="72"/>
            </w:pPr>
            <w:r>
              <w:rPr>
                <w:b w:val="0"/>
                <w:i w:val="0"/>
                <w:color w:val="000000"/>
                <w:sz w:val="18"/>
              </w:rPr>
              <w:t>medium</w:t>
            </w:r>
          </w:p>
        </w:tc>
      </w:tr>
      <w:tr>
        <w:trPr>
          <w:trHeight w:val="260"/>
        </w:trPr>
        <w:tc>
          <w:tcPr>
            <w:tcW w:type="dxa" w:w="3226"/>
            <w:vAlign w:val="center"/>
          </w:tcPr>
          <w:p>
            <w:pPr>
              <w:spacing w:before="20" w:after="20"/>
              <w:ind w:left="72"/>
            </w:pPr>
            <w:r>
              <w:rPr>
                <w:b w:val="0"/>
                <w:i w:val="0"/>
                <w:color w:val="000000"/>
                <w:sz w:val="18"/>
              </w:rPr>
              <w:t>Customer Quality</w:t>
            </w:r>
          </w:p>
        </w:tc>
        <w:tc>
          <w:tcPr>
            <w:tcW w:type="dxa" w:w="6854"/>
            <w:vAlign w:val="center"/>
          </w:tcPr>
          <w:p>
            <w:pPr>
              <w:spacing w:before="20" w:after="20"/>
              <w:ind w:left="72"/>
            </w:pPr>
            <w:r>
              <w:rPr>
                <w:b w:val="0"/>
                <w:i w:val="0"/>
                <w:color w:val="000000"/>
                <w:sz w:val="18"/>
              </w:rPr>
              <w:t>low</w:t>
            </w:r>
          </w:p>
        </w:tc>
      </w:tr>
      <w:tr>
        <w:trPr>
          <w:trHeight w:val="260"/>
        </w:trPr>
        <w:tc>
          <w:tcPr>
            <w:tcW w:type="dxa" w:w="3226"/>
            <w:vAlign w:val="center"/>
            <w:shd w:val="clear" w:color="auto" w:fill="EEF3FA"/>
          </w:tcPr>
          <w:p>
            <w:pPr>
              <w:spacing w:before="20" w:after="20"/>
              <w:ind w:left="72"/>
            </w:pPr>
            <w:r>
              <w:rPr>
                <w:b w:val="0"/>
                <w:i w:val="0"/>
                <w:color w:val="000000"/>
                <w:sz w:val="18"/>
              </w:rPr>
              <w:t>KPI</w:t>
            </w:r>
          </w:p>
        </w:tc>
        <w:tc>
          <w:tcPr>
            <w:tcW w:type="dxa" w:w="6854"/>
            <w:vAlign w:val="center"/>
            <w:shd w:val="clear" w:color="auto" w:fill="EEF3FA"/>
          </w:tcPr>
          <w:p>
            <w:pPr>
              <w:spacing w:before="20" w:after="20"/>
              <w:ind w:left="72"/>
            </w:pPr>
            <w:r>
              <w:rPr>
                <w:b w:val="0"/>
                <w:i w:val="0"/>
                <w:color w:val="000000"/>
                <w:sz w:val="18"/>
              </w:rPr>
              <w:t>low</w:t>
            </w:r>
          </w:p>
        </w:tc>
      </w:tr>
      <w:tr>
        <w:trPr>
          <w:trHeight w:val="260"/>
        </w:trPr>
        <w:tc>
          <w:tcPr>
            <w:tcW w:type="dxa" w:w="3226"/>
            <w:vAlign w:val="center"/>
          </w:tcPr>
          <w:p>
            <w:pPr>
              <w:spacing w:before="20" w:after="20"/>
              <w:ind w:left="72"/>
            </w:pPr>
            <w:r>
              <w:rPr>
                <w:b w:val="0"/>
                <w:i w:val="0"/>
                <w:color w:val="000000"/>
                <w:sz w:val="18"/>
              </w:rPr>
              <w:t>Legal</w:t>
            </w:r>
          </w:p>
        </w:tc>
        <w:tc>
          <w:tcPr>
            <w:tcW w:type="dxa" w:w="6854"/>
            <w:vAlign w:val="center"/>
          </w:tcPr>
          <w:p>
            <w:pPr>
              <w:spacing w:before="20" w:after="20"/>
              <w:ind w:left="72"/>
            </w:pPr>
            <w:r>
              <w:rPr>
                <w:b w:val="0"/>
                <w:i w:val="0"/>
                <w:color w:val="000000"/>
                <w:sz w:val="18"/>
              </w:rPr>
              <w:t>medium</w:t>
            </w:r>
          </w:p>
        </w:tc>
      </w:tr>
      <w:tr>
        <w:trPr>
          <w:trHeight w:val="260"/>
        </w:trPr>
        <w:tc>
          <w:tcPr>
            <w:tcW w:type="dxa" w:w="3226"/>
            <w:vAlign w:val="center"/>
            <w:shd w:val="clear" w:color="auto" w:fill="EEF3FA"/>
          </w:tcPr>
          <w:p>
            <w:pPr>
              <w:spacing w:before="20" w:after="20"/>
              <w:ind w:left="72"/>
            </w:pPr>
            <w:r>
              <w:rPr>
                <w:b w:val="0"/>
                <w:i w:val="0"/>
                <w:color w:val="000000"/>
                <w:sz w:val="18"/>
              </w:rPr>
              <w:t>Quality of Earnings</w:t>
            </w:r>
          </w:p>
        </w:tc>
        <w:tc>
          <w:tcPr>
            <w:tcW w:type="dxa" w:w="6854"/>
            <w:vAlign w:val="center"/>
            <w:shd w:val="clear" w:color="auto" w:fill="EEF3FA"/>
          </w:tcPr>
          <w:p>
            <w:pPr>
              <w:spacing w:before="20" w:after="20"/>
              <w:ind w:left="72"/>
            </w:pPr>
            <w:r>
              <w:rPr>
                <w:b w:val="0"/>
                <w:i w:val="0"/>
                <w:color w:val="000000"/>
                <w:sz w:val="18"/>
              </w:rPr>
              <w:t>medium</w:t>
            </w:r>
          </w:p>
        </w:tc>
      </w:tr>
      <w:tr>
        <w:trPr>
          <w:trHeight w:val="260"/>
        </w:trPr>
        <w:tc>
          <w:tcPr>
            <w:tcW w:type="dxa" w:w="3226"/>
            <w:vAlign w:val="center"/>
          </w:tcPr>
          <w:p>
            <w:pPr>
              <w:spacing w:before="20" w:after="20"/>
              <w:ind w:left="72"/>
            </w:pPr>
            <w:r>
              <w:rPr>
                <w:b w:val="0"/>
                <w:i w:val="0"/>
                <w:color w:val="000000"/>
                <w:sz w:val="18"/>
              </w:rPr>
              <w:t>Forecast Support</w:t>
            </w:r>
          </w:p>
        </w:tc>
        <w:tc>
          <w:tcPr>
            <w:tcW w:type="dxa" w:w="6854"/>
            <w:vAlign w:val="center"/>
          </w:tcPr>
          <w:p>
            <w:pPr>
              <w:spacing w:before="20" w:after="20"/>
              <w:ind w:left="72"/>
            </w:pPr>
            <w:r>
              <w:rPr>
                <w:b w:val="0"/>
                <w:i w:val="0"/>
                <w:color w:val="000000"/>
                <w:sz w:val="18"/>
              </w:rPr>
              <w:t>low</w:t>
            </w:r>
          </w:p>
        </w:tc>
      </w:tr>
    </w:tbl>
    <w:p>
      <w:pPr>
        <w:spacing w:before="40" w:after="40"/>
      </w:pPr>
    </w:p>
    <w:p>
      <w:pPr>
        <w:spacing w:before="80" w:after="80"/>
        <w:pBdr>
          <w:bottom w:val="single" w:sz="4" w:space="1" w:color="1F3864"/>
        </w:pBdr>
      </w:pPr>
    </w:p>
    <w:p>
      <w:pPr>
        <w:spacing w:before="80" w:after="160"/>
        <w:ind w:left="173" w:right="173"/>
        <w:shd w:val="clear" w:color="auto" w:fill="F2F4F7"/>
      </w:pPr>
      <w:r>
        <w:rPr>
          <w:b/>
          <w:i/>
          <w:color w:val="595959"/>
          <w:sz w:val="19"/>
        </w:rPr>
        <w:t>Demo Disclaimer</w:t>
      </w:r>
    </w:p>
    <w:p>
      <w:pPr>
        <w:spacing w:before="40" w:after="40"/>
      </w:pPr>
      <w:r>
        <w:rPr>
          <w:b w:val="0"/>
          <w:i w:val="0"/>
          <w:color w:val="000000"/>
          <w:sz w:val="19"/>
        </w:rPr>
        <w:t>&gt;</w:t>
      </w:r>
    </w:p>
    <w:p>
      <w:pPr>
        <w:spacing w:before="80" w:after="160"/>
        <w:ind w:left="173" w:right="173"/>
        <w:shd w:val="clear" w:color="auto" w:fill="F2F4F7"/>
      </w:pPr>
      <w:r>
        <w:rPr>
          <w:b w:val="0"/>
          <w:i/>
          <w:color w:val="595959"/>
          <w:sz w:val="19"/>
        </w:rPr>
        <w:t>Preliminary demo synthesis for diligence orientation only. Not investment advice or a recommendation to buy, sell, or hold.</w:t>
      </w:r>
    </w:p>
    <w:p>
      <w:pPr>
        <w:spacing w:before="80" w:after="80"/>
        <w:pBdr>
          <w:bottom w:val="single" w:sz="4" w:space="1" w:color="1F3864"/>
        </w:pBdr>
      </w:pPr>
    </w:p>
    <w:p>
      <w:pPr>
        <w:spacing w:before="240" w:after="60"/>
        <w:pBdr>
          <w:bottom w:val="single" w:sz="8" w:space="1" w:color="1F3864"/>
        </w:pBdr>
      </w:pPr>
      <w:r>
        <w:rPr>
          <w:b/>
          <w:color w:val="1F3864"/>
          <w:sz w:val="26"/>
        </w:rPr>
        <w:t>Closing</w:t>
      </w:r>
    </w:p>
    <w:p>
      <w:pPr>
        <w:spacing w:before="40" w:after="40"/>
      </w:pPr>
      <w:r>
        <w:rPr>
          <w:b w:val="0"/>
          <w:i w:val="0"/>
          <w:color w:val="000000"/>
          <w:sz w:val="19"/>
        </w:rPr>
        <w:t>This summary is prepared for informational and diligence-scoping purposes only. It does not constitute investment advice, a recommendation to proceed or decline, or a fairness opinion. All figures are sourced from management-provided documents and have not been independently verified.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