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864"/>
          <w:sz w:val="40"/>
        </w:rPr>
        <w:t>Elder Care — TL;DR One-Pager</w:t>
      </w:r>
    </w:p>
    <w:p>
      <w:pPr>
        <w:spacing w:before="80" w:after="40"/>
      </w:pPr>
      <w:r>
        <w:rPr>
          <w:b/>
          <w:i w:val="0"/>
          <w:color w:val="000000"/>
          <w:sz w:val="19"/>
        </w:rPr>
        <w:t>Vertical:</w:t>
      </w:r>
      <w:r>
        <w:rPr>
          <w:b w:val="0"/>
          <w:i w:val="0"/>
          <w:color w:val="000000"/>
          <w:sz w:val="19"/>
        </w:rPr>
        <w:t xml:space="preserve"> healthcare_services</w:t>
      </w:r>
    </w:p>
    <w:p>
      <w:pPr>
        <w:spacing w:before="60" w:after="160"/>
        <w:jc w:val="center"/>
      </w:pPr>
      <w:r>
        <w:rPr>
          <w:i/>
          <w:color w:val="595959"/>
          <w:sz w:val="18"/>
        </w:rPr>
        <w:t>Generated: 2026-06-30T21:38:45.219116Z</w:t>
      </w:r>
    </w:p>
    <w:p>
      <w:pPr>
        <w:spacing w:before="80" w:after="40"/>
      </w:pPr>
      <w:r>
        <w:rPr>
          <w:b/>
          <w:i w:val="0"/>
          <w:color w:val="000000"/>
          <w:sz w:val="19"/>
        </w:rPr>
        <w:t>Overall Confidence:</w:t>
      </w:r>
      <w:r>
        <w:rPr>
          <w:b w:val="0"/>
          <w:i w:val="0"/>
          <w:color w:val="000000"/>
          <w:sz w:val="19"/>
        </w:rPr>
        <w:t xml:space="preserve"> low</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Metric</w:t>
            </w:r>
          </w:p>
        </w:tc>
        <w:tc>
          <w:tcPr>
            <w:tcW w:type="dxa" w:w="6854"/>
            <w:vAlign w:val="center"/>
            <w:shd w:val="clear" w:color="auto" w:fill="1F3864"/>
          </w:tcPr>
          <w:p>
            <w:pPr>
              <w:spacing w:before="20" w:after="20"/>
              <w:ind w:left="72"/>
            </w:pPr>
            <w:r>
              <w:rPr>
                <w:b/>
                <w:i w:val="0"/>
                <w:color w:val="FFFFFF"/>
                <w:sz w:val="18"/>
              </w:rPr>
              <w:t>Value</w:t>
            </w:r>
          </w:p>
        </w:tc>
      </w:tr>
      <w:tr>
        <w:trPr>
          <w:trHeight w:val="260"/>
        </w:trPr>
        <w:tc>
          <w:tcPr>
            <w:tcW w:type="dxa" w:w="3226"/>
            <w:vAlign w:val="center"/>
          </w:tcPr>
          <w:p>
            <w:pPr>
              <w:spacing w:before="20" w:after="20"/>
              <w:ind w:left="72"/>
            </w:pPr>
            <w:r>
              <w:rPr>
                <w:b w:val="0"/>
                <w:i w:val="0"/>
                <w:color w:val="000000"/>
                <w:sz w:val="18"/>
              </w:rPr>
              <w:t>EBITDA Margin</w:t>
            </w:r>
          </w:p>
        </w:tc>
        <w:tc>
          <w:tcPr>
            <w:tcW w:type="dxa" w:w="6854"/>
            <w:vAlign w:val="center"/>
          </w:tcPr>
          <w:p>
            <w:pPr>
              <w:spacing w:before="20" w:after="20"/>
              <w:ind w:left="72"/>
            </w:pPr>
            <w:r>
              <w:rPr>
                <w:b w:val="0"/>
                <w:i w:val="0"/>
                <w:color w:val="000000"/>
                <w:sz w:val="18"/>
              </w:rPr>
              <w:t>30.0%</w:t>
            </w:r>
          </w:p>
        </w:tc>
      </w:tr>
      <w:tr>
        <w:trPr>
          <w:trHeight w:val="260"/>
        </w:trPr>
        <w:tc>
          <w:tcPr>
            <w:tcW w:type="dxa" w:w="3226"/>
            <w:vAlign w:val="center"/>
            <w:shd w:val="clear" w:color="auto" w:fill="EEF3FA"/>
          </w:tcPr>
          <w:p>
            <w:pPr>
              <w:spacing w:before="20" w:after="20"/>
              <w:ind w:left="72"/>
            </w:pPr>
            <w:r>
              <w:rPr>
                <w:b w:val="0"/>
                <w:i w:val="0"/>
                <w:color w:val="000000"/>
                <w:sz w:val="18"/>
              </w:rPr>
              <w:t>Revenue CAGR</w:t>
            </w:r>
          </w:p>
        </w:tc>
        <w:tc>
          <w:tcPr>
            <w:tcW w:type="dxa" w:w="6854"/>
            <w:vAlign w:val="center"/>
            <w:shd w:val="clear" w:color="auto" w:fill="EEF3FA"/>
          </w:tcPr>
          <w:p>
            <w:pPr>
              <w:spacing w:before="20" w:after="20"/>
              <w:ind w:left="72"/>
            </w:pPr>
            <w:r>
              <w:rPr>
                <w:b w:val="0"/>
                <w:i w:val="0"/>
                <w:color w:val="000000"/>
                <w:sz w:val="18"/>
              </w:rPr>
              <w:t>61.7%</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In One Line</w:t>
      </w:r>
    </w:p>
    <w:p>
      <w:pPr>
        <w:spacing w:before="40" w:after="40"/>
      </w:pPr>
      <w:r>
        <w:rPr>
          <w:b w:val="0"/>
          <w:i w:val="0"/>
          <w:color w:val="000000"/>
          <w:sz w:val="19"/>
        </w:rPr>
        <w:t>Elder Care is a multi-market private-pay home care platform serving ~595 clients across NY, NJ, MA, and CT, with reported net revenue of $35.1M (TTM Aug-24) growing to $46.4M on a pro forma adjusted basis, supported by strong client tenure (57% with 4+ years) and a differentiated offshore staffing model, but requiring close scrutiny of a 247% addback-to-reported-EBITDA ratio, multiple intra-document financial discrepancies, and the gap between reported and adjusted earnings.</w:t>
      </w:r>
    </w:p>
    <w:p>
      <w:pPr>
        <w:spacing w:before="80" w:after="80"/>
        <w:pBdr>
          <w:bottom w:val="single" w:sz="4" w:space="1" w:color="1F3864"/>
        </w:pBdr>
      </w:pPr>
    </w:p>
    <w:p>
      <w:pPr>
        <w:spacing w:before="240" w:after="60"/>
        <w:pBdr>
          <w:bottom w:val="single" w:sz="8" w:space="1" w:color="1F3864"/>
        </w:pBdr>
      </w:pPr>
      <w:r>
        <w:rPr>
          <w:b/>
          <w:color w:val="1F3864"/>
          <w:sz w:val="26"/>
        </w:rPr>
        <w:t>Preliminary View</w:t>
      </w:r>
    </w:p>
    <w:p>
      <w:pPr>
        <w:spacing w:before="160" w:after="40"/>
      </w:pPr>
      <w:r>
        <w:rPr>
          <w:b/>
          <w:color w:val="2E75B6"/>
          <w:sz w:val="22"/>
        </w:rPr>
        <w:t>Strengths</w:t>
      </w:r>
    </w:p>
    <w:p>
      <w:pPr>
        <w:spacing w:before="20" w:after="20"/>
        <w:ind w:left="360" w:hanging="259"/>
      </w:pPr>
      <w:r>
        <w:rPr>
          <w:color w:val="000000"/>
          <w:sz w:val="19"/>
        </w:rPr>
        <w:t xml:space="preserve">• </w:t>
      </w:r>
      <w:r>
        <w:rPr>
          <w:b w:val="0"/>
          <w:i w:val="0"/>
          <w:color w:val="000000"/>
          <w:sz w:val="19"/>
        </w:rPr>
        <w:t>Private pay concentration of 64% insulates the business from direct government reimbursement rate risk on the majority of revenue, and the diversified payor mix (LTC insurance, VA, Medicaid waiver) provides multiple demand channels.</w:t>
      </w:r>
    </w:p>
    <w:p>
      <w:pPr>
        <w:spacing w:before="20" w:after="20"/>
        <w:ind w:left="360" w:hanging="259"/>
      </w:pPr>
      <w:r>
        <w:rPr>
          <w:color w:val="000000"/>
          <w:sz w:val="19"/>
        </w:rPr>
        <w:t xml:space="preserve">• </w:t>
      </w:r>
      <w:r>
        <w:rPr>
          <w:b w:val="0"/>
          <w:i w:val="0"/>
          <w:color w:val="000000"/>
          <w:sz w:val="19"/>
        </w:rPr>
        <w:t>Demonstrated organic revenue growth across all legacy markets from 2020 to TTM Aug-24, with Long Island growing from $229K to $11.6M and New York City from $1.5M to $13.6M over the same period, reflecting successful geographic expansion and market penetration.</w:t>
      </w:r>
    </w:p>
    <w:p>
      <w:pPr>
        <w:spacing w:before="20" w:after="20"/>
        <w:ind w:left="360" w:hanging="259"/>
      </w:pPr>
      <w:r>
        <w:rPr>
          <w:color w:val="000000"/>
          <w:sz w:val="19"/>
        </w:rPr>
        <w:t xml:space="preserve">• </w:t>
      </w:r>
      <w:r>
        <w:rPr>
          <w:b w:val="0"/>
          <w:i w:val="0"/>
          <w:color w:val="000000"/>
          <w:sz w:val="19"/>
        </w:rPr>
        <w:t>Exceptionally sticky client base: 57% of active clients have been with the company for 4+ years, and the location average of 60 billed hours per week per client at $1,927/week indicates high-intensity, recurring engagement rather than episodic utilization.</w:t>
      </w:r>
    </w:p>
    <w:p>
      <w:pPr>
        <w:spacing w:before="160" w:after="40"/>
      </w:pPr>
      <w:r>
        <w:rPr>
          <w:b/>
          <w:color w:val="2E75B6"/>
          <w:sz w:val="22"/>
        </w:rPr>
        <w:t>Concerns</w:t>
      </w:r>
    </w:p>
    <w:p>
      <w:pPr>
        <w:spacing w:before="20" w:after="20"/>
        <w:ind w:left="360" w:hanging="259"/>
      </w:pPr>
      <w:r>
        <w:rPr>
          <w:color w:val="000000"/>
          <w:sz w:val="19"/>
        </w:rPr>
        <w:t xml:space="preserve">• </w:t>
      </w:r>
      <w:r>
        <w:rPr>
          <w:b w:val="0"/>
          <w:i w:val="0"/>
          <w:color w:val="000000"/>
          <w:sz w:val="19"/>
        </w:rPr>
        <w:t>Reported EBITDA has been negative or near-zero in three of the five historical periods presented (2020A: -$342K, 2022A: $180K, 2023A: -$870K), with the TTM Aug-24 reported figure of $2.8M representing the first meaningful positive result — the gap between reported and pro forma adjusted EBITDA ($9.2M) is substantial and requires independent QofE validation.</w:t>
      </w:r>
    </w:p>
    <w:p>
      <w:pPr>
        <w:spacing w:before="20" w:after="20"/>
        <w:ind w:left="360" w:hanging="259"/>
      </w:pPr>
      <w:r>
        <w:rPr>
          <w:color w:val="000000"/>
          <w:sz w:val="19"/>
        </w:rPr>
        <w:t xml:space="preserve">• </w:t>
      </w:r>
      <w:r>
        <w:rPr>
          <w:b w:val="0"/>
          <w:i w:val="0"/>
          <w:color w:val="000000"/>
          <w:sz w:val="19"/>
        </w:rPr>
        <w:t>Total addbacks represent approximately 247% of reported EBITDA for TTM Aug-24, including forward-looking synergy and ramp-up adjustments for Guided Living (items N and O) and ECHC de novo maturity (item P) that are prospective estimates rather than historical normalization — these items are particularly susceptible to challenge in a quality of earnings process.</w:t>
      </w:r>
    </w:p>
    <w:p>
      <w:pPr>
        <w:spacing w:before="20" w:after="20"/>
        <w:ind w:left="360" w:hanging="259"/>
      </w:pPr>
      <w:r>
        <w:rPr>
          <w:color w:val="000000"/>
          <w:sz w:val="19"/>
        </w:rPr>
        <w:t xml:space="preserve">• </w:t>
      </w:r>
      <w:r>
        <w:rPr>
          <w:b w:val="0"/>
          <w:i w:val="0"/>
          <w:color w:val="000000"/>
          <w:sz w:val="19"/>
        </w:rPr>
        <w:t>Pro forma adjusted revenue of $46.4M is approximately 32% higher than reported net revenue of $35.1M for the same TTM period, with $9.6M in diligence revenue adjustments and $1.7M in pro forma revenue adjustments — the nature and supportability of these revenue adjustments must be confirmed with underlying documentation.</w:t>
      </w:r>
    </w:p>
    <w:p>
      <w:pPr>
        <w:spacing w:before="80" w:after="80"/>
        <w:pBdr>
          <w:bottom w:val="single" w:sz="4" w:space="1" w:color="1F3864"/>
        </w:pBdr>
      </w:pPr>
    </w:p>
    <w:p>
      <w:pPr>
        <w:spacing w:before="240" w:after="60"/>
        <w:pBdr>
          <w:bottom w:val="single" w:sz="8" w:space="1" w:color="1F3864"/>
        </w:pBdr>
      </w:pPr>
      <w:r>
        <w:rPr>
          <w:b/>
          <w:color w:val="1F3864"/>
          <w:sz w:val="26"/>
        </w:rPr>
        <w:t>Business Snapshot</w:t>
      </w:r>
    </w:p>
    <w:p>
      <w:pPr>
        <w:spacing w:before="40" w:after="40"/>
      </w:pPr>
      <w:r>
        <w:rPr>
          <w:b w:val="0"/>
          <w:i w:val="0"/>
          <w:color w:val="000000"/>
          <w:sz w:val="19"/>
        </w:rPr>
        <w:t>Home Health Aides (Unskilled Care).</w:t>
      </w:r>
    </w:p>
    <w:p>
      <w:pPr>
        <w:spacing w:before="80" w:after="80"/>
        <w:pBdr>
          <w:bottom w:val="single" w:sz="4" w:space="1" w:color="1F3864"/>
        </w:pBdr>
      </w:pPr>
    </w:p>
    <w:p>
      <w:pPr>
        <w:spacing w:before="240" w:after="60"/>
        <w:pBdr>
          <w:bottom w:val="single" w:sz="8" w:space="1" w:color="1F3864"/>
        </w:pBdr>
      </w:pPr>
      <w:r>
        <w:rPr>
          <w:b/>
          <w:color w:val="1F3864"/>
          <w:sz w:val="26"/>
        </w:rPr>
        <w:t>KPI Dashboard</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016"/>
        <w:gridCol w:w="2016"/>
        <w:gridCol w:w="2016"/>
        <w:gridCol w:w="2016"/>
        <w:gridCol w:w="2016"/>
      </w:tblGrid>
      <w:tr>
        <w:trPr>
          <w:trHeight w:val="280"/>
        </w:trPr>
        <w:tc>
          <w:tcPr>
            <w:tcW w:type="dxa" w:w="3226"/>
            <w:vAlign w:val="center"/>
            <w:shd w:val="clear" w:color="auto" w:fill="1F3864"/>
          </w:tcPr>
          <w:p>
            <w:pPr>
              <w:spacing w:before="20" w:after="20"/>
              <w:ind w:left="72"/>
            </w:pPr>
            <w:r>
              <w:rPr>
                <w:b/>
                <w:i w:val="0"/>
                <w:color w:val="FFFFFF"/>
                <w:sz w:val="18"/>
              </w:rPr>
              <w:t>Metric</w:t>
            </w:r>
          </w:p>
        </w:tc>
        <w:tc>
          <w:tcPr>
            <w:tcW w:type="dxa" w:w="1714"/>
            <w:vAlign w:val="center"/>
            <w:shd w:val="clear" w:color="auto" w:fill="1F3864"/>
          </w:tcPr>
          <w:p>
            <w:pPr>
              <w:spacing w:before="20" w:after="20"/>
              <w:ind w:left="72"/>
            </w:pPr>
            <w:r>
              <w:rPr>
                <w:b/>
                <w:i w:val="0"/>
                <w:color w:val="FFFFFF"/>
                <w:sz w:val="18"/>
              </w:rPr>
              <w:t>Value</w:t>
            </w:r>
          </w:p>
        </w:tc>
        <w:tc>
          <w:tcPr>
            <w:tcW w:type="dxa" w:w="1714"/>
            <w:vAlign w:val="center"/>
            <w:shd w:val="clear" w:color="auto" w:fill="1F3864"/>
          </w:tcPr>
          <w:p>
            <w:pPr>
              <w:spacing w:before="20" w:after="20"/>
              <w:ind w:left="72"/>
            </w:pPr>
            <w:r>
              <w:rPr>
                <w:b/>
                <w:i w:val="0"/>
                <w:color w:val="FFFFFF"/>
                <w:sz w:val="18"/>
              </w:rPr>
              <w:t>Threshold</w:t>
            </w:r>
          </w:p>
        </w:tc>
        <w:tc>
          <w:tcPr>
            <w:tcW w:type="dxa" w:w="1714"/>
            <w:vAlign w:val="center"/>
            <w:shd w:val="clear" w:color="auto" w:fill="1F3864"/>
          </w:tcPr>
          <w:p>
            <w:pPr>
              <w:spacing w:before="20" w:after="20"/>
              <w:ind w:left="72"/>
            </w:pPr>
            <w:r>
              <w:rPr>
                <w:b/>
                <w:i w:val="0"/>
                <w:color w:val="FFFFFF"/>
                <w:sz w:val="18"/>
              </w:rPr>
              <w:t>Flag</w:t>
            </w:r>
          </w:p>
        </w:tc>
        <w:tc>
          <w:tcPr>
            <w:tcW w:type="dxa" w:w="1714"/>
            <w:vAlign w:val="center"/>
            <w:shd w:val="clear" w:color="auto" w:fill="1F3864"/>
          </w:tcPr>
          <w:p>
            <w:pPr>
              <w:spacing w:before="20" w:after="20"/>
              <w:ind w:left="72"/>
            </w:pPr>
            <w:r>
              <w:rPr>
                <w:b/>
                <w:i w:val="0"/>
                <w:color w:val="FFFFFF"/>
                <w:sz w:val="18"/>
              </w:rPr>
              <w:t>Confidence</w:t>
            </w:r>
          </w:p>
        </w:tc>
      </w:tr>
      <w:tr>
        <w:trPr>
          <w:trHeight w:val="260"/>
        </w:trPr>
        <w:tc>
          <w:tcPr>
            <w:tcW w:type="dxa" w:w="3226"/>
            <w:vAlign w:val="center"/>
          </w:tcPr>
          <w:p>
            <w:pPr>
              <w:spacing w:before="20" w:after="20"/>
              <w:ind w:left="72"/>
            </w:pPr>
            <w:r>
              <w:rPr>
                <w:b w:val="0"/>
                <w:i w:val="0"/>
                <w:color w:val="000000"/>
                <w:sz w:val="18"/>
              </w:rPr>
              <w:t>Census Or Patient Panel</w:t>
            </w:r>
          </w:p>
        </w:tc>
        <w:tc>
          <w:tcPr>
            <w:tcW w:type="dxa" w:w="1714"/>
            <w:vAlign w:val="center"/>
          </w:tcPr>
          <w:p>
            <w:pPr>
              <w:spacing w:before="20" w:after="20"/>
              <w:ind w:left="72"/>
            </w:pPr>
            <w:r>
              <w:rPr>
                <w:b w:val="0"/>
                <w:i w:val="0"/>
                <w:color w:val="000000"/>
                <w:sz w:val="18"/>
              </w:rPr>
              <w:t>73 active CNA/HHA caregivers as of 12/30/23; active caregivers on shifts ranged from 69–76 over July–December 2023</w:t>
            </w:r>
          </w:p>
        </w:tc>
        <w:tc>
          <w:tcPr>
            <w:tcW w:type="dxa" w:w="1714"/>
            <w:vAlign w:val="center"/>
          </w:tcPr>
          <w:p>
            <w:pPr>
              <w:spacing w:before="20" w:after="20"/>
              <w:ind w:left="72"/>
            </w:pPr>
          </w:p>
        </w:tc>
        <w:tc>
          <w:tcPr>
            <w:tcW w:type="dxa" w:w="1714"/>
            <w:vAlign w:val="center"/>
          </w:tcPr>
          <w:p>
            <w:pPr>
              <w:spacing w:before="20" w:after="20"/>
              <w:ind w:left="72"/>
            </w:pPr>
            <w:r>
              <w:rPr>
                <w:b w:val="0"/>
                <w:i w:val="0"/>
                <w:color w:val="000000"/>
                <w:sz w:val="18"/>
              </w:rPr>
              <w:t>N/A</w:t>
            </w:r>
          </w:p>
        </w:tc>
        <w:tc>
          <w:tcPr>
            <w:tcW w:type="dxa" w:w="171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Caregiver Headcount</w:t>
            </w:r>
          </w:p>
        </w:tc>
        <w:tc>
          <w:tcPr>
            <w:tcW w:type="dxa" w:w="1714"/>
            <w:vAlign w:val="center"/>
            <w:shd w:val="clear" w:color="auto" w:fill="EEF3FA"/>
          </w:tcPr>
          <w:p>
            <w:pPr>
              <w:spacing w:before="20" w:after="20"/>
              <w:ind w:left="72"/>
            </w:pPr>
            <w:r>
              <w:rPr>
                <w:b w:val="0"/>
                <w:i w:val="0"/>
                <w:color w:val="000000"/>
                <w:sz w:val="18"/>
              </w:rPr>
              <w:t>73 active CNA/HHA caregivers as of 12/30/23</w:t>
            </w:r>
          </w:p>
        </w:tc>
        <w:tc>
          <w:tcPr>
            <w:tcW w:type="dxa" w:w="1714"/>
            <w:vAlign w:val="center"/>
            <w:shd w:val="clear" w:color="auto" w:fill="EEF3FA"/>
          </w:tcPr>
          <w:p>
            <w:pPr>
              <w:spacing w:before="20" w:after="20"/>
              <w:ind w:left="72"/>
            </w:pPr>
          </w:p>
        </w:tc>
        <w:tc>
          <w:tcPr>
            <w:tcW w:type="dxa" w:w="1714"/>
            <w:vAlign w:val="center"/>
            <w:shd w:val="clear" w:color="auto" w:fill="EEF3FA"/>
          </w:tcPr>
          <w:p>
            <w:pPr>
              <w:spacing w:before="20" w:after="20"/>
              <w:ind w:left="72"/>
            </w:pPr>
            <w:r>
              <w:rPr>
                <w:b w:val="0"/>
                <w:i w:val="0"/>
                <w:color w:val="000000"/>
                <w:sz w:val="18"/>
              </w:rPr>
              <w:t>N/A</w:t>
            </w:r>
          </w:p>
        </w:tc>
        <w:tc>
          <w:tcPr>
            <w:tcW w:type="dxa" w:w="171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Utilization Or Productivity Note</w:t>
            </w:r>
          </w:p>
        </w:tc>
        <w:tc>
          <w:tcPr>
            <w:tcW w:type="dxa" w:w="1714"/>
            <w:vAlign w:val="center"/>
          </w:tcPr>
          <w:p>
            <w:pPr>
              <w:spacing w:before="20" w:after="20"/>
              <w:ind w:left="72"/>
            </w:pPr>
            <w:r>
              <w:rPr>
                <w:b w:val="0"/>
                <w:i w:val="0"/>
                <w:color w:val="000000"/>
                <w:sz w:val="18"/>
              </w:rPr>
              <w:t>KPI dashboard tracks caregivers hired per week by market/region; also tracks % of new hires with no shift by end of first and second month post-hire. Company-wide avg weekly hires: Q1 2025 = 27.6, Q2 2025 = 25.4, Q4 2024 = 22.2. Nursing hires tracked separately across NY, NJ, MA markets.</w:t>
            </w:r>
          </w:p>
        </w:tc>
        <w:tc>
          <w:tcPr>
            <w:tcW w:type="dxa" w:w="1714"/>
            <w:vAlign w:val="center"/>
          </w:tcPr>
          <w:p>
            <w:pPr>
              <w:spacing w:before="20" w:after="20"/>
              <w:ind w:left="72"/>
            </w:pPr>
          </w:p>
        </w:tc>
        <w:tc>
          <w:tcPr>
            <w:tcW w:type="dxa" w:w="1714"/>
            <w:vAlign w:val="center"/>
          </w:tcPr>
          <w:p>
            <w:pPr>
              <w:spacing w:before="20" w:after="20"/>
              <w:ind w:left="72"/>
            </w:pPr>
            <w:r>
              <w:rPr>
                <w:b w:val="0"/>
                <w:i w:val="0"/>
                <w:color w:val="000000"/>
                <w:sz w:val="18"/>
              </w:rPr>
              <w:t>N/A</w:t>
            </w:r>
          </w:p>
        </w:tc>
        <w:tc>
          <w:tcPr>
            <w:tcW w:type="dxa" w:w="171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Credentialing Status Note</w:t>
            </w:r>
          </w:p>
        </w:tc>
        <w:tc>
          <w:tcPr>
            <w:tcW w:type="dxa" w:w="1714"/>
            <w:vAlign w:val="center"/>
            <w:shd w:val="clear" w:color="auto" w:fill="EEF3FA"/>
          </w:tcPr>
          <w:p>
            <w:pPr>
              <w:spacing w:before="20" w:after="20"/>
              <w:ind w:left="72"/>
            </w:pPr>
            <w:r>
              <w:rPr>
                <w:b w:val="0"/>
                <w:i w:val="0"/>
                <w:color w:val="000000"/>
                <w:sz w:val="18"/>
              </w:rPr>
              <w:t>Company only hires CNA or HHA credentialed caregivers with a minimum of one year hands-on care experience. Drug tests administered during onboarding; no marijuana. All staff are 100% W-2 employees.</w:t>
            </w:r>
          </w:p>
        </w:tc>
        <w:tc>
          <w:tcPr>
            <w:tcW w:type="dxa" w:w="1714"/>
            <w:vAlign w:val="center"/>
            <w:shd w:val="clear" w:color="auto" w:fill="EEF3FA"/>
          </w:tcPr>
          <w:p>
            <w:pPr>
              <w:spacing w:before="20" w:after="20"/>
              <w:ind w:left="72"/>
            </w:pPr>
          </w:p>
        </w:tc>
        <w:tc>
          <w:tcPr>
            <w:tcW w:type="dxa" w:w="1714"/>
            <w:vAlign w:val="center"/>
            <w:shd w:val="clear" w:color="auto" w:fill="EEF3FA"/>
          </w:tcPr>
          <w:p>
            <w:pPr>
              <w:spacing w:before="20" w:after="20"/>
              <w:ind w:left="72"/>
            </w:pPr>
            <w:r>
              <w:rPr>
                <w:b w:val="0"/>
                <w:i w:val="0"/>
                <w:color w:val="000000"/>
                <w:sz w:val="18"/>
              </w:rPr>
              <w:t>N/A</w:t>
            </w:r>
          </w:p>
        </w:tc>
        <w:tc>
          <w:tcPr>
            <w:tcW w:type="dxa" w:w="171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Site Level Visibility</w:t>
            </w:r>
          </w:p>
        </w:tc>
        <w:tc>
          <w:tcPr>
            <w:tcW w:type="dxa" w:w="1714"/>
            <w:vAlign w:val="center"/>
          </w:tcPr>
          <w:p>
            <w:pPr>
              <w:spacing w:before="20" w:after="20"/>
              <w:ind w:left="72"/>
            </w:pPr>
            <w:r>
              <w:rPr>
                <w:b w:val="0"/>
                <w:i w:val="0"/>
                <w:color w:val="000000"/>
                <w:sz w:val="18"/>
              </w:rPr>
              <w:t>partial</w:t>
            </w:r>
          </w:p>
        </w:tc>
        <w:tc>
          <w:tcPr>
            <w:tcW w:type="dxa" w:w="1714"/>
            <w:vAlign w:val="center"/>
          </w:tcPr>
          <w:p>
            <w:pPr>
              <w:spacing w:before="20" w:after="20"/>
              <w:ind w:left="72"/>
            </w:pPr>
          </w:p>
        </w:tc>
        <w:tc>
          <w:tcPr>
            <w:tcW w:type="dxa" w:w="1714"/>
            <w:vAlign w:val="center"/>
          </w:tcPr>
          <w:p>
            <w:pPr>
              <w:spacing w:before="20" w:after="20"/>
              <w:ind w:left="72"/>
            </w:pPr>
            <w:r>
              <w:rPr>
                <w:b w:val="0"/>
                <w:i w:val="0"/>
                <w:color w:val="000000"/>
                <w:sz w:val="18"/>
              </w:rPr>
              <w:t>N/A</w:t>
            </w:r>
          </w:p>
        </w:tc>
        <w:tc>
          <w:tcPr>
            <w:tcW w:type="dxa" w:w="1714"/>
            <w:vAlign w:val="center"/>
          </w:tcPr>
          <w:p>
            <w:pPr>
              <w:spacing w:before="20" w:after="20"/>
              <w:ind w:left="72"/>
            </w:pPr>
            <w:r>
              <w:rPr>
                <w:b w:val="0"/>
                <w:i w:val="0"/>
                <w:color w:val="000000"/>
                <w:sz w:val="18"/>
              </w:rPr>
              <w:t>low</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Legal Snapshot</w:t>
      </w:r>
    </w:p>
    <w:p>
      <w:pPr>
        <w:spacing w:before="20" w:after="20"/>
        <w:ind w:left="360" w:hanging="259"/>
      </w:pPr>
      <w:r>
        <w:rPr>
          <w:color w:val="000000"/>
          <w:sz w:val="19"/>
        </w:rPr>
        <w:t xml:space="preserve">• </w:t>
      </w:r>
      <w:r>
        <w:rPr>
          <w:b/>
          <w:i w:val="0"/>
          <w:color w:val="000000"/>
          <w:sz w:val="19"/>
        </w:rPr>
        <w:t>Assessed:</w:t>
      </w:r>
      <w:r>
        <w:rPr>
          <w:b w:val="0"/>
          <w:i w:val="0"/>
          <w:color w:val="000000"/>
          <w:sz w:val="19"/>
        </w:rPr>
        <w:t xml:space="preserve"> 7 / 11</w:t>
      </w:r>
    </w:p>
    <w:p>
      <w:pPr>
        <w:spacing w:before="20" w:after="20"/>
        <w:ind w:left="360" w:hanging="259"/>
      </w:pPr>
      <w:r>
        <w:rPr>
          <w:color w:val="000000"/>
          <w:sz w:val="19"/>
        </w:rPr>
        <w:t xml:space="preserve">• </w:t>
      </w:r>
      <w:r>
        <w:rPr>
          <w:b/>
          <w:i w:val="0"/>
          <w:color w:val="000000"/>
          <w:sz w:val="19"/>
        </w:rPr>
        <w:t>Section confidence:</w:t>
      </w:r>
      <w:r>
        <w:rPr>
          <w:b w:val="0"/>
          <w:i w:val="0"/>
          <w:color w:val="000000"/>
          <w:sz w:val="19"/>
        </w:rPr>
        <w:t xml:space="preserve"> high</w:t>
      </w:r>
    </w:p>
    <w:p>
      <w:pPr>
        <w:spacing w:before="20" w:after="20"/>
        <w:ind w:left="360" w:hanging="259"/>
      </w:pPr>
      <w:r>
        <w:rPr>
          <w:color w:val="000000"/>
          <w:sz w:val="19"/>
        </w:rPr>
        <w:t xml:space="preserve">• </w:t>
      </w:r>
      <w:r>
        <w:rPr>
          <w:b w:val="0"/>
          <w:i w:val="0"/>
          <w:color w:val="000000"/>
          <w:sz w:val="19"/>
        </w:rPr>
        <w:t>Open legal matter (other): Engagement of outside counsel (Peter Ackerman Esq.) for collection of patient receivables on behalf of Eldercare Homecare, Inc.. Source: April 30 2025 Fully Executed Retainer Agreement for...</w:t>
      </w:r>
    </w:p>
    <w:p>
      <w:pPr>
        <w:spacing w:before="20" w:after="20"/>
        <w:ind w:left="360" w:hanging="259"/>
      </w:pPr>
      <w:r>
        <w:rPr>
          <w:color w:val="000000"/>
          <w:sz w:val="19"/>
        </w:rPr>
        <w:t xml:space="preserve">• </w:t>
      </w:r>
      <w:r>
        <w:rPr>
          <w:b w:val="0"/>
          <w:i w:val="0"/>
          <w:color w:val="000000"/>
          <w:sz w:val="19"/>
        </w:rPr>
        <w:t>Restrictive covenant (Consultant must comply with all mandatory rules and regulations, obtain and maintain all necessary permits and licenses, comply with all applicable laws, and not violate public conventions or...</w:t>
      </w:r>
    </w:p>
    <w:p>
      <w:pPr>
        <w:spacing w:before="20" w:after="20"/>
        <w:ind w:left="360" w:hanging="259"/>
      </w:pPr>
      <w:r>
        <w:rPr>
          <w:color w:val="000000"/>
          <w:sz w:val="19"/>
        </w:rPr>
        <w:t xml:space="preserve">• </w:t>
      </w:r>
      <w:r>
        <w:rPr>
          <w:b w:val="0"/>
          <w:i w:val="0"/>
          <w:color w:val="000000"/>
          <w:sz w:val="19"/>
        </w:rPr>
        <w:t>Restrictive covenant (Licensor has not made and is not making any warranties, representations, promises or statements except as expressly set forth in the License Agreement or other written agreements made...</w:t>
      </w:r>
    </w:p>
    <w:p>
      <w:pPr>
        <w:spacing w:before="20" w:after="20"/>
        <w:ind w:left="360" w:hanging="259"/>
      </w:pPr>
      <w:r>
        <w:rPr>
          <w:color w:val="000000"/>
          <w:sz w:val="19"/>
        </w:rPr>
        <w:t xml:space="preserve">• </w:t>
      </w:r>
      <w:r>
        <w:rPr>
          <w:b w:val="0"/>
          <w:i w:val="0"/>
          <w:color w:val="000000"/>
          <w:sz w:val="19"/>
        </w:rPr>
        <w:t>Restrictive covenant (Seller's Owner as Guarantor irrevocably guarantees obligations; Seller covenants no unscheduled changes to working capital; no changes to operations without Buyer written consent.) in Guided...</w:t>
      </w:r>
    </w:p>
    <w:p>
      <w:pPr>
        <w:spacing w:before="20" w:after="20"/>
        <w:ind w:left="360" w:hanging="259"/>
      </w:pPr>
      <w:r>
        <w:rPr>
          <w:color w:val="000000"/>
          <w:sz w:val="19"/>
        </w:rPr>
        <w:t xml:space="preserve">• </w:t>
      </w:r>
      <w:r>
        <w:rPr>
          <w:b w:val="0"/>
          <w:i w:val="0"/>
          <w:color w:val="000000"/>
          <w:sz w:val="19"/>
        </w:rPr>
        <w:t>Restrictive covenant (Tenant shall not transfer or assign its interest in the Lease, mortgage, pledge or encumber the Lease or Demised Premises without compliance with Article 11 provisions.) in Landlord (unnamed —...</w:t>
      </w:r>
    </w:p>
    <w:p>
      <w:pPr>
        <w:spacing w:before="80" w:after="80"/>
        <w:pBdr>
          <w:bottom w:val="single" w:sz="4" w:space="1" w:color="1F3864"/>
        </w:pBdr>
      </w:pPr>
    </w:p>
    <w:p>
      <w:pPr>
        <w:spacing w:before="240" w:after="60"/>
        <w:pBdr>
          <w:bottom w:val="single" w:sz="8" w:space="1" w:color="1F3864"/>
        </w:pBdr>
      </w:pPr>
      <w:r>
        <w:rPr>
          <w:b/>
          <w:color w:val="1F3864"/>
          <w:sz w:val="26"/>
        </w:rPr>
        <w:t>Quality of Earnings</w:t>
      </w:r>
    </w:p>
    <w:p>
      <w:pPr>
        <w:spacing w:before="20" w:after="20"/>
        <w:ind w:left="360" w:hanging="259"/>
      </w:pPr>
      <w:r>
        <w:rPr>
          <w:color w:val="000000"/>
          <w:sz w:val="19"/>
        </w:rPr>
        <w:t xml:space="preserve">• </w:t>
      </w:r>
      <w:r>
        <w:rPr>
          <w:b/>
          <w:i w:val="0"/>
          <w:color w:val="000000"/>
          <w:sz w:val="19"/>
        </w:rPr>
        <w:t>Tier summary:</w:t>
      </w:r>
      <w:r>
        <w:rPr>
          <w:b w:val="0"/>
          <w:i w:val="0"/>
          <w:color w:val="000000"/>
          <w:sz w:val="19"/>
        </w:rPr>
        <w:t xml:space="preserve"> The Elder Care TTM Aug-24 adjusted EBITDA bridge contains 17 addback line items totaling a gross positive adjustment substantially in excess of the $2,773K reported EBITDA, with all 17 items classi...</w:t>
      </w:r>
    </w:p>
    <w:p>
      <w:pPr>
        <w:spacing w:before="20" w:after="20"/>
        <w:ind w:left="360" w:hanging="259"/>
      </w:pPr>
      <w:r>
        <w:rPr>
          <w:color w:val="000000"/>
          <w:sz w:val="19"/>
        </w:rPr>
        <w:t xml:space="preserve">• </w:t>
      </w:r>
      <w:r>
        <w:rPr>
          <w:b w:val="0"/>
          <w:i w:val="0"/>
          <w:color w:val="000000"/>
          <w:sz w:val="19"/>
        </w:rPr>
        <w:t>17 Tier 4 addbacks with undocumented or zero amounts — unlikely to survive buyer QoE (see full report).</w:t>
      </w:r>
    </w:p>
    <w:p>
      <w:pPr>
        <w:spacing w:before="80" w:after="80"/>
        <w:pBdr>
          <w:bottom w:val="single" w:sz="4" w:space="1" w:color="1F3864"/>
        </w:pBdr>
      </w:pPr>
    </w:p>
    <w:p>
      <w:pPr>
        <w:spacing w:before="240" w:after="60"/>
        <w:pBdr>
          <w:bottom w:val="single" w:sz="8" w:space="1" w:color="1F3864"/>
        </w:pBdr>
      </w:pPr>
      <w:r>
        <w:rPr>
          <w:b/>
          <w:color w:val="1F3864"/>
          <w:sz w:val="26"/>
        </w:rPr>
        <w:t>Top Risks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2520"/>
        <w:gridCol w:w="2520"/>
        <w:gridCol w:w="2520"/>
        <w:gridCol w:w="2520"/>
      </w:tblGrid>
      <w:tr>
        <w:trPr>
          <w:trHeight w:val="280"/>
        </w:trPr>
        <w:tc>
          <w:tcPr>
            <w:tcW w:type="dxa" w:w="3226"/>
            <w:vAlign w:val="center"/>
            <w:shd w:val="clear" w:color="auto" w:fill="1F3864"/>
          </w:tcPr>
          <w:p>
            <w:pPr>
              <w:spacing w:before="20" w:after="20"/>
              <w:ind w:left="72"/>
            </w:pPr>
            <w:r>
              <w:rPr>
                <w:b/>
                <w:i w:val="0"/>
                <w:color w:val="FFFFFF"/>
                <w:sz w:val="18"/>
              </w:rPr>
              <w:t>Risk</w:t>
            </w:r>
          </w:p>
        </w:tc>
        <w:tc>
          <w:tcPr>
            <w:tcW w:type="dxa" w:w="2285"/>
            <w:vAlign w:val="center"/>
            <w:shd w:val="clear" w:color="auto" w:fill="1F3864"/>
          </w:tcPr>
          <w:p>
            <w:pPr>
              <w:spacing w:before="20" w:after="20"/>
              <w:ind w:left="72"/>
            </w:pPr>
            <w:r>
              <w:rPr>
                <w:b/>
                <w:i w:val="0"/>
                <w:color w:val="FFFFFF"/>
                <w:sz w:val="18"/>
              </w:rPr>
              <w:t>Severity</w:t>
            </w:r>
          </w:p>
        </w:tc>
        <w:tc>
          <w:tcPr>
            <w:tcW w:type="dxa" w:w="2285"/>
            <w:vAlign w:val="center"/>
            <w:shd w:val="clear" w:color="auto" w:fill="1F3864"/>
          </w:tcPr>
          <w:p>
            <w:pPr>
              <w:spacing w:before="20" w:after="20"/>
              <w:ind w:left="72"/>
            </w:pPr>
            <w:r>
              <w:rPr>
                <w:b/>
                <w:i w:val="0"/>
                <w:color w:val="FFFFFF"/>
                <w:sz w:val="18"/>
              </w:rPr>
              <w:t>Evidence</w:t>
            </w:r>
          </w:p>
        </w:tc>
        <w:tc>
          <w:tcPr>
            <w:tcW w:type="dxa" w:w="2285"/>
            <w:vAlign w:val="center"/>
            <w:shd w:val="clear" w:color="auto" w:fill="1F3864"/>
          </w:tcPr>
          <w:p>
            <w:pPr>
              <w:spacing w:before="20" w:after="20"/>
              <w:ind w:left="72"/>
            </w:pPr>
            <w:r>
              <w:rPr>
                <w:b/>
                <w:i w:val="0"/>
                <w:color w:val="FFFFFF"/>
                <w:sz w:val="18"/>
              </w:rPr>
              <w:t>Mitigant</w:t>
            </w:r>
          </w:p>
        </w:tc>
      </w:tr>
      <w:tr>
        <w:trPr>
          <w:trHeight w:val="260"/>
        </w:trPr>
        <w:tc>
          <w:tcPr>
            <w:tcW w:type="dxa" w:w="3226"/>
            <w:vAlign w:val="center"/>
          </w:tcPr>
          <w:p>
            <w:pPr>
              <w:spacing w:before="20" w:after="20"/>
              <w:ind w:left="72"/>
            </w:pPr>
            <w:r>
              <w:rPr>
                <w:b w:val="0"/>
                <w:i w:val="0"/>
                <w:color w:val="000000"/>
                <w:sz w:val="18"/>
              </w:rPr>
              <w:t>Ebitda Margin Pct</w:t>
            </w:r>
          </w:p>
        </w:tc>
        <w:tc>
          <w:tcPr>
            <w:tcW w:type="dxa" w:w="2285"/>
            <w:vAlign w:val="center"/>
          </w:tcPr>
          <w:p>
            <w:pPr>
              <w:spacing w:before="20" w:after="20"/>
              <w:ind w:left="72"/>
            </w:pPr>
            <w:r>
              <w:rPr>
                <w:b w:val="0"/>
                <w:i w:val="0"/>
                <w:color w:val="000000"/>
                <w:sz w:val="18"/>
              </w:rPr>
              <w:t>critical</w:t>
            </w:r>
          </w:p>
        </w:tc>
        <w:tc>
          <w:tcPr>
            <w:tcW w:type="dxa" w:w="2285"/>
            <w:vAlign w:val="center"/>
          </w:tcPr>
          <w:p>
            <w:pPr>
              <w:spacing w:before="20" w:after="20"/>
              <w:ind w:left="72"/>
            </w:pPr>
            <w:r>
              <w:rPr>
                <w:b w:val="0"/>
                <w:i w:val="0"/>
                <w:color w:val="000000"/>
                <w:sz w:val="18"/>
              </w:rPr>
              <w:t>7.9% (2024 Elder Care - CIM_vF.pdf</w:t>
            </w:r>
          </w:p>
        </w:tc>
        <w:tc>
          <w:tcPr>
            <w:tcW w:type="dxa" w:w="2285"/>
            <w:vAlign w:val="center"/>
          </w:tcPr>
          <w:p>
            <w:pPr>
              <w:spacing w:before="20" w:after="20"/>
              <w:ind w:left="72"/>
            </w:pPr>
            <w:r>
              <w:rPr>
                <w:b w:val="0"/>
                <w:i w:val="0"/>
                <w:color w:val="000000"/>
                <w:sz w:val="18"/>
              </w:rPr>
              <w:t>EBITDA margin of 7.9% is below the ~10% threshold, which may indicate labor inefficiency, weak reimbursement, poor...</w:t>
            </w:r>
          </w:p>
        </w:tc>
      </w:tr>
      <w:tr>
        <w:trPr>
          <w:trHeight w:val="260"/>
        </w:trPr>
        <w:tc>
          <w:tcPr>
            <w:tcW w:type="dxa" w:w="3226"/>
            <w:vAlign w:val="center"/>
            <w:shd w:val="clear" w:color="auto" w:fill="EEF3FA"/>
          </w:tcPr>
          <w:p>
            <w:pPr>
              <w:spacing w:before="20" w:after="20"/>
              <w:ind w:left="72"/>
            </w:pPr>
            <w:r>
              <w:rPr>
                <w:b w:val="0"/>
                <w:i w:val="0"/>
                <w:color w:val="000000"/>
                <w:sz w:val="18"/>
              </w:rPr>
              <w:t>Large Unsupported Addback</w:t>
            </w:r>
          </w:p>
        </w:tc>
        <w:tc>
          <w:tcPr>
            <w:tcW w:type="dxa" w:w="2285"/>
            <w:vAlign w:val="center"/>
            <w:shd w:val="clear" w:color="auto" w:fill="EEF3FA"/>
          </w:tcPr>
          <w:p>
            <w:pPr>
              <w:spacing w:before="20" w:after="20"/>
              <w:ind w:left="72"/>
            </w:pPr>
            <w:r>
              <w:rPr>
                <w:b w:val="0"/>
                <w:i w:val="0"/>
                <w:color w:val="000000"/>
                <w:sz w:val="18"/>
              </w:rPr>
              <w:t>critical</w:t>
            </w:r>
          </w:p>
        </w:tc>
        <w:tc>
          <w:tcPr>
            <w:tcW w:type="dxa" w:w="2285"/>
            <w:vAlign w:val="center"/>
            <w:shd w:val="clear" w:color="auto" w:fill="EEF3FA"/>
          </w:tcPr>
          <w:p>
            <w:pPr>
              <w:spacing w:before="20" w:after="20"/>
              <w:ind w:left="72"/>
            </w:pPr>
            <w:r>
              <w:rPr>
                <w:b w:val="0"/>
                <w:i w:val="0"/>
                <w:color w:val="000000"/>
                <w:sz w:val="18"/>
              </w:rPr>
              <w:t>[B] Non-recurring transactions ($182, 6.6% of EBITDA) (2024 Elder Care - CIM_vF.pdf (+6 related)</w:t>
            </w:r>
          </w:p>
        </w:tc>
        <w:tc>
          <w:tcPr>
            <w:tcW w:type="dxa" w:w="2285"/>
            <w:vAlign w:val="center"/>
            <w:shd w:val="clear" w:color="auto" w:fill="EEF3FA"/>
          </w:tcPr>
          <w:p>
            <w:pPr>
              <w:spacing w:before="20" w:after="20"/>
              <w:ind w:left="72"/>
            </w:pPr>
            <w:r>
              <w:rPr>
                <w:b w:val="0"/>
                <w:i w:val="0"/>
                <w:color w:val="000000"/>
                <w:sz w:val="18"/>
              </w:rPr>
              <w:t>Addback &gt;5% of EBITDA (6.6%) with no VDR document support: [B] Non-recurring transactions. Source: 2024 Elder Care -...</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Priority Diligence Questions</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3360"/>
        <w:gridCol w:w="3360"/>
        <w:gridCol w:w="3360"/>
      </w:tblGrid>
      <w:tr>
        <w:trPr>
          <w:trHeight w:val="280"/>
        </w:trPr>
        <w:tc>
          <w:tcPr>
            <w:tcW w:type="dxa" w:w="3226"/>
            <w:vAlign w:val="center"/>
            <w:shd w:val="clear" w:color="auto" w:fill="1F3864"/>
          </w:tcPr>
          <w:p>
            <w:pPr>
              <w:spacing w:before="20" w:after="20"/>
              <w:ind w:left="72"/>
            </w:pPr>
            <w:r>
              <w:rPr>
                <w:b/>
                <w:i w:val="0"/>
                <w:color w:val="FFFFFF"/>
                <w:sz w:val="18"/>
              </w:rPr>
              <w:t>Category</w:t>
            </w:r>
          </w:p>
        </w:tc>
        <w:tc>
          <w:tcPr>
            <w:tcW w:type="dxa" w:w="3427"/>
            <w:vAlign w:val="center"/>
            <w:shd w:val="clear" w:color="auto" w:fill="1F3864"/>
          </w:tcPr>
          <w:p>
            <w:pPr>
              <w:spacing w:before="20" w:after="20"/>
              <w:ind w:left="72"/>
            </w:pPr>
            <w:r>
              <w:rPr>
                <w:b/>
                <w:i w:val="0"/>
                <w:color w:val="FFFFFF"/>
                <w:sz w:val="18"/>
              </w:rPr>
              <w:t>Question</w:t>
            </w:r>
          </w:p>
        </w:tc>
        <w:tc>
          <w:tcPr>
            <w:tcW w:type="dxa" w:w="3427"/>
            <w:vAlign w:val="center"/>
            <w:shd w:val="clear" w:color="auto" w:fill="1F3864"/>
          </w:tcPr>
          <w:p>
            <w:pPr>
              <w:spacing w:before="20" w:after="20"/>
              <w:ind w:left="72"/>
            </w:pPr>
            <w:r>
              <w:rPr>
                <w:b/>
                <w:i w:val="0"/>
                <w:color w:val="FFFFFF"/>
                <w:sz w:val="18"/>
              </w:rPr>
              <w:t>Priority</w:t>
            </w:r>
          </w:p>
        </w:tc>
      </w:tr>
      <w:tr>
        <w:trPr>
          <w:trHeight w:val="260"/>
        </w:trPr>
        <w:tc>
          <w:tcPr>
            <w:tcW w:type="dxa" w:w="3226"/>
            <w:vAlign w:val="center"/>
          </w:tcPr>
          <w:p>
            <w:pPr>
              <w:spacing w:before="20" w:after="20"/>
              <w:ind w:left="72"/>
            </w:pPr>
            <w:r>
              <w:rPr>
                <w:b w:val="0"/>
                <w:i w:val="0"/>
                <w:color w:val="000000"/>
                <w:sz w:val="18"/>
              </w:rPr>
              <w:t>legal</w:t>
            </w:r>
          </w:p>
        </w:tc>
        <w:tc>
          <w:tcPr>
            <w:tcW w:type="dxa" w:w="3427"/>
            <w:vAlign w:val="center"/>
          </w:tcPr>
          <w:p>
            <w:pPr>
              <w:spacing w:before="20" w:after="20"/>
              <w:ind w:left="72"/>
            </w:pPr>
            <w:r>
              <w:rPr>
                <w:b w:val="0"/>
                <w:i w:val="0"/>
                <w:color w:val="000000"/>
                <w:sz w:val="18"/>
              </w:rPr>
              <w:t>Request and review Healthcare Referral Agreements</w:t>
            </w:r>
          </w:p>
        </w:tc>
        <w:tc>
          <w:tcPr>
            <w:tcW w:type="dxa" w:w="3427"/>
            <w:vAlign w:val="center"/>
          </w:tcPr>
          <w:p>
            <w:pPr>
              <w:spacing w:before="20" w:after="20"/>
              <w:ind w:left="72"/>
            </w:pPr>
            <w:r>
              <w:rPr>
                <w:b w:val="0"/>
                <w:i w:val="0"/>
                <w:color w:val="000000"/>
                <w:sz w:val="18"/>
              </w:rPr>
              <w:t>High</w:t>
            </w:r>
          </w:p>
        </w:tc>
      </w:tr>
      <w:tr>
        <w:trPr>
          <w:trHeight w:val="260"/>
        </w:trPr>
        <w:tc>
          <w:tcPr>
            <w:tcW w:type="dxa" w:w="3226"/>
            <w:vAlign w:val="center"/>
            <w:shd w:val="clear" w:color="auto" w:fill="EEF3FA"/>
          </w:tcPr>
          <w:p>
            <w:pPr>
              <w:spacing w:before="20" w:after="20"/>
              <w:ind w:left="72"/>
            </w:pPr>
            <w:r>
              <w:rPr>
                <w:b w:val="0"/>
                <w:i w:val="0"/>
                <w:color w:val="000000"/>
                <w:sz w:val="18"/>
              </w:rPr>
              <w:t>kpi</w:t>
            </w:r>
          </w:p>
        </w:tc>
        <w:tc>
          <w:tcPr>
            <w:tcW w:type="dxa" w:w="3427"/>
            <w:vAlign w:val="center"/>
            <w:shd w:val="clear" w:color="auto" w:fill="EEF3FA"/>
          </w:tcPr>
          <w:p>
            <w:pPr>
              <w:spacing w:before="20" w:after="20"/>
              <w:ind w:left="72"/>
            </w:pPr>
            <w:r>
              <w:rPr>
                <w:b w:val="0"/>
                <w:i w:val="0"/>
                <w:color w:val="000000"/>
                <w:sz w:val="18"/>
              </w:rPr>
              <w:t>Provide supporting data for KPI: {'kpi</w:t>
            </w:r>
            <w:r>
              <w:rPr>
                <w:b w:val="0"/>
                <w:i/>
                <w:color w:val="000000"/>
                <w:sz w:val="18"/>
              </w:rPr>
              <w:t>name': 'census / active client count', 'overlay': 'healthcare</w:t>
            </w:r>
            <w:r>
              <w:rPr>
                <w:b w:val="0"/>
                <w:i w:val="0"/>
                <w:color w:val="000000"/>
                <w:sz w:val="18"/>
              </w:rPr>
              <w:t>services', 'why</w:t>
            </w:r>
            <w:r>
              <w:rPr>
                <w:b w:val="0"/>
                <w:i/>
                <w:color w:val="000000"/>
                <w:sz w:val="18"/>
              </w:rPr>
              <w:t>expected': 'Core home care operational metric; total active clients served is required to assess capacity utilization and revenue per client.', 'management</w:t>
            </w:r>
            <w:r>
              <w:rPr>
                <w:b w:val="0"/>
                <w:i w:val="0"/>
                <w:color w:val="000000"/>
                <w:sz w:val="18"/>
              </w:rPr>
              <w:t>question': 'What is the current total active client census by market/region, and how has it trended monthly over the past 24 months?'}</w:t>
            </w:r>
          </w:p>
        </w:tc>
        <w:tc>
          <w:tcPr>
            <w:tcW w:type="dxa" w:w="3427"/>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kpi</w:t>
            </w:r>
          </w:p>
        </w:tc>
        <w:tc>
          <w:tcPr>
            <w:tcW w:type="dxa" w:w="3427"/>
            <w:vAlign w:val="center"/>
          </w:tcPr>
          <w:p>
            <w:pPr>
              <w:spacing w:before="20" w:after="20"/>
              <w:ind w:left="72"/>
            </w:pPr>
            <w:r>
              <w:rPr>
                <w:b w:val="0"/>
                <w:i w:val="0"/>
                <w:color w:val="000000"/>
                <w:sz w:val="18"/>
              </w:rPr>
              <w:t>Provide supporting data for KPI: {'kpi</w:t>
            </w:r>
            <w:r>
              <w:rPr>
                <w:b w:val="0"/>
                <w:i/>
                <w:color w:val="000000"/>
                <w:sz w:val="18"/>
              </w:rPr>
              <w:t>name': 'caregiver turnover rate', 'overlay': 'healthcare</w:t>
            </w:r>
            <w:r>
              <w:rPr>
                <w:b w:val="0"/>
                <w:i w:val="0"/>
                <w:color w:val="000000"/>
                <w:sz w:val="18"/>
              </w:rPr>
              <w:t>services', 'why</w:t>
            </w:r>
            <w:r>
              <w:rPr>
                <w:b w:val="0"/>
                <w:i/>
                <w:color w:val="000000"/>
                <w:sz w:val="18"/>
              </w:rPr>
              <w:t>expected': 'Caregiver turnover is a primary operational risk and cost driver in home care; no annualized or period turnover rate is stated in any document.', 'management</w:t>
            </w:r>
            <w:r>
              <w:rPr>
                <w:b w:val="0"/>
                <w:i w:val="0"/>
                <w:color w:val="000000"/>
                <w:sz w:val="18"/>
              </w:rPr>
              <w:t>question': 'What is the annualized caregiver turnover rate (voluntary and involuntary) by market for the past two fiscal years, and how does it compare to industry benchmarks?'}</w:t>
            </w:r>
          </w:p>
        </w:tc>
        <w:tc>
          <w:tcPr>
            <w:tcW w:type="dxa" w:w="3427"/>
            <w:vAlign w:val="center"/>
          </w:tcPr>
          <w:p>
            <w:pPr>
              <w:spacing w:before="20" w:after="20"/>
              <w:ind w:left="72"/>
            </w:pPr>
            <w:r>
              <w:rPr>
                <w:b w:val="0"/>
                <w:i w:val="0"/>
                <w:color w:val="000000"/>
                <w:sz w:val="18"/>
              </w:rPr>
              <w:t>medium</w:t>
            </w:r>
          </w:p>
        </w:tc>
      </w:tr>
      <w:tr>
        <w:trPr>
          <w:trHeight w:val="260"/>
        </w:trPr>
        <w:tc>
          <w:tcPr>
            <w:tcW w:type="dxa" w:w="3226"/>
            <w:vAlign w:val="center"/>
            <w:shd w:val="clear" w:color="auto" w:fill="EEF3FA"/>
          </w:tcPr>
          <w:p>
            <w:pPr>
              <w:spacing w:before="20" w:after="20"/>
              <w:ind w:left="72"/>
            </w:pPr>
            <w:r>
              <w:rPr>
                <w:b w:val="0"/>
                <w:i w:val="0"/>
                <w:color w:val="000000"/>
                <w:sz w:val="18"/>
              </w:rPr>
              <w:t>kpi</w:t>
            </w:r>
          </w:p>
        </w:tc>
        <w:tc>
          <w:tcPr>
            <w:tcW w:type="dxa" w:w="3427"/>
            <w:vAlign w:val="center"/>
            <w:shd w:val="clear" w:color="auto" w:fill="EEF3FA"/>
          </w:tcPr>
          <w:p>
            <w:pPr>
              <w:spacing w:before="20" w:after="20"/>
              <w:ind w:left="72"/>
            </w:pPr>
            <w:r>
              <w:rPr>
                <w:b w:val="0"/>
                <w:i w:val="0"/>
                <w:color w:val="000000"/>
                <w:sz w:val="18"/>
              </w:rPr>
              <w:t>Provide supporting data for KPI: {'kpi</w:t>
            </w:r>
            <w:r>
              <w:rPr>
                <w:b w:val="0"/>
                <w:i/>
                <w:color w:val="000000"/>
                <w:sz w:val="18"/>
              </w:rPr>
              <w:t>name': 'payor mix breakdown', 'overlay': 'healthcare</w:t>
            </w:r>
            <w:r>
              <w:rPr>
                <w:b w:val="0"/>
                <w:i w:val="0"/>
                <w:color w:val="000000"/>
                <w:sz w:val="18"/>
              </w:rPr>
              <w:t>services', 'why</w:t>
            </w:r>
            <w:r>
              <w:rPr>
                <w:b w:val="0"/>
                <w:i/>
                <w:color w:val="000000"/>
                <w:sz w:val="18"/>
              </w:rPr>
              <w:t>expected': 'Payor mix (Private Pay, Medicaid Waiver, LTC Insurance, VA, Other) is referenced at the company level in the profile but no document provides a current or trended payor mix by market or period.', 'management</w:t>
            </w:r>
            <w:r>
              <w:rPr>
                <w:b w:val="0"/>
                <w:i w:val="0"/>
                <w:color w:val="000000"/>
                <w:sz w:val="18"/>
              </w:rPr>
              <w:t>question': 'Can management provide a monthly payor mix breakdown by market for the TTM period, including any shifts in Medicaid Waiver or VA program concentration?'}</w:t>
            </w:r>
          </w:p>
        </w:tc>
        <w:tc>
          <w:tcPr>
            <w:tcW w:type="dxa" w:w="3427"/>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kpi</w:t>
            </w:r>
          </w:p>
        </w:tc>
        <w:tc>
          <w:tcPr>
            <w:tcW w:type="dxa" w:w="3427"/>
            <w:vAlign w:val="center"/>
          </w:tcPr>
          <w:p>
            <w:pPr>
              <w:spacing w:before="20" w:after="20"/>
              <w:ind w:left="72"/>
            </w:pPr>
            <w:r>
              <w:rPr>
                <w:b w:val="0"/>
                <w:i w:val="0"/>
                <w:color w:val="000000"/>
                <w:sz w:val="18"/>
              </w:rPr>
              <w:t>Provide supporting data for KPI: {'kpi</w:t>
            </w:r>
            <w:r>
              <w:rPr>
                <w:b w:val="0"/>
                <w:i/>
                <w:color w:val="000000"/>
                <w:sz w:val="18"/>
              </w:rPr>
              <w:t>name': 'AR aging by payor', 'overlay': 'healthcare</w:t>
            </w:r>
            <w:r>
              <w:rPr>
                <w:b w:val="0"/>
                <w:i w:val="0"/>
                <w:color w:val="000000"/>
                <w:sz w:val="18"/>
              </w:rPr>
              <w:t>services', 'why</w:t>
            </w:r>
            <w:r>
              <w:rPr>
                <w:b w:val="0"/>
                <w:i/>
                <w:color w:val="000000"/>
                <w:sz w:val="18"/>
              </w:rPr>
              <w:t>expected': 'AR aging by payor class is a critical billing health indicator for home care, particularly for government and insurance payors with longer collection cycles.', 'management</w:t>
            </w:r>
            <w:r>
              <w:rPr>
                <w:b w:val="0"/>
                <w:i w:val="0"/>
                <w:color w:val="000000"/>
                <w:sz w:val="18"/>
              </w:rPr>
              <w:t>question': 'Please provide an AR aging schedule segmented by payor class (Private Pay, Medicaid Waiver, LTC Insurance, VA) as of the most recent month-end, including DSO by payor.'}</w:t>
            </w:r>
          </w:p>
        </w:tc>
        <w:tc>
          <w:tcPr>
            <w:tcW w:type="dxa" w:w="3427"/>
            <w:vAlign w:val="center"/>
          </w:tcPr>
          <w:p>
            <w:pPr>
              <w:spacing w:before="20" w:after="20"/>
              <w:ind w:left="72"/>
            </w:pPr>
            <w:r>
              <w:rPr>
                <w:b w:val="0"/>
                <w:i w:val="0"/>
                <w:color w:val="000000"/>
                <w:sz w:val="18"/>
              </w:rPr>
              <w:t>medium</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Open Items / Data Requests</w:t>
      </w:r>
    </w:p>
    <w:p>
      <w:pPr>
        <w:spacing w:before="20" w:after="20"/>
        <w:ind w:left="360" w:hanging="259"/>
      </w:pPr>
      <w:r>
        <w:rPr>
          <w:color w:val="000000"/>
          <w:sz w:val="19"/>
        </w:rPr>
        <w:t xml:space="preserve">• </w:t>
      </w:r>
      <w:r>
        <w:rPr>
          <w:b w:val="0"/>
          <w:i w:val="0"/>
          <w:color w:val="000000"/>
          <w:sz w:val="19"/>
        </w:rPr>
        <w:t>Customer contracts — termination for convenience</w:t>
      </w:r>
    </w:p>
    <w:p>
      <w:pPr>
        <w:spacing w:before="20" w:after="20"/>
        <w:ind w:left="360" w:hanging="259"/>
      </w:pPr>
      <w:r>
        <w:rPr>
          <w:color w:val="000000"/>
          <w:sz w:val="19"/>
        </w:rPr>
        <w:t xml:space="preserve">• </w:t>
      </w:r>
      <w:r>
        <w:rPr>
          <w:b w:val="0"/>
          <w:i w:val="0"/>
          <w:color w:val="000000"/>
          <w:sz w:val="19"/>
        </w:rPr>
        <w:t>Change-of-control clauses</w:t>
      </w:r>
    </w:p>
    <w:p>
      <w:pPr>
        <w:spacing w:before="20" w:after="20"/>
        <w:ind w:left="360" w:hanging="259"/>
      </w:pPr>
      <w:r>
        <w:rPr>
          <w:color w:val="000000"/>
          <w:sz w:val="19"/>
        </w:rPr>
        <w:t xml:space="preserve">• </w:t>
      </w:r>
      <w:r>
        <w:rPr>
          <w:b w:val="0"/>
          <w:i w:val="0"/>
          <w:color w:val="000000"/>
          <w:sz w:val="19"/>
        </w:rPr>
        <w:t>Platform / reseller / channel dependencies</w:t>
      </w:r>
    </w:p>
    <w:p>
      <w:pPr>
        <w:spacing w:before="20" w:after="20"/>
        <w:ind w:left="360" w:hanging="259"/>
      </w:pPr>
      <w:r>
        <w:rPr>
          <w:color w:val="000000"/>
          <w:sz w:val="19"/>
        </w:rPr>
        <w:t xml:space="preserve">• </w:t>
      </w:r>
      <w:r>
        <w:rPr>
          <w:b w:val="0"/>
          <w:i w:val="0"/>
          <w:color w:val="000000"/>
          <w:sz w:val="19"/>
        </w:rPr>
        <w:t>IP ownership, assignment, OSS</w:t>
      </w:r>
    </w:p>
    <w:p>
      <w:pPr>
        <w:spacing w:before="80" w:after="80"/>
        <w:pBdr>
          <w:bottom w:val="single" w:sz="4" w:space="1" w:color="1F3864"/>
        </w:pBdr>
      </w:pPr>
    </w:p>
    <w:p>
      <w:pPr>
        <w:spacing w:before="240" w:after="60"/>
        <w:pBdr>
          <w:bottom w:val="single" w:sz="8" w:space="1" w:color="1F3864"/>
        </w:pBdr>
      </w:pPr>
      <w:r>
        <w:rPr>
          <w:b/>
          <w:color w:val="1F3864"/>
          <w:sz w:val="26"/>
        </w:rPr>
        <w:t>Confidence by Area</w:t>
      </w:r>
    </w:p>
    <w:tbl>
      <w:tblPr>
        <w:tblStyle w:val="TableGrid"/>
        <w:tblW w:type="auto" w:w="0"/>
        <w:tblLook w:firstColumn="1" w:firstRow="1" w:lastColumn="0" w:lastRow="0" w:noHBand="0" w:noVBand="1" w:val="04A0"/>
        <w:tblBorders>
          <w:top w:val="single" w:sz="4" w:space="0" w:color="BFD0E8"/>
          <w:left w:val="single" w:sz="4" w:space="0" w:color="BFD0E8"/>
          <w:bottom w:val="single" w:sz="4" w:space="0" w:color="BFD0E8"/>
          <w:right w:val="single" w:sz="4" w:space="0" w:color="BFD0E8"/>
          <w:insideH w:val="single" w:sz="4" w:space="0" w:color="BFD0E8"/>
          <w:insideV w:val="single" w:sz="4" w:space="0" w:color="BFD0E8"/>
        </w:tblBorders>
      </w:tblPr>
      <w:tblGrid>
        <w:gridCol w:w="5040"/>
        <w:gridCol w:w="5040"/>
      </w:tblGrid>
      <w:tr>
        <w:trPr>
          <w:trHeight w:val="280"/>
        </w:trPr>
        <w:tc>
          <w:tcPr>
            <w:tcW w:type="dxa" w:w="3226"/>
            <w:vAlign w:val="center"/>
            <w:shd w:val="clear" w:color="auto" w:fill="1F3864"/>
          </w:tcPr>
          <w:p>
            <w:pPr>
              <w:spacing w:before="20" w:after="20"/>
              <w:ind w:left="72"/>
            </w:pPr>
            <w:r>
              <w:rPr>
                <w:b/>
                <w:i w:val="0"/>
                <w:color w:val="FFFFFF"/>
                <w:sz w:val="18"/>
              </w:rPr>
              <w:t>Area</w:t>
            </w:r>
          </w:p>
        </w:tc>
        <w:tc>
          <w:tcPr>
            <w:tcW w:type="dxa" w:w="6854"/>
            <w:vAlign w:val="center"/>
            <w:shd w:val="clear" w:color="auto" w:fill="1F3864"/>
          </w:tcPr>
          <w:p>
            <w:pPr>
              <w:spacing w:before="20" w:after="20"/>
              <w:ind w:left="72"/>
            </w:pPr>
            <w:r>
              <w:rPr>
                <w:b/>
                <w:i w:val="0"/>
                <w:color w:val="FFFFFF"/>
                <w:sz w:val="18"/>
              </w:rPr>
              <w:t>Confidence</w:t>
            </w:r>
          </w:p>
        </w:tc>
      </w:tr>
      <w:tr>
        <w:trPr>
          <w:trHeight w:val="260"/>
        </w:trPr>
        <w:tc>
          <w:tcPr>
            <w:tcW w:type="dxa" w:w="3226"/>
            <w:vAlign w:val="center"/>
          </w:tcPr>
          <w:p>
            <w:pPr>
              <w:spacing w:before="20" w:after="20"/>
              <w:ind w:left="72"/>
            </w:pPr>
            <w:r>
              <w:rPr>
                <w:b w:val="0"/>
                <w:i w:val="0"/>
                <w:color w:val="000000"/>
                <w:sz w:val="18"/>
              </w:rPr>
              <w:t>Business Model</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Financial Trends</w:t>
            </w:r>
          </w:p>
        </w:tc>
        <w:tc>
          <w:tcPr>
            <w:tcW w:type="dxa" w:w="6854"/>
            <w:vAlign w:val="center"/>
            <w:shd w:val="clear" w:color="auto" w:fill="EEF3FA"/>
          </w:tcPr>
          <w:p>
            <w:pPr>
              <w:spacing w:before="20" w:after="20"/>
              <w:ind w:left="72"/>
            </w:pPr>
            <w:r>
              <w:rPr>
                <w:b w:val="0"/>
                <w:i w:val="0"/>
                <w:color w:val="000000"/>
                <w:sz w:val="18"/>
              </w:rPr>
              <w:t>high</w:t>
            </w:r>
          </w:p>
        </w:tc>
      </w:tr>
      <w:tr>
        <w:trPr>
          <w:trHeight w:val="260"/>
        </w:trPr>
        <w:tc>
          <w:tcPr>
            <w:tcW w:type="dxa" w:w="3226"/>
            <w:vAlign w:val="center"/>
          </w:tcPr>
          <w:p>
            <w:pPr>
              <w:spacing w:before="20" w:after="20"/>
              <w:ind w:left="72"/>
            </w:pPr>
            <w:r>
              <w:rPr>
                <w:b w:val="0"/>
                <w:i w:val="0"/>
                <w:color w:val="000000"/>
                <w:sz w:val="18"/>
              </w:rPr>
              <w:t>Customer Quality</w:t>
            </w:r>
          </w:p>
        </w:tc>
        <w:tc>
          <w:tcPr>
            <w:tcW w:type="dxa" w:w="6854"/>
            <w:vAlign w:val="center"/>
          </w:tcPr>
          <w:p>
            <w:pPr>
              <w:spacing w:before="20" w:after="20"/>
              <w:ind w:left="72"/>
            </w:pPr>
            <w:r>
              <w:rPr>
                <w:b w:val="0"/>
                <w:i w:val="0"/>
                <w:color w:val="000000"/>
                <w:sz w:val="18"/>
              </w:rPr>
              <w:t>low</w:t>
            </w:r>
          </w:p>
        </w:tc>
      </w:tr>
      <w:tr>
        <w:trPr>
          <w:trHeight w:val="260"/>
        </w:trPr>
        <w:tc>
          <w:tcPr>
            <w:tcW w:type="dxa" w:w="3226"/>
            <w:vAlign w:val="center"/>
            <w:shd w:val="clear" w:color="auto" w:fill="EEF3FA"/>
          </w:tcPr>
          <w:p>
            <w:pPr>
              <w:spacing w:before="20" w:after="20"/>
              <w:ind w:left="72"/>
            </w:pPr>
            <w:r>
              <w:rPr>
                <w:b w:val="0"/>
                <w:i w:val="0"/>
                <w:color w:val="000000"/>
                <w:sz w:val="18"/>
              </w:rPr>
              <w:t>KPI</w:t>
            </w:r>
          </w:p>
        </w:tc>
        <w:tc>
          <w:tcPr>
            <w:tcW w:type="dxa" w:w="6854"/>
            <w:vAlign w:val="center"/>
            <w:shd w:val="clear" w:color="auto" w:fill="EEF3FA"/>
          </w:tcPr>
          <w:p>
            <w:pPr>
              <w:spacing w:before="20" w:after="20"/>
              <w:ind w:left="72"/>
            </w:pPr>
            <w:r>
              <w:rPr>
                <w:b w:val="0"/>
                <w:i w:val="0"/>
                <w:color w:val="000000"/>
                <w:sz w:val="18"/>
              </w:rPr>
              <w:t>low</w:t>
            </w:r>
          </w:p>
        </w:tc>
      </w:tr>
      <w:tr>
        <w:trPr>
          <w:trHeight w:val="260"/>
        </w:trPr>
        <w:tc>
          <w:tcPr>
            <w:tcW w:type="dxa" w:w="3226"/>
            <w:vAlign w:val="center"/>
          </w:tcPr>
          <w:p>
            <w:pPr>
              <w:spacing w:before="20" w:after="20"/>
              <w:ind w:left="72"/>
            </w:pPr>
            <w:r>
              <w:rPr>
                <w:b w:val="0"/>
                <w:i w:val="0"/>
                <w:color w:val="000000"/>
                <w:sz w:val="18"/>
              </w:rPr>
              <w:t>Legal</w:t>
            </w:r>
          </w:p>
        </w:tc>
        <w:tc>
          <w:tcPr>
            <w:tcW w:type="dxa" w:w="6854"/>
            <w:vAlign w:val="center"/>
          </w:tcPr>
          <w:p>
            <w:pPr>
              <w:spacing w:before="20" w:after="20"/>
              <w:ind w:left="72"/>
            </w:pPr>
            <w:r>
              <w:rPr>
                <w:b w:val="0"/>
                <w:i w:val="0"/>
                <w:color w:val="000000"/>
                <w:sz w:val="18"/>
              </w:rPr>
              <w:t>medium</w:t>
            </w:r>
          </w:p>
        </w:tc>
      </w:tr>
      <w:tr>
        <w:trPr>
          <w:trHeight w:val="260"/>
        </w:trPr>
        <w:tc>
          <w:tcPr>
            <w:tcW w:type="dxa" w:w="3226"/>
            <w:vAlign w:val="center"/>
            <w:shd w:val="clear" w:color="auto" w:fill="EEF3FA"/>
          </w:tcPr>
          <w:p>
            <w:pPr>
              <w:spacing w:before="20" w:after="20"/>
              <w:ind w:left="72"/>
            </w:pPr>
            <w:r>
              <w:rPr>
                <w:b w:val="0"/>
                <w:i w:val="0"/>
                <w:color w:val="000000"/>
                <w:sz w:val="18"/>
              </w:rPr>
              <w:t>Quality of Earnings</w:t>
            </w:r>
          </w:p>
        </w:tc>
        <w:tc>
          <w:tcPr>
            <w:tcW w:type="dxa" w:w="6854"/>
            <w:vAlign w:val="center"/>
            <w:shd w:val="clear" w:color="auto" w:fill="EEF3FA"/>
          </w:tcPr>
          <w:p>
            <w:pPr>
              <w:spacing w:before="20" w:after="20"/>
              <w:ind w:left="72"/>
            </w:pPr>
            <w:r>
              <w:rPr>
                <w:b w:val="0"/>
                <w:i w:val="0"/>
                <w:color w:val="000000"/>
                <w:sz w:val="18"/>
              </w:rPr>
              <w:t>medium</w:t>
            </w:r>
          </w:p>
        </w:tc>
      </w:tr>
      <w:tr>
        <w:trPr>
          <w:trHeight w:val="260"/>
        </w:trPr>
        <w:tc>
          <w:tcPr>
            <w:tcW w:type="dxa" w:w="3226"/>
            <w:vAlign w:val="center"/>
          </w:tcPr>
          <w:p>
            <w:pPr>
              <w:spacing w:before="20" w:after="20"/>
              <w:ind w:left="72"/>
            </w:pPr>
            <w:r>
              <w:rPr>
                <w:b w:val="0"/>
                <w:i w:val="0"/>
                <w:color w:val="000000"/>
                <w:sz w:val="18"/>
              </w:rPr>
              <w:t>Forecast Support</w:t>
            </w:r>
          </w:p>
        </w:tc>
        <w:tc>
          <w:tcPr>
            <w:tcW w:type="dxa" w:w="6854"/>
            <w:vAlign w:val="center"/>
          </w:tcPr>
          <w:p>
            <w:pPr>
              <w:spacing w:before="20" w:after="20"/>
              <w:ind w:left="72"/>
            </w:pPr>
            <w:r>
              <w:rPr>
                <w:b w:val="0"/>
                <w:i w:val="0"/>
                <w:color w:val="000000"/>
                <w:sz w:val="18"/>
              </w:rPr>
              <w:t>low</w:t>
            </w:r>
          </w:p>
        </w:tc>
      </w:tr>
    </w:tbl>
    <w:p>
      <w:pPr>
        <w:spacing w:before="40" w:after="40"/>
      </w:pPr>
    </w:p>
    <w:p>
      <w:pPr>
        <w:spacing w:before="80" w:after="80"/>
        <w:pBdr>
          <w:bottom w:val="single" w:sz="4" w:space="1" w:color="1F3864"/>
        </w:pBdr>
      </w:pPr>
    </w:p>
    <w:p>
      <w:pPr>
        <w:spacing w:before="240" w:after="60"/>
        <w:pBdr>
          <w:bottom w:val="single" w:sz="8" w:space="1" w:color="1F3864"/>
        </w:pBdr>
      </w:pPr>
      <w:r>
        <w:rPr>
          <w:b/>
          <w:color w:val="1F3864"/>
          <w:sz w:val="26"/>
        </w:rPr>
        <w:t>Closing</w:t>
      </w:r>
    </w:p>
    <w:p>
      <w:pPr>
        <w:spacing w:before="40" w:after="40"/>
      </w:pPr>
      <w:r>
        <w:rPr>
          <w:b w:val="0"/>
          <w:i w:val="0"/>
          <w:color w:val="000000"/>
          <w:sz w:val="19"/>
        </w:rPr>
        <w:t>Elder Care presents a home care platform with a compelling organic growth track record, differentiated operational infrastructure, and strong client retention characteristics. The central analytical task for any reviewer is to independently validate the magnitude and quality of the adjustments bridging reported to pro forma financials, reconcile the intra-document discrepancies identified across revenue and gross profit figures, and assess the integration trajectory of the two 2024 acquisitions — outcomes that will materially shape any view of the business's normalized earnings power.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