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3864"/>
          <w:sz w:val="40"/>
        </w:rPr>
        <w:t>Elder Care — TL;DR One-Pager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Vertical:</w:t>
      </w:r>
      <w:r>
        <w:rPr>
          <w:b w:val="0"/>
          <w:i w:val="0"/>
          <w:color w:val="000000"/>
          <w:sz w:val="19"/>
        </w:rPr>
        <w:t xml:space="preserve"> healthcare_services</w:t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Generated: 2026-06-29T23:01:39.102326Z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Overall Confidence:</w:t>
      </w:r>
      <w:r>
        <w:rPr>
          <w:b w:val="0"/>
          <w:i w:val="0"/>
          <w:color w:val="000000"/>
          <w:sz w:val="19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Revenue CAGR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376%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Growth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72% YoY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Gross Margin (Blended)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43.4%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Gross Margin (HHA/Live-In)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54.2%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Preliminary View</w:t>
      </w:r>
    </w:p>
    <w:p>
      <w:pPr>
        <w:spacing w:before="160" w:after="40"/>
      </w:pPr>
      <w:r>
        <w:rPr>
          <w:b/>
          <w:color w:val="2E75B6"/>
          <w:sz w:val="22"/>
        </w:rPr>
        <w:t>Strengths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Strong revenue growth: clients expanded 376% from 125 (Q1-2020) to 595 (Q4-2024E), with 72% YoY growth in the most recent year driven by acquisitions in NJ and MA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64% private-pay revenue concentration reduces government reimbursement rate risk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 forma adjusted gross margin of 43.4% (TTM Aug-2024) is above typical home care benchmarks; HHA/Live-In line carries 54.2% gross margin</w:t>
      </w:r>
    </w:p>
    <w:p>
      <w:pPr>
        <w:spacing w:before="160" w:after="40"/>
      </w:pPr>
      <w:r>
        <w:rPr>
          <w:b/>
          <w:color w:val="2E75B6"/>
          <w:sz w:val="22"/>
        </w:rPr>
        <w:t>Concerns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Professional liability (E&amp;O/malpractice), cyber, D&amp;O, and workers' compensation insurance coverage not confirmed in data room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Key-person concentration: founder David Gilberg holds 92% equity; no non-compete or change-of-control protections identified in employment agreements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Lease assignment consent required from Manhattan and Long Island landlords — transaction execution risk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Legal Snapshot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Assessed:</w:t>
      </w:r>
      <w:r>
        <w:rPr>
          <w:b w:val="0"/>
          <w:i w:val="0"/>
          <w:color w:val="000000"/>
          <w:sz w:val="19"/>
        </w:rPr>
        <w:t xml:space="preserve"> 7 / 11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Section confidence:</w:t>
      </w:r>
      <w:r>
        <w:rPr>
          <w:b w:val="0"/>
          <w:i w:val="0"/>
          <w:color w:val="000000"/>
          <w:sz w:val="19"/>
        </w:rPr>
        <w:t xml:space="preserve"> high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Open legal matter (other): Engagement of outside counsel (Peter Ackerman Esq.) for collection of patient receivables on behalf of Eldercare Homecare, Inc.. Source: April 30 2025 Fully Executed Retainer Agreement for...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(Consultant shall comply with all mandatory rules and regulations adopted by Company; comply with all applicable laws; not violate public conventions, morals, or standards of decency.) in...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(Licensee acknowledges Licensor has not made warranties or representations except as expressly set forth in the License Agreement or other written agreements made concurrently.) in Licensor...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(Seller's Owner as Guarantor irrevocably guarantees obligations; Seller shall not make unscheduled changes to working capital accounts; no changes to operations without Buyer's prior written...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(Tenant shall not transfer or assign interest in Lease, mortgage, pledge or encumber Lease or Demised Premises without compliance with assignment provisions.) in Landlord (unnamed — Manhattan)...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Quality of Earnings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Tier summary:</w:t>
      </w:r>
      <w:r>
        <w:rPr>
          <w:b w:val="0"/>
          <w:i w:val="0"/>
          <w:color w:val="000000"/>
          <w:sz w:val="19"/>
        </w:rPr>
        <w:t xml:space="preserve"> The company has several one-time expenses with no documentation or explanation provided. The reported EBITDA for 2023 is $2,773.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9 Tier 4 addbacks with undocumented or zero amounts — unlikely to survive buyer QoE (see full report).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Top Risks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Mitigant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Open legal matters</w:t>
            </w:r>
          </w:p>
        </w:tc>
        <w:tc>
          <w:tcPr>
            <w:tcW w:type="dxa" w:w="2285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critical</w:t>
            </w:r>
          </w:p>
        </w:tc>
        <w:tc>
          <w:tcPr>
            <w:tcW w:type="dxa" w:w="2285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other: Engagement of outside counsel (Peter Ackerman Esq.) for collection of patient re (April 30 2025 Fully...</w:t>
            </w:r>
          </w:p>
        </w:tc>
        <w:tc>
          <w:tcPr>
            <w:tcW w:type="dxa" w:w="2285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Open legal matter (other): Engagement of outside counsel (Peter Ackerman Esq.) for collection of patient receivables...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Undocumented Tier 4 addbacks</w:t>
            </w:r>
          </w:p>
        </w:tc>
        <w:tc>
          <w:tcPr>
            <w:tcW w:type="dxa" w:w="2285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One Time Expenses ($0) (Elder Care Projection Model Refresh_vF.xlsx (+6 related)</w:t>
            </w:r>
          </w:p>
        </w:tc>
        <w:tc>
          <w:tcPr>
            <w:tcW w:type="dxa" w:w="2285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Tier 4 addback: One Time Expenses ($0) — unlikely to survive buyer QofE. Source: Elder Care Projection Model...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Priority Diligence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3360"/>
        <w:gridCol w:w="3360"/>
        <w:gridCol w:w="336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legal</w:t>
            </w:r>
          </w:p>
        </w:tc>
        <w:tc>
          <w:tcPr>
            <w:tcW w:type="dxa" w:w="3427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Request and review Healthcare Referral Agreements</w:t>
            </w:r>
          </w:p>
        </w:tc>
        <w:tc>
          <w:tcPr>
            <w:tcW w:type="dxa" w:w="3427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Open Items / Data Requests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Customer contracts — termination for convenience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Change-of-control clauses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Platform / reseller / channel dependencies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IP ownership, assignment, OSS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Confidence by Area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Business Model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Financial Trends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Customer Quality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KPI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Legal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Quality of Earnings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Forecast Support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80" w:after="160"/>
        <w:ind w:left="173" w:right="173"/>
        <w:shd w:val="clear" w:color="auto" w:fill="F2F4F7"/>
      </w:pPr>
      <w:r>
        <w:rPr>
          <w:b/>
          <w:i/>
          <w:color w:val="595959"/>
          <w:sz w:val="19"/>
        </w:rPr>
        <w:t>Demo Disclaimer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&gt;</w:t>
      </w:r>
    </w:p>
    <w:p>
      <w:pPr>
        <w:spacing w:before="80" w:after="160"/>
        <w:ind w:left="173" w:right="173"/>
        <w:shd w:val="clear" w:color="auto" w:fill="F2F4F7"/>
      </w:pPr>
      <w:r>
        <w:rPr>
          <w:b w:val="0"/>
          <w:i/>
          <w:color w:val="595959"/>
          <w:sz w:val="19"/>
        </w:rPr>
        <w:t>Preliminary demo synthesis for diligence orientation only. Not investment advice or a recommendation to buy, sell, or hold.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Closing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This summary is prepared for informational and diligence-scoping purposes only. It does not constitute investment advice, a recommendation to proceed or decline, or a fairness opinion. All figures are sourced from management-provided documents and have not been independently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