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864"/>
          <w:sz w:val="40"/>
        </w:rPr>
        <w:t>Elder Care</w:t>
      </w:r>
    </w:p>
    <w:p>
      <w:pPr>
        <w:spacing w:before="240" w:after="60"/>
        <w:pBdr>
          <w:bottom w:val="single" w:sz="8" w:space="1" w:color="1F3864"/>
        </w:pBdr>
      </w:pPr>
      <w:r>
        <w:rPr>
          <w:b/>
          <w:color w:val="1F3864"/>
          <w:sz w:val="26"/>
        </w:rPr>
        <w:t>Preliminary Diligence Report</w:t>
      </w:r>
    </w:p>
    <w:p>
      <w:pPr>
        <w:spacing w:before="60" w:after="160"/>
        <w:jc w:val="center"/>
      </w:pPr>
      <w:r>
        <w:rPr>
          <w:i/>
          <w:color w:val="595959"/>
          <w:sz w:val="18"/>
        </w:rPr>
        <w:t>Generated By: Orchestrator Agent</w:t>
      </w:r>
    </w:p>
    <w:p>
      <w:pPr>
        <w:spacing w:before="80" w:after="40"/>
      </w:pPr>
      <w:r>
        <w:rPr>
          <w:b/>
          <w:i w:val="0"/>
          <w:color w:val="000000"/>
          <w:sz w:val="19"/>
        </w:rPr>
        <w:t>Date:</w:t>
      </w:r>
      <w:r>
        <w:rPr>
          <w:b w:val="0"/>
          <w:i w:val="0"/>
          <w:color w:val="000000"/>
          <w:sz w:val="19"/>
        </w:rPr>
        <w:t xml:space="preserve"> 2026-06-30T21:38:45.219116Z</w:t>
      </w:r>
    </w:p>
    <w:p>
      <w:pPr>
        <w:spacing w:before="80" w:after="40"/>
      </w:pPr>
      <w:r>
        <w:rPr>
          <w:b/>
          <w:i w:val="0"/>
          <w:color w:val="000000"/>
          <w:sz w:val="19"/>
        </w:rPr>
        <w:t>Confidence Level:</w:t>
      </w:r>
      <w:r>
        <w:rPr>
          <w:b w:val="0"/>
          <w:i w:val="0"/>
          <w:color w:val="000000"/>
          <w:sz w:val="19"/>
        </w:rPr>
        <w:t xml:space="preserve"> Low</w:t>
      </w:r>
    </w:p>
    <w:p>
      <w:pPr>
        <w:spacing w:before="80" w:after="80"/>
        <w:pBdr>
          <w:bottom w:val="single" w:sz="4" w:space="1" w:color="1F3864"/>
        </w:pBdr>
      </w:pPr>
    </w:p>
    <w:p>
      <w:pPr>
        <w:spacing w:before="0" w:after="80"/>
        <w:jc w:val="center"/>
      </w:pPr>
      <w:r>
        <w:rPr>
          <w:b/>
          <w:color w:val="1F3864"/>
          <w:sz w:val="40"/>
        </w:rPr>
        <w:t>Executive Summary</w:t>
      </w:r>
    </w:p>
    <w:p>
      <w:pPr>
        <w:spacing w:before="80" w:after="160"/>
        <w:ind w:left="173" w:right="173"/>
        <w:shd w:val="clear" w:color="auto" w:fill="F2F4F7"/>
      </w:pPr>
      <w:r>
        <w:rPr>
          <w:b w:val="0"/>
          <w:i/>
          <w:color w:val="595959"/>
          <w:sz w:val="19"/>
        </w:rPr>
        <w:t>[!NOTE]</w:t>
      </w:r>
    </w:p>
    <w:p>
      <w:pPr>
        <w:spacing w:before="80" w:after="160"/>
        <w:ind w:left="173" w:right="173"/>
        <w:shd w:val="clear" w:color="auto" w:fill="F2F4F7"/>
      </w:pPr>
      <w:r>
        <w:rPr>
          <w:b w:val="0"/>
          <w:i/>
          <w:color w:val="595959"/>
          <w:sz w:val="19"/>
        </w:rPr>
        <w:t>Elder Care is a multi-market private-pay home care platform serving ~595 clients across NY, NJ, MA, and CT, with reported net revenue of $35.1M (TTM Aug-24) growing to $46.4M on a pro forma adjusted basis, supported by strong client tenure (57% with 4+ years) and a differentiated offshore staffing model, but requiring close scrutiny of a 247% addback-to-reported-EBITDA ratio, multiple intra-document financial discrepancies, and the gap between reported and adjusted earnings.</w:t>
      </w:r>
    </w:p>
    <w:p>
      <w:pPr>
        <w:spacing w:before="80" w:after="40"/>
      </w:pPr>
      <w:r>
        <w:rPr>
          <w:b/>
          <w:i w:val="0"/>
          <w:color w:val="000000"/>
          <w:sz w:val="19"/>
        </w:rPr>
        <w:t>Strengths</w:t>
      </w:r>
    </w:p>
    <w:p>
      <w:pPr>
        <w:spacing w:before="20" w:after="20"/>
        <w:ind w:left="360" w:hanging="259"/>
      </w:pPr>
      <w:r>
        <w:rPr>
          <w:color w:val="000000"/>
          <w:sz w:val="19"/>
        </w:rPr>
        <w:t xml:space="preserve">• </w:t>
      </w:r>
      <w:r>
        <w:rPr>
          <w:b w:val="0"/>
          <w:i w:val="0"/>
          <w:color w:val="000000"/>
          <w:sz w:val="19"/>
        </w:rPr>
        <w:t>Demonstrated organic revenue growth across all legacy markets from 2020 to TTM Aug-24, with Long Island growing from $229K to $11.6M and New York City from $1.5M to $13.6M over the same period, reflecting successful geographic expansion and market penetration.</w:t>
      </w:r>
    </w:p>
    <w:p>
      <w:pPr>
        <w:spacing w:before="20" w:after="20"/>
        <w:ind w:left="360" w:hanging="259"/>
      </w:pPr>
      <w:r>
        <w:rPr>
          <w:color w:val="000000"/>
          <w:sz w:val="19"/>
        </w:rPr>
        <w:t xml:space="preserve">• </w:t>
      </w:r>
      <w:r>
        <w:rPr>
          <w:b w:val="0"/>
          <w:i w:val="0"/>
          <w:color w:val="000000"/>
          <w:sz w:val="19"/>
        </w:rPr>
        <w:t>Exceptionally sticky client base: 57% of active clients have been with the company for 4+ years, and the location average of 60 billed hours per week per client at $1,927/week indicates high-intensity, recurring engagement rather than episodic utilization.</w:t>
      </w:r>
    </w:p>
    <w:p>
      <w:pPr>
        <w:spacing w:before="20" w:after="20"/>
        <w:ind w:left="360" w:hanging="259"/>
      </w:pPr>
      <w:r>
        <w:rPr>
          <w:color w:val="000000"/>
          <w:sz w:val="19"/>
        </w:rPr>
        <w:t xml:space="preserve">• </w:t>
      </w:r>
      <w:r>
        <w:rPr>
          <w:b w:val="0"/>
          <w:i w:val="0"/>
          <w:color w:val="000000"/>
          <w:sz w:val="19"/>
        </w:rPr>
        <w:t>Differentiated hybrid staffing model with ~41% of the 108-person administrative team based offshore (Philippines), enabling 24/7 on-call, scheduling, recruiting, and billing support at materially lower cost — a structural margin advantage relative to pure domestic operators.</w:t>
      </w:r>
    </w:p>
    <w:p>
      <w:pPr>
        <w:spacing w:before="20" w:after="20"/>
        <w:ind w:left="360" w:hanging="259"/>
      </w:pPr>
      <w:r>
        <w:rPr>
          <w:color w:val="000000"/>
          <w:sz w:val="19"/>
        </w:rPr>
        <w:t xml:space="preserve">• </w:t>
      </w:r>
      <w:r>
        <w:rPr>
          <w:b w:val="0"/>
          <w:i w:val="0"/>
          <w:color w:val="000000"/>
          <w:sz w:val="19"/>
        </w:rPr>
        <w:t>Seasoned and multi-functional leadership team including a CEO with 8 years of tenure, a COO with enterprise-scale operational experience (Santander, IBM), and an SVP of Sales with 15+ years of long-term care industry relationships across the NY Metro area.</w:t>
      </w:r>
    </w:p>
    <w:p>
      <w:pPr>
        <w:spacing w:before="20" w:after="20"/>
        <w:ind w:left="360" w:hanging="259"/>
      </w:pPr>
      <w:r>
        <w:rPr>
          <w:color w:val="000000"/>
          <w:sz w:val="19"/>
        </w:rPr>
        <w:t xml:space="preserve">• </w:t>
      </w:r>
      <w:r>
        <w:rPr>
          <w:b w:val="0"/>
          <w:i w:val="0"/>
          <w:color w:val="000000"/>
          <w:sz w:val="19"/>
        </w:rPr>
        <w:t>Gross margin has been stable in the 42–44% range across all reported periods (2020A–TTM Aug-24), demonstrating consistent pricing discipline and cost management despite multi-state expansion and two acquisitions in 2024.</w:t>
      </w:r>
    </w:p>
    <w:p>
      <w:pPr>
        <w:spacing w:before="20" w:after="20"/>
        <w:ind w:left="360" w:hanging="259"/>
      </w:pPr>
      <w:r>
        <w:rPr>
          <w:color w:val="000000"/>
          <w:sz w:val="19"/>
        </w:rPr>
        <w:t xml:space="preserve">• </w:t>
      </w:r>
      <w:r>
        <w:rPr>
          <w:b w:val="0"/>
          <w:i w:val="0"/>
          <w:color w:val="000000"/>
          <w:sz w:val="19"/>
        </w:rPr>
        <w:t>Pro forma adjusted EBITDA of $9.2M at a 19.9% margin (TTM Aug-24) reflects a business that, if addbacks are validated, generates meaningful cash flow at scale; clinic-level EBITDA of $13.9M (30.0% margin) further illustrates the unit economics of the core care delivery model.</w:t>
      </w:r>
    </w:p>
    <w:p>
      <w:pPr>
        <w:spacing w:before="20" w:after="20"/>
        <w:ind w:left="360" w:hanging="259"/>
      </w:pPr>
      <w:r>
        <w:rPr>
          <w:color w:val="000000"/>
          <w:sz w:val="19"/>
        </w:rPr>
        <w:t xml:space="preserve">• </w:t>
      </w:r>
      <w:r>
        <w:rPr>
          <w:b w:val="0"/>
          <w:i w:val="0"/>
          <w:color w:val="000000"/>
          <w:sz w:val="19"/>
        </w:rPr>
        <w:t>Caregiver hiring velocity has accelerated materially — company-wide weekly hires grew from approximately 11 in Q1 2024 to 25–28 in Q1–Q2 2025 — supporting the capacity needed for continued client census growth.</w:t>
      </w:r>
    </w:p>
    <w:p>
      <w:pPr>
        <w:spacing w:before="20" w:after="20"/>
        <w:ind w:left="360" w:hanging="259"/>
      </w:pPr>
      <w:r>
        <w:rPr>
          <w:color w:val="000000"/>
          <w:sz w:val="19"/>
        </w:rPr>
        <w:t xml:space="preserve">• </w:t>
      </w:r>
      <w:r>
        <w:rPr>
          <w:b w:val="0"/>
          <w:i w:val="0"/>
          <w:color w:val="000000"/>
          <w:sz w:val="19"/>
        </w:rPr>
        <w:t>Private pay concentration of 64% insulates the business from direct government reimbursement rate risk on the majority of revenue, and the diversified payor mix (LTC insurance, VA, Medicaid waiver) provides multiple demand channels.</w:t>
      </w:r>
    </w:p>
    <w:p>
      <w:pPr>
        <w:spacing w:before="80" w:after="40"/>
      </w:pPr>
      <w:r>
        <w:rPr>
          <w:b/>
          <w:i w:val="0"/>
          <w:color w:val="000000"/>
          <w:sz w:val="19"/>
        </w:rPr>
        <w:t>Concerns</w:t>
      </w:r>
    </w:p>
    <w:p>
      <w:pPr>
        <w:spacing w:before="20" w:after="20"/>
        <w:ind w:left="360" w:hanging="259"/>
      </w:pPr>
      <w:r>
        <w:rPr>
          <w:color w:val="000000"/>
          <w:sz w:val="19"/>
        </w:rPr>
        <w:t xml:space="preserve">• </w:t>
      </w:r>
      <w:r>
        <w:rPr>
          <w:b w:val="0"/>
          <w:i w:val="0"/>
          <w:color w:val="000000"/>
          <w:sz w:val="19"/>
        </w:rPr>
        <w:t>Reported EBITDA has been negative or near-zero in three of the five historical periods presented (2020A: -$342K, 2022A: $180K, 2023A: -$870K), with the TTM Aug-24 reported figure of $2.8M representing the first meaningful positive result — the gap between reported and pro forma adjusted EBITDA ($9.2M) is substantial and requires independent QofE validation.</w:t>
      </w:r>
    </w:p>
    <w:p>
      <w:pPr>
        <w:spacing w:before="20" w:after="20"/>
        <w:ind w:left="360" w:hanging="259"/>
      </w:pPr>
      <w:r>
        <w:rPr>
          <w:color w:val="000000"/>
          <w:sz w:val="19"/>
        </w:rPr>
        <w:t xml:space="preserve">• </w:t>
      </w:r>
      <w:r>
        <w:rPr>
          <w:b w:val="0"/>
          <w:i w:val="0"/>
          <w:color w:val="000000"/>
          <w:sz w:val="19"/>
        </w:rPr>
        <w:t>Total addbacks represent approximately 247% of reported EBITDA for TTM Aug-24, including forward-looking synergy and ramp-up adjustments for Guided Living (items N and O) and ECHC de novo maturity (item P) that are prospective estimates rather than historical normalization — these items are particularly susceptible to challenge in a quality of earnings process.</w:t>
      </w:r>
    </w:p>
    <w:p>
      <w:pPr>
        <w:spacing w:before="20" w:after="20"/>
        <w:ind w:left="360" w:hanging="259"/>
      </w:pPr>
      <w:r>
        <w:rPr>
          <w:color w:val="000000"/>
          <w:sz w:val="19"/>
        </w:rPr>
        <w:t xml:space="preserve">• </w:t>
      </w:r>
      <w:r>
        <w:rPr>
          <w:b w:val="0"/>
          <w:i w:val="0"/>
          <w:color w:val="000000"/>
          <w:sz w:val="19"/>
        </w:rPr>
        <w:t>Pro forma adjusted revenue of $46.4M is approximately 32% higher than reported net revenue of $35.1M for the same TTM period, with $9.6M in diligence revenue adjustments and $1.7M in pro forma revenue adjustments — the nature and supportability of these revenue adjustments must be confirmed with underlying documentation.</w:t>
      </w:r>
    </w:p>
    <w:p>
      <w:pPr>
        <w:spacing w:before="20" w:after="20"/>
        <w:ind w:left="360" w:hanging="259"/>
      </w:pPr>
      <w:r>
        <w:rPr>
          <w:color w:val="000000"/>
          <w:sz w:val="19"/>
        </w:rPr>
        <w:t xml:space="preserve">• </w:t>
      </w:r>
      <w:r>
        <w:rPr>
          <w:b w:val="0"/>
          <w:i w:val="0"/>
          <w:color w:val="000000"/>
          <w:sz w:val="19"/>
        </w:rPr>
        <w:t>Multiple intra-document financial discrepancies were identified, including conflicting 2023A revenue figures ($33.7M vs. $34.2M), conflicting TTM Aug-24 gross profit figures ($18.5M vs. $20.2M), and margin percentage inconsistencies across sections of the same CIM — these require reconciliation before financial conclusions can be drawn.</w:t>
      </w:r>
    </w:p>
    <w:p>
      <w:pPr>
        <w:spacing w:before="20" w:after="20"/>
        <w:ind w:left="360" w:hanging="259"/>
      </w:pPr>
      <w:r>
        <w:rPr>
          <w:color w:val="000000"/>
          <w:sz w:val="19"/>
        </w:rPr>
        <w:t xml:space="preserve">• </w:t>
      </w:r>
      <w:r>
        <w:rPr>
          <w:b w:val="0"/>
          <w:i w:val="0"/>
          <w:color w:val="000000"/>
          <w:sz w:val="19"/>
        </w:rPr>
        <w:t>No NRR, GRR, or logo churn metrics are available in the data room; while the 4+ year tenure cohort is encouraging, the absence of formal retention analytics limits the ability to assess revenue durability on a forward-looking basis.</w:t>
      </w:r>
    </w:p>
    <w:p>
      <w:pPr>
        <w:spacing w:before="20" w:after="20"/>
        <w:ind w:left="360" w:hanging="259"/>
      </w:pPr>
      <w:r>
        <w:rPr>
          <w:color w:val="000000"/>
          <w:sz w:val="19"/>
        </w:rPr>
        <w:t xml:space="preserve">• </w:t>
      </w:r>
      <w:r>
        <w:rPr>
          <w:b w:val="0"/>
          <w:i w:val="0"/>
          <w:color w:val="000000"/>
          <w:sz w:val="19"/>
        </w:rPr>
        <w:t>Government and quasi-government payor concentration (Medicaid waiver 11%, VA 7%, plus any Medicare embedded in 'Other') approaches or exceeds 50% when combined, introducing reimbursement rate risk and regulatory compliance obligations that are not yet fully characterized in the available documents.</w:t>
      </w:r>
    </w:p>
    <w:p>
      <w:pPr>
        <w:spacing w:before="20" w:after="20"/>
        <w:ind w:left="360" w:hanging="259"/>
      </w:pPr>
      <w:r>
        <w:rPr>
          <w:color w:val="000000"/>
          <w:sz w:val="19"/>
        </w:rPr>
        <w:t xml:space="preserve">• </w:t>
      </w:r>
      <w:r>
        <w:rPr>
          <w:b w:val="0"/>
          <w:i w:val="0"/>
          <w:color w:val="000000"/>
          <w:sz w:val="19"/>
        </w:rPr>
        <w:t>Two acquisitions (Guided Living in MA, March 2024; Unicity in NJ, 2024) were completed within the TTM measurement window, meaning a meaningful portion of the pro forma revenue and EBITDA base reflects entities with limited post-acquisition operating history under Elder Care's management — integration execution risk is not yet quantifiable.</w:t>
      </w:r>
    </w:p>
    <w:p>
      <w:pPr>
        <w:spacing w:before="20" w:after="20"/>
        <w:ind w:left="360" w:hanging="259"/>
      </w:pPr>
      <w:r>
        <w:rPr>
          <w:color w:val="000000"/>
          <w:sz w:val="19"/>
        </w:rPr>
        <w:t xml:space="preserve">• </w:t>
      </w:r>
      <w:r>
        <w:rPr>
          <w:b w:val="0"/>
          <w:i w:val="0"/>
          <w:color w:val="000000"/>
          <w:sz w:val="19"/>
        </w:rPr>
        <w:t>Key operational KPIs required for healthcare services diligence — including caregiver turnover rate, active client census trends, AR aging by payor, referral source breakdown, and compliance/audit history — are absent from the current data room, representing material gaps for a complete operational assessment.</w:t>
      </w:r>
    </w:p>
    <w:p>
      <w:pPr>
        <w:spacing w:before="20" w:after="20"/>
        <w:ind w:left="360" w:hanging="259"/>
      </w:pPr>
      <w:r>
        <w:rPr>
          <w:color w:val="000000"/>
          <w:sz w:val="19"/>
        </w:rPr>
        <w:t xml:space="preserve">• </w:t>
      </w:r>
      <w:r>
        <w:rPr>
          <w:b w:val="0"/>
          <w:i w:val="0"/>
          <w:color w:val="000000"/>
          <w:sz w:val="19"/>
        </w:rPr>
        <w:t>The Director of Finance has only one year of tenure and the Director of Patient Services only six months, creating potential fragility in two functions (financial controls and clinical compliance) that are critical to a regulated home care business at this stage of growth.</w:t>
      </w:r>
    </w:p>
    <w:p>
      <w:pPr>
        <w:spacing w:before="80" w:after="80"/>
        <w:pBdr>
          <w:bottom w:val="single" w:sz="4" w:space="1" w:color="1F3864"/>
        </w:pBdr>
      </w:pPr>
    </w:p>
    <w:p>
      <w:pPr>
        <w:spacing w:before="0" w:after="80"/>
        <w:jc w:val="center"/>
      </w:pPr>
      <w:r>
        <w:rPr>
          <w:b/>
          <w:color w:val="1F3864"/>
          <w:sz w:val="40"/>
        </w:rPr>
        <w:t>Investment Snapshot</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Metric</w:t>
            </w:r>
          </w:p>
        </w:tc>
        <w:tc>
          <w:tcPr>
            <w:tcW w:type="dxa" w:w="6854"/>
            <w:vAlign w:val="center"/>
            <w:shd w:val="clear" w:color="auto" w:fill="1F3864"/>
          </w:tcPr>
          <w:p>
            <w:pPr>
              <w:spacing w:before="20" w:after="20"/>
              <w:ind w:left="72"/>
            </w:pPr>
            <w:r>
              <w:rPr>
                <w:b/>
                <w:i w:val="0"/>
                <w:color w:val="FFFFFF"/>
                <w:sz w:val="18"/>
              </w:rPr>
              <w:t>Value</w:t>
            </w:r>
          </w:p>
        </w:tc>
      </w:tr>
      <w:tr>
        <w:trPr>
          <w:trHeight w:val="260"/>
        </w:trPr>
        <w:tc>
          <w:tcPr>
            <w:tcW w:type="dxa" w:w="3226"/>
            <w:vAlign w:val="center"/>
          </w:tcPr>
          <w:p>
            <w:pPr>
              <w:spacing w:before="20" w:after="20"/>
              <w:ind w:left="72"/>
            </w:pPr>
            <w:r>
              <w:rPr>
                <w:b w:val="0"/>
                <w:i w:val="0"/>
                <w:color w:val="000000"/>
                <w:sz w:val="18"/>
              </w:rPr>
              <w:t>Revenue (LTM)</w:t>
            </w:r>
          </w:p>
        </w:tc>
        <w:tc>
          <w:tcPr>
            <w:tcW w:type="dxa" w:w="6854"/>
            <w:vAlign w:val="center"/>
          </w:tcPr>
          <w:p>
            <w:pPr>
              <w:spacing w:before="20" w:after="20"/>
              <w:ind w:left="72"/>
            </w:pPr>
          </w:p>
        </w:tc>
      </w:tr>
      <w:tr>
        <w:trPr>
          <w:trHeight w:val="260"/>
        </w:trPr>
        <w:tc>
          <w:tcPr>
            <w:tcW w:type="dxa" w:w="3226"/>
            <w:vAlign w:val="center"/>
            <w:shd w:val="clear" w:color="auto" w:fill="EEF3FA"/>
          </w:tcPr>
          <w:p>
            <w:pPr>
              <w:spacing w:before="20" w:after="20"/>
              <w:ind w:left="72"/>
            </w:pPr>
            <w:r>
              <w:rPr>
                <w:b w:val="0"/>
                <w:i w:val="0"/>
                <w:color w:val="000000"/>
                <w:sz w:val="18"/>
              </w:rPr>
              <w:t>Revenue CAGR</w:t>
            </w:r>
          </w:p>
        </w:tc>
        <w:tc>
          <w:tcPr>
            <w:tcW w:type="dxa" w:w="6854"/>
            <w:vAlign w:val="center"/>
            <w:shd w:val="clear" w:color="auto" w:fill="EEF3FA"/>
          </w:tcPr>
          <w:p>
            <w:pPr>
              <w:spacing w:before="20" w:after="20"/>
              <w:ind w:left="72"/>
            </w:pPr>
            <w:r>
              <w:rPr>
                <w:b w:val="0"/>
                <w:i w:val="0"/>
                <w:color w:val="000000"/>
                <w:sz w:val="18"/>
              </w:rPr>
              <w:t>61.7%</w:t>
            </w:r>
          </w:p>
        </w:tc>
      </w:tr>
      <w:tr>
        <w:trPr>
          <w:trHeight w:val="260"/>
        </w:trPr>
        <w:tc>
          <w:tcPr>
            <w:tcW w:type="dxa" w:w="3226"/>
            <w:vAlign w:val="center"/>
          </w:tcPr>
          <w:p>
            <w:pPr>
              <w:spacing w:before="20" w:after="20"/>
              <w:ind w:left="72"/>
            </w:pPr>
            <w:r>
              <w:rPr>
                <w:b w:val="0"/>
                <w:i w:val="0"/>
                <w:color w:val="000000"/>
                <w:sz w:val="18"/>
              </w:rPr>
              <w:t>EBITDA (LTM)</w:t>
            </w:r>
          </w:p>
        </w:tc>
        <w:tc>
          <w:tcPr>
            <w:tcW w:type="dxa" w:w="6854"/>
            <w:vAlign w:val="center"/>
          </w:tcPr>
          <w:p>
            <w:pPr>
              <w:spacing w:before="20" w:after="20"/>
              <w:ind w:left="72"/>
            </w:pPr>
          </w:p>
        </w:tc>
      </w:tr>
      <w:tr>
        <w:trPr>
          <w:trHeight w:val="260"/>
        </w:trPr>
        <w:tc>
          <w:tcPr>
            <w:tcW w:type="dxa" w:w="3226"/>
            <w:vAlign w:val="center"/>
            <w:shd w:val="clear" w:color="auto" w:fill="EEF3FA"/>
          </w:tcPr>
          <w:p>
            <w:pPr>
              <w:spacing w:before="20" w:after="20"/>
              <w:ind w:left="72"/>
            </w:pPr>
            <w:r>
              <w:rPr>
                <w:b w:val="0"/>
                <w:i w:val="0"/>
                <w:color w:val="000000"/>
                <w:sz w:val="18"/>
              </w:rPr>
              <w:t>EBITDA Margin</w:t>
            </w:r>
          </w:p>
        </w:tc>
        <w:tc>
          <w:tcPr>
            <w:tcW w:type="dxa" w:w="6854"/>
            <w:vAlign w:val="center"/>
            <w:shd w:val="clear" w:color="auto" w:fill="EEF3FA"/>
          </w:tcPr>
          <w:p>
            <w:pPr>
              <w:spacing w:before="20" w:after="20"/>
              <w:ind w:left="72"/>
            </w:pPr>
            <w:r>
              <w:rPr>
                <w:b w:val="0"/>
                <w:i w:val="0"/>
                <w:color w:val="000000"/>
                <w:sz w:val="18"/>
              </w:rPr>
              <w:t>30.0%</w:t>
            </w:r>
          </w:p>
        </w:tc>
      </w:tr>
      <w:tr>
        <w:trPr>
          <w:trHeight w:val="260"/>
        </w:trPr>
        <w:tc>
          <w:tcPr>
            <w:tcW w:type="dxa" w:w="3226"/>
            <w:vAlign w:val="center"/>
          </w:tcPr>
          <w:p>
            <w:pPr>
              <w:spacing w:before="20" w:after="20"/>
              <w:ind w:left="72"/>
            </w:pPr>
            <w:r>
              <w:rPr>
                <w:b w:val="0"/>
                <w:i w:val="0"/>
                <w:color w:val="000000"/>
                <w:sz w:val="18"/>
              </w:rPr>
              <w:t>Enterprise Value Indicated</w:t>
            </w:r>
          </w:p>
        </w:tc>
        <w:tc>
          <w:tcPr>
            <w:tcW w:type="dxa" w:w="6854"/>
            <w:vAlign w:val="center"/>
          </w:tcPr>
          <w:p>
            <w:pPr>
              <w:spacing w:before="20" w:after="20"/>
              <w:ind w:left="72"/>
            </w:pPr>
            <w:r>
              <w:rPr>
                <w:b w:val="0"/>
                <w:i w:val="0"/>
                <w:color w:val="000000"/>
                <w:sz w:val="18"/>
              </w:rPr>
              <w:t>None</w:t>
            </w:r>
          </w:p>
        </w:tc>
      </w:tr>
      <w:tr>
        <w:trPr>
          <w:trHeight w:val="260"/>
        </w:trPr>
        <w:tc>
          <w:tcPr>
            <w:tcW w:type="dxa" w:w="3226"/>
            <w:vAlign w:val="center"/>
            <w:shd w:val="clear" w:color="auto" w:fill="EEF3FA"/>
          </w:tcPr>
          <w:p>
            <w:pPr>
              <w:spacing w:before="20" w:after="20"/>
              <w:ind w:left="72"/>
            </w:pPr>
            <w:r>
              <w:rPr>
                <w:b w:val="0"/>
                <w:i w:val="0"/>
                <w:color w:val="000000"/>
                <w:sz w:val="18"/>
              </w:rPr>
              <w:t>Rule of 40</w:t>
            </w:r>
          </w:p>
        </w:tc>
        <w:tc>
          <w:tcPr>
            <w:tcW w:type="dxa" w:w="6854"/>
            <w:vAlign w:val="center"/>
            <w:shd w:val="clear" w:color="auto" w:fill="EEF3FA"/>
          </w:tcPr>
          <w:p>
            <w:pPr>
              <w:spacing w:before="20" w:after="20"/>
              <w:ind w:left="72"/>
            </w:pPr>
            <w:r>
              <w:rPr>
                <w:b w:val="0"/>
                <w:i w:val="0"/>
                <w:color w:val="000000"/>
                <w:sz w:val="18"/>
              </w:rPr>
              <w:t>None</w:t>
            </w:r>
          </w:p>
        </w:tc>
      </w:tr>
      <w:tr>
        <w:trPr>
          <w:trHeight w:val="260"/>
        </w:trPr>
        <w:tc>
          <w:tcPr>
            <w:tcW w:type="dxa" w:w="3226"/>
            <w:vAlign w:val="center"/>
          </w:tcPr>
          <w:p>
            <w:pPr>
              <w:spacing w:before="20" w:after="20"/>
              <w:ind w:left="72"/>
            </w:pPr>
            <w:r>
              <w:rPr>
                <w:b w:val="0"/>
                <w:i w:val="0"/>
                <w:color w:val="000000"/>
                <w:sz w:val="18"/>
              </w:rPr>
              <w:t>Confidence Level</w:t>
            </w:r>
          </w:p>
        </w:tc>
        <w:tc>
          <w:tcPr>
            <w:tcW w:type="dxa" w:w="685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Vertical Overlay</w:t>
            </w:r>
          </w:p>
        </w:tc>
        <w:tc>
          <w:tcPr>
            <w:tcW w:type="dxa" w:w="6854"/>
            <w:vAlign w:val="center"/>
            <w:shd w:val="clear" w:color="auto" w:fill="EEF3FA"/>
          </w:tcPr>
          <w:p>
            <w:pPr>
              <w:spacing w:before="20" w:after="20"/>
              <w:ind w:left="72"/>
            </w:pPr>
            <w:r>
              <w:rPr>
                <w:b w:val="0"/>
                <w:i w:val="0"/>
                <w:color w:val="000000"/>
                <w:sz w:val="18"/>
              </w:rPr>
              <w:t>healthcare_services</w:t>
            </w:r>
          </w:p>
        </w:tc>
      </w:tr>
    </w:tbl>
    <w:p>
      <w:pPr>
        <w:spacing w:before="40" w:after="40"/>
      </w:pPr>
    </w:p>
    <w:p>
      <w:pPr>
        <w:spacing w:before="80" w:after="80"/>
        <w:pBdr>
          <w:bottom w:val="single" w:sz="4" w:space="1" w:color="1F3864"/>
        </w:pBdr>
      </w:pPr>
    </w:p>
    <w:p>
      <w:pPr>
        <w:spacing w:before="0" w:after="80"/>
        <w:jc w:val="center"/>
      </w:pPr>
      <w:r>
        <w:rPr>
          <w:b/>
          <w:color w:val="1F3864"/>
          <w:sz w:val="40"/>
        </w:rPr>
        <w:t>1. Business Model Overview</w:t>
      </w:r>
    </w:p>
    <w:p>
      <w:pPr>
        <w:spacing w:before="240" w:after="60"/>
        <w:pBdr>
          <w:bottom w:val="single" w:sz="8" w:space="1" w:color="1F3864"/>
        </w:pBdr>
      </w:pPr>
      <w:r>
        <w:rPr>
          <w:b/>
          <w:color w:val="1F3864"/>
          <w:sz w:val="26"/>
        </w:rPr>
        <w:t>Overview</w:t>
      </w:r>
    </w:p>
    <w:p>
      <w:pPr>
        <w:spacing w:before="20" w:after="20"/>
        <w:ind w:left="360" w:hanging="259"/>
      </w:pPr>
      <w:r>
        <w:rPr>
          <w:color w:val="000000"/>
          <w:sz w:val="19"/>
        </w:rPr>
        <w:t xml:space="preserve">• </w:t>
      </w:r>
      <w:r>
        <w:rPr>
          <w:b w:val="0"/>
          <w:i w:val="0"/>
          <w:color w:val="000000"/>
          <w:sz w:val="19"/>
        </w:rPr>
        <w:t>Home Health Aides (Unskilled Care)</w:t>
      </w:r>
    </w:p>
    <w:p>
      <w:pPr>
        <w:spacing w:before="20" w:after="20"/>
        <w:ind w:left="360" w:hanging="259"/>
      </w:pPr>
      <w:r>
        <w:rPr>
          <w:color w:val="000000"/>
          <w:sz w:val="19"/>
        </w:rPr>
        <w:t xml:space="preserve">• </w:t>
      </w:r>
      <w:r>
        <w:rPr>
          <w:b w:val="0"/>
          <w:i w:val="0"/>
          <w:color w:val="000000"/>
          <w:sz w:val="19"/>
        </w:rPr>
        <w:t>Live-In Care (24-hour daily billing)</w:t>
      </w:r>
    </w:p>
    <w:p>
      <w:pPr>
        <w:spacing w:before="20" w:after="20"/>
        <w:ind w:left="360" w:hanging="259"/>
      </w:pPr>
      <w:r>
        <w:rPr>
          <w:color w:val="000000"/>
          <w:sz w:val="19"/>
        </w:rPr>
        <w:t xml:space="preserve">• </w:t>
      </w:r>
      <w:r>
        <w:rPr>
          <w:b w:val="0"/>
          <w:i w:val="0"/>
          <w:color w:val="000000"/>
          <w:sz w:val="19"/>
        </w:rPr>
        <w:t>Nursing Services (RN)</w:t>
      </w:r>
    </w:p>
    <w:p>
      <w:pPr>
        <w:spacing w:before="80" w:after="80"/>
        <w:pBdr>
          <w:bottom w:val="single" w:sz="4" w:space="1" w:color="1F3864"/>
        </w:pBdr>
      </w:pPr>
    </w:p>
    <w:p>
      <w:pPr>
        <w:spacing w:before="240" w:after="60"/>
        <w:pBdr>
          <w:bottom w:val="single" w:sz="8" w:space="1" w:color="1F3864"/>
        </w:pBdr>
      </w:pPr>
      <w:r>
        <w:rPr>
          <w:b/>
          <w:color w:val="1F3864"/>
          <w:sz w:val="26"/>
        </w:rPr>
        <w:t>Revenue Model</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Attribute</w:t>
            </w:r>
          </w:p>
        </w:tc>
        <w:tc>
          <w:tcPr>
            <w:tcW w:type="dxa" w:w="6854"/>
            <w:vAlign w:val="center"/>
            <w:shd w:val="clear" w:color="auto" w:fill="1F3864"/>
          </w:tcPr>
          <w:p>
            <w:pPr>
              <w:spacing w:before="20" w:after="20"/>
              <w:ind w:left="72"/>
            </w:pPr>
            <w:r>
              <w:rPr>
                <w:b/>
                <w:i w:val="0"/>
                <w:color w:val="FFFFFF"/>
                <w:sz w:val="18"/>
              </w:rPr>
              <w:t>Assessment</w:t>
            </w:r>
          </w:p>
        </w:tc>
      </w:tr>
      <w:tr>
        <w:trPr>
          <w:trHeight w:val="260"/>
        </w:trPr>
        <w:tc>
          <w:tcPr>
            <w:tcW w:type="dxa" w:w="3226"/>
            <w:vAlign w:val="center"/>
          </w:tcPr>
          <w:p>
            <w:pPr>
              <w:spacing w:before="20" w:after="20"/>
              <w:ind w:left="72"/>
            </w:pPr>
            <w:r>
              <w:rPr>
                <w:b w:val="0"/>
                <w:i w:val="0"/>
                <w:color w:val="000000"/>
                <w:sz w:val="18"/>
              </w:rPr>
              <w:t>Tag</w:t>
            </w:r>
          </w:p>
        </w:tc>
        <w:tc>
          <w:tcPr>
            <w:tcW w:type="dxa" w:w="6854"/>
            <w:vAlign w:val="center"/>
          </w:tcPr>
          <w:p>
            <w:pPr>
              <w:spacing w:before="20" w:after="20"/>
              <w:ind w:left="72"/>
            </w:pPr>
            <w:r>
              <w:rPr>
                <w:b w:val="0"/>
                <w:i w:val="0"/>
                <w:color w:val="000000"/>
                <w:sz w:val="18"/>
              </w:rPr>
              <w:t>repeat_services</w:t>
            </w:r>
          </w:p>
        </w:tc>
      </w:tr>
      <w:tr>
        <w:trPr>
          <w:trHeight w:val="260"/>
        </w:trPr>
        <w:tc>
          <w:tcPr>
            <w:tcW w:type="dxa" w:w="3226"/>
            <w:vAlign w:val="center"/>
            <w:shd w:val="clear" w:color="auto" w:fill="EEF3FA"/>
          </w:tcPr>
          <w:p>
            <w:pPr>
              <w:spacing w:before="20" w:after="20"/>
              <w:ind w:left="72"/>
            </w:pPr>
            <w:r>
              <w:rPr>
                <w:b w:val="0"/>
                <w:i w:val="0"/>
                <w:color w:val="000000"/>
                <w:sz w:val="18"/>
              </w:rPr>
              <w:t>Quality Flag</w:t>
            </w:r>
          </w:p>
        </w:tc>
        <w:tc>
          <w:tcPr>
            <w:tcW w:type="dxa" w:w="6854"/>
            <w:vAlign w:val="center"/>
            <w:shd w:val="clear" w:color="auto" w:fill="EEF3FA"/>
          </w:tcPr>
          <w:p>
            <w:pPr>
              <w:spacing w:before="20" w:after="20"/>
              <w:ind w:left="72"/>
            </w:pPr>
            <w:r>
              <w:rPr>
                <w:b w:val="0"/>
                <w:i w:val="0"/>
                <w:color w:val="000000"/>
                <w:sz w:val="18"/>
              </w:rPr>
              <w:t>Yellow</w:t>
            </w:r>
          </w:p>
        </w:tc>
      </w:tr>
    </w:tbl>
    <w:p>
      <w:pPr>
        <w:spacing w:before="40" w:after="40"/>
      </w:pPr>
    </w:p>
    <w:p>
      <w:pPr>
        <w:spacing w:before="160" w:after="40"/>
      </w:pPr>
      <w:r>
        <w:rPr>
          <w:b/>
          <w:color w:val="2E75B6"/>
          <w:sz w:val="22"/>
        </w:rPr>
        <w:t>Assessment</w:t>
      </w:r>
    </w:p>
    <w:p>
      <w:pPr>
        <w:spacing w:before="40" w:after="40"/>
      </w:pPr>
      <w:r>
        <w:rPr>
          <w:b w:val="0"/>
          <w:i w:val="0"/>
          <w:color w:val="000000"/>
          <w:sz w:val="19"/>
        </w:rPr>
        <w:t>Elder Care provides coordinated home care services through a refined practice model. Revenue is driven by repeat, non-contracted but habitual home care engagements (care management, caregiver coordination, nursing services) billed hourly or daily across multiple payor types.</w:t>
      </w:r>
    </w:p>
    <w:p>
      <w:pPr>
        <w:spacing w:before="80" w:after="80"/>
        <w:pBdr>
          <w:bottom w:val="single" w:sz="4" w:space="1" w:color="1F3864"/>
        </w:pBdr>
      </w:pPr>
    </w:p>
    <w:p>
      <w:pPr>
        <w:spacing w:before="240" w:after="60"/>
        <w:pBdr>
          <w:bottom w:val="single" w:sz="8" w:space="1" w:color="1F3864"/>
        </w:pBdr>
      </w:pPr>
      <w:r>
        <w:rPr>
          <w:b/>
          <w:color w:val="1F3864"/>
          <w:sz w:val="26"/>
        </w:rPr>
        <w:t>Recent Business Model Changes</w:t>
      </w:r>
    </w:p>
    <w:p>
      <w:pPr>
        <w:spacing w:before="40" w:after="40"/>
      </w:pPr>
      <w:r>
        <w:rPr>
          <w:b w:val="0"/>
          <w:i/>
          <w:color w:val="000000"/>
          <w:sz w:val="19"/>
        </w:rPr>
        <w:t>No recent changes identified or section not yet synthesized.</w:t>
      </w:r>
    </w:p>
    <w:p>
      <w:pPr>
        <w:spacing w:before="80" w:after="80"/>
        <w:pBdr>
          <w:bottom w:val="single" w:sz="4" w:space="1" w:color="1F3864"/>
        </w:pBdr>
      </w:pPr>
    </w:p>
    <w:p>
      <w:pPr>
        <w:spacing w:before="0" w:after="80"/>
        <w:jc w:val="center"/>
      </w:pPr>
      <w:r>
        <w:rPr>
          <w:b/>
          <w:color w:val="1F3864"/>
          <w:sz w:val="40"/>
        </w:rPr>
        <w:t>2. Customer Quality &amp; Concentration</w:t>
      </w:r>
    </w:p>
    <w:p>
      <w:pPr>
        <w:spacing w:before="240" w:after="60"/>
        <w:pBdr>
          <w:bottom w:val="single" w:sz="8" w:space="1" w:color="1F3864"/>
        </w:pBdr>
      </w:pPr>
      <w:r>
        <w:rPr>
          <w:b/>
          <w:color w:val="1F3864"/>
          <w:sz w:val="26"/>
        </w:rPr>
        <w:t>Overall Assessment</w:t>
      </w:r>
    </w:p>
    <w:p>
      <w:pPr>
        <w:spacing w:before="40" w:after="40"/>
      </w:pPr>
      <w:r>
        <w:rPr>
          <w:b w:val="0"/>
          <w:i/>
          <w:color w:val="000000"/>
          <w:sz w:val="19"/>
        </w:rPr>
        <w:t>Customer quality narrative not yet available — concentration data may be a known gap.</w:t>
      </w:r>
    </w:p>
    <w:p>
      <w:pPr>
        <w:spacing w:before="80" w:after="80"/>
        <w:pBdr>
          <w:bottom w:val="single" w:sz="4" w:space="1" w:color="1F3864"/>
        </w:pBdr>
      </w:pPr>
    </w:p>
    <w:p>
      <w:pPr>
        <w:spacing w:before="240" w:after="60"/>
        <w:pBdr>
          <w:bottom w:val="single" w:sz="8" w:space="1" w:color="1F3864"/>
        </w:pBdr>
      </w:pPr>
      <w:r>
        <w:rPr>
          <w:b/>
          <w:color w:val="1F3864"/>
          <w:sz w:val="26"/>
        </w:rPr>
        <w:t>Concentration &amp; Mix</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Topic</w:t>
            </w:r>
          </w:p>
        </w:tc>
        <w:tc>
          <w:tcPr>
            <w:tcW w:type="dxa" w:w="6854"/>
            <w:vAlign w:val="center"/>
            <w:shd w:val="clear" w:color="auto" w:fill="1F3864"/>
          </w:tcPr>
          <w:p>
            <w:pPr>
              <w:spacing w:before="20" w:after="20"/>
              <w:ind w:left="72"/>
            </w:pPr>
            <w:r>
              <w:rPr>
                <w:b/>
                <w:i w:val="0"/>
                <w:color w:val="FFFFFF"/>
                <w:sz w:val="18"/>
              </w:rPr>
              <w:t>Notes</w:t>
            </w:r>
          </w:p>
        </w:tc>
      </w:tr>
      <w:tr>
        <w:trPr>
          <w:trHeight w:val="260"/>
        </w:trPr>
        <w:tc>
          <w:tcPr>
            <w:tcW w:type="dxa" w:w="3226"/>
            <w:vAlign w:val="center"/>
          </w:tcPr>
          <w:p>
            <w:pPr>
              <w:spacing w:before="20" w:after="20"/>
              <w:ind w:left="72"/>
            </w:pPr>
            <w:r>
              <w:rPr>
                <w:b w:val="0"/>
                <w:i w:val="0"/>
                <w:color w:val="000000"/>
                <w:sz w:val="18"/>
              </w:rPr>
              <w:t>Concentration</w:t>
            </w:r>
          </w:p>
        </w:tc>
        <w:tc>
          <w:tcPr>
            <w:tcW w:type="dxa" w:w="6854"/>
            <w:vAlign w:val="center"/>
          </w:tcPr>
          <w:p>
            <w:pPr>
              <w:spacing w:before="20" w:after="20"/>
              <w:ind w:left="72"/>
            </w:pPr>
          </w:p>
        </w:tc>
      </w:tr>
      <w:tr>
        <w:trPr>
          <w:trHeight w:val="260"/>
        </w:trPr>
        <w:tc>
          <w:tcPr>
            <w:tcW w:type="dxa" w:w="3226"/>
            <w:vAlign w:val="center"/>
            <w:shd w:val="clear" w:color="auto" w:fill="EEF3FA"/>
          </w:tcPr>
          <w:p>
            <w:pPr>
              <w:spacing w:before="20" w:after="20"/>
              <w:ind w:left="72"/>
            </w:pPr>
            <w:r>
              <w:rPr>
                <w:b w:val="0"/>
                <w:i w:val="0"/>
                <w:color w:val="000000"/>
                <w:sz w:val="18"/>
              </w:rPr>
              <w:t>End Market Mix</w:t>
            </w:r>
          </w:p>
        </w:tc>
        <w:tc>
          <w:tcPr>
            <w:tcW w:type="dxa" w:w="6854"/>
            <w:vAlign w:val="center"/>
            <w:shd w:val="clear" w:color="auto" w:fill="EEF3FA"/>
          </w:tcPr>
          <w:p>
            <w:pPr>
              <w:spacing w:before="20" w:after="20"/>
              <w:ind w:left="72"/>
            </w:pPr>
          </w:p>
        </w:tc>
      </w:tr>
      <w:tr>
        <w:trPr>
          <w:trHeight w:val="260"/>
        </w:trPr>
        <w:tc>
          <w:tcPr>
            <w:tcW w:type="dxa" w:w="3226"/>
            <w:vAlign w:val="center"/>
          </w:tcPr>
          <w:p>
            <w:pPr>
              <w:spacing w:before="20" w:after="20"/>
              <w:ind w:left="72"/>
            </w:pPr>
            <w:r>
              <w:rPr>
                <w:b w:val="0"/>
                <w:i w:val="0"/>
                <w:color w:val="000000"/>
                <w:sz w:val="18"/>
              </w:rPr>
              <w:t>Retention Notes</w:t>
            </w:r>
          </w:p>
        </w:tc>
        <w:tc>
          <w:tcPr>
            <w:tcW w:type="dxa" w:w="6854"/>
            <w:vAlign w:val="center"/>
          </w:tcPr>
          <w:p>
            <w:pPr>
              <w:spacing w:before="20" w:after="20"/>
              <w:ind w:left="72"/>
            </w:pP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Data Room Gaps (Customer Quality)</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Request</w:t>
            </w:r>
          </w:p>
        </w:tc>
        <w:tc>
          <w:tcPr>
            <w:tcW w:type="dxa" w:w="6854"/>
            <w:vAlign w:val="center"/>
            <w:shd w:val="clear" w:color="auto" w:fill="1F3864"/>
          </w:tcPr>
          <w:p>
            <w:pPr>
              <w:spacing w:before="20" w:after="20"/>
              <w:ind w:left="72"/>
            </w:pPr>
            <w:r>
              <w:rPr>
                <w:b/>
                <w:i w:val="0"/>
                <w:color w:val="FFFFFF"/>
                <w:sz w:val="18"/>
              </w:rPr>
              <w:t>Priority</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LLM response was truncated by the token limit (Unterminated string starting at: line 651 column 21 (char 24828)). Partial JSON was recovered — records cut off mid-stream are excluded. Consider raising max_tokens or reducing retrieved context size.</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sales_motion tag not extracted — sales process description may be absent from retrieved chunks. Check retrieval coverage of GTM/sales sections.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revenue_visibility has no forward revenue signal — backlog, contracted %, and recurring revenue proxies all null. Flag for management Q&amp;A.</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recent</w:t>
            </w:r>
            <w:r>
              <w:rPr>
                <w:b/>
                <w:i/>
                <w:color w:val="FFFFFF"/>
                <w:sz w:val="18"/>
              </w:rPr>
              <w:t>model</w:t>
            </w:r>
            <w:r>
              <w:rPr>
                <w:b/>
                <w:i w:val="0"/>
                <w:color w:val="FFFFFF"/>
                <w:sz w:val="18"/>
              </w:rPr>
              <w:t>changes is empty — no business model, pricing, GTM, or technology changes extracted. Check retrieval of timeline/MD&amp;A sections.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key_dependencies is empty — vendor, platform, channel, and people dependencies not extracted. Check retrieval coverage.</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healthcare overlay: referral</w:t>
            </w:r>
            <w:r>
              <w:rPr>
                <w:b/>
                <w:i/>
                <w:color w:val="FFFFFF"/>
                <w:sz w:val="18"/>
              </w:rPr>
              <w:t>source</w:t>
            </w:r>
            <w:r>
              <w:rPr>
                <w:b/>
                <w:i w:val="0"/>
                <w:color w:val="FFFFFF"/>
                <w:sz w:val="18"/>
              </w:rPr>
              <w:t>breakdown is empty — customer acquisition channel mix not extracted. Referral source breakdown is a primary KPI for healthcare; check retrieval of sales sections.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healthcare overlay: payor_mix is empty — payor/customer type breakdown not extracted. Required for government payor concentration threshold check.</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Budget vs. actual data was not found in retrieved documents. If the data room includes a management reporting package, board deck, monthly controller report, or rolling forecast, confirm those files are tagged with the FINANCIAL workstream and re-run the agent. Budget vs. actual is required to assess forecast credibility.</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Staff turnover rate not stated — required for healthcare services workforce risk assessment</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Missing KPI [census / active client count]: What is the current total active client census by market/region, and how has it trended monthly over the past 24 months?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Missing KPI [caregiver turnover rate]: What is the annualized caregiver turnover rate (voluntary and involuntary) by market for the past two fiscal years, and how does it compare to industry benchmarks?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Missing KPI [payor mix breakdown]: Can management provide a monthly payor mix breakdown by market for the TTM period, including any shifts in Medicaid Waiver or VA program concentration?</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Missing KPI [AR aging by payor]: Please provide an AR aging schedule segmented by payor class (Private Pay, Medicaid Waiver, LTC Insurance, VA) as of the most recent month-end, including DSO by payor.</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Missing KPI [referral source breakdown]: What percentage of new client starts are attributable to each referral source category (hospital/SNF discharge, ALF/senior community, physician, family/self-referral, other) over the past 12 months?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Missing KPI [hours billed per active client (utilization/productivity)]: What is the average weekly hours billed per active client by service type (companion, personal care, skilled nursing) and by market for the TTM period?</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Missing KPI [compliance incidents (audits, adverse surveys, licensing, litigation, billing/coding)]: Has the company received any state or federal audit findings, adverse survey results, licensing actions, billing/coding inquiries, or litigation (including employment claims) in the past five years? Please provide documentation.</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Missing KPI [revenue per caregiver FTE]: What is the current total caregiver FTE count (W-2 hours basis) by market, and what is the implied revenue per caregiver FTE for the TTM period?</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contract</w:t>
            </w:r>
            <w:r>
              <w:rPr>
                <w:b/>
                <w:i/>
                <w:color w:val="FFFFFF"/>
                <w:sz w:val="18"/>
              </w:rPr>
              <w:t>trigger</w:t>
            </w:r>
            <w:r>
              <w:rPr>
                <w:b/>
                <w:i w:val="0"/>
                <w:color w:val="FFFFFF"/>
                <w:sz w:val="18"/>
              </w:rPr>
              <w:t>list not found — Customer Quality Agent has not run or returned no material customers. Legal Agent proceeding without triggered reviews.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t4c: chunks retrieved but no extractable terms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coc: chunks retrieved but no extractable terms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platform: chunks retrieved but no extractable terms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ip: chunks retrieved but no extractable terms</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Customer contracts — termination for convenience</w:t>
            </w:r>
          </w:p>
        </w:tc>
        <w:tc>
          <w:tcPr>
            <w:tcW w:type="dxa" w:w="6854"/>
            <w:vAlign w:val="center"/>
            <w:shd w:val="clear" w:color="auto" w:fill="1F3864"/>
          </w:tcPr>
          <w:p>
            <w:pPr>
              <w:spacing w:before="20" w:after="20"/>
              <w:ind w:left="72"/>
            </w:pPr>
            <w:r>
              <w:rPr>
                <w:b/>
                <w:i w:val="0"/>
                <w:color w:val="FFFFFF"/>
                <w:sz w:val="18"/>
              </w:rPr>
              <w:t>high (gap_correct)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Change-of-control clauses</w:t>
            </w:r>
          </w:p>
        </w:tc>
        <w:tc>
          <w:tcPr>
            <w:tcW w:type="dxa" w:w="6854"/>
            <w:vAlign w:val="center"/>
            <w:shd w:val="clear" w:color="auto" w:fill="1F3864"/>
          </w:tcPr>
          <w:p>
            <w:pPr>
              <w:spacing w:before="20" w:after="20"/>
              <w:ind w:left="72"/>
            </w:pPr>
            <w:r>
              <w:rPr>
                <w:b/>
                <w:i w:val="0"/>
                <w:color w:val="FFFFFF"/>
                <w:sz w:val="18"/>
              </w:rPr>
              <w:t>high (gap_correct)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Platform / reseller / channel dependencies</w:t>
            </w:r>
          </w:p>
        </w:tc>
        <w:tc>
          <w:tcPr>
            <w:tcW w:type="dxa" w:w="6854"/>
            <w:vAlign w:val="center"/>
            <w:shd w:val="clear" w:color="auto" w:fill="1F3864"/>
          </w:tcPr>
          <w:p>
            <w:pPr>
              <w:spacing w:before="20" w:after="20"/>
              <w:ind w:left="72"/>
            </w:pPr>
            <w:r>
              <w:rPr>
                <w:b/>
                <w:i w:val="0"/>
                <w:color w:val="FFFFFF"/>
                <w:sz w:val="18"/>
              </w:rPr>
              <w:t>high (gap_correct)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IP ownership, assignment, OSS</w:t>
            </w:r>
          </w:p>
        </w:tc>
        <w:tc>
          <w:tcPr>
            <w:tcW w:type="dxa" w:w="6854"/>
            <w:vAlign w:val="center"/>
            <w:shd w:val="clear" w:color="auto" w:fill="1F3864"/>
          </w:tcPr>
          <w:p>
            <w:pPr>
              <w:spacing w:before="20" w:after="20"/>
              <w:ind w:left="72"/>
            </w:pPr>
            <w:r>
              <w:rPr>
                <w:b/>
                <w:i w:val="0"/>
                <w:color w:val="FFFFFF"/>
                <w:sz w:val="18"/>
              </w:rPr>
              <w:t>high (gap_correct)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No QofE report found in VDR — flag as data room gap</w:t>
            </w:r>
          </w:p>
        </w:tc>
        <w:tc>
          <w:tcPr>
            <w:tcW w:type="dxa" w:w="6854"/>
            <w:vAlign w:val="center"/>
            <w:shd w:val="clear" w:color="auto" w:fill="1F3864"/>
          </w:tcPr>
          <w:p>
            <w:pPr>
              <w:spacing w:before="20" w:after="20"/>
              <w:ind w:left="72"/>
            </w:pPr>
            <w:r>
              <w:rPr>
                <w:b/>
                <w:i w:val="0"/>
                <w:color w:val="FFFFFF"/>
                <w:sz w:val="18"/>
              </w:rPr>
              <w:t>medium (filled_cited)</w:t>
            </w:r>
          </w:p>
        </w:tc>
      </w:tr>
    </w:tbl>
    <w:p>
      <w:pPr>
        <w:spacing w:before="40" w:after="40"/>
      </w:pPr>
    </w:p>
    <w:p>
      <w:pPr>
        <w:spacing w:before="80" w:after="80"/>
        <w:pBdr>
          <w:bottom w:val="single" w:sz="4" w:space="1" w:color="1F3864"/>
        </w:pBdr>
      </w:pPr>
    </w:p>
    <w:p>
      <w:pPr>
        <w:spacing w:before="0" w:after="80"/>
        <w:jc w:val="center"/>
      </w:pPr>
      <w:r>
        <w:rPr>
          <w:b/>
          <w:color w:val="1F3864"/>
          <w:sz w:val="40"/>
        </w:rPr>
        <w:t>3. Financial Trend Analysis</w:t>
      </w:r>
    </w:p>
    <w:p>
      <w:pPr>
        <w:spacing w:before="240" w:after="60"/>
        <w:pBdr>
          <w:bottom w:val="single" w:sz="8" w:space="1" w:color="1F3864"/>
        </w:pBdr>
      </w:pPr>
      <w:r>
        <w:rPr>
          <w:b/>
          <w:color w:val="1F3864"/>
          <w:sz w:val="26"/>
        </w:rPr>
        <w:t>Revenue &amp; EBITDA Trend</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Year</w:t>
            </w:r>
          </w:p>
        </w:tc>
        <w:tc>
          <w:tcPr>
            <w:tcW w:type="dxa" w:w="1371"/>
            <w:vAlign w:val="center"/>
            <w:shd w:val="clear" w:color="auto" w:fill="1F3864"/>
          </w:tcPr>
          <w:p>
            <w:pPr>
              <w:spacing w:before="20" w:after="20"/>
              <w:ind w:left="72"/>
            </w:pPr>
            <w:r>
              <w:rPr>
                <w:b/>
                <w:i w:val="0"/>
                <w:color w:val="FFFFFF"/>
                <w:sz w:val="18"/>
              </w:rPr>
              <w:t>Revenue</w:t>
            </w:r>
          </w:p>
        </w:tc>
        <w:tc>
          <w:tcPr>
            <w:tcW w:type="dxa" w:w="1371"/>
            <w:vAlign w:val="center"/>
            <w:shd w:val="clear" w:color="auto" w:fill="1F3864"/>
          </w:tcPr>
          <w:p>
            <w:pPr>
              <w:spacing w:before="20" w:after="20"/>
              <w:ind w:left="72"/>
            </w:pPr>
            <w:r>
              <w:rPr>
                <w:b/>
                <w:i w:val="0"/>
                <w:color w:val="FFFFFF"/>
                <w:sz w:val="18"/>
              </w:rPr>
              <w:t>Gross Profit</w:t>
            </w:r>
          </w:p>
        </w:tc>
        <w:tc>
          <w:tcPr>
            <w:tcW w:type="dxa" w:w="1371"/>
            <w:vAlign w:val="center"/>
            <w:shd w:val="clear" w:color="auto" w:fill="1F3864"/>
          </w:tcPr>
          <w:p>
            <w:pPr>
              <w:spacing w:before="20" w:after="20"/>
              <w:ind w:left="72"/>
            </w:pPr>
            <w:r>
              <w:rPr>
                <w:b/>
                <w:i w:val="0"/>
                <w:color w:val="FFFFFF"/>
                <w:sz w:val="18"/>
              </w:rPr>
              <w:t>Gross Margin</w:t>
            </w:r>
          </w:p>
        </w:tc>
        <w:tc>
          <w:tcPr>
            <w:tcW w:type="dxa" w:w="1371"/>
            <w:vAlign w:val="center"/>
            <w:shd w:val="clear" w:color="auto" w:fill="1F3864"/>
          </w:tcPr>
          <w:p>
            <w:pPr>
              <w:spacing w:before="20" w:after="20"/>
              <w:ind w:left="72"/>
            </w:pPr>
            <w:r>
              <w:rPr>
                <w:b/>
                <w:i w:val="0"/>
                <w:color w:val="FFFFFF"/>
                <w:sz w:val="18"/>
              </w:rPr>
              <w:t>EBITDA</w:t>
            </w:r>
          </w:p>
        </w:tc>
        <w:tc>
          <w:tcPr>
            <w:tcW w:type="dxa" w:w="1371"/>
            <w:vAlign w:val="center"/>
            <w:shd w:val="clear" w:color="auto" w:fill="1F3864"/>
          </w:tcPr>
          <w:p>
            <w:pPr>
              <w:spacing w:before="20" w:after="20"/>
              <w:ind w:left="72"/>
            </w:pPr>
            <w:r>
              <w:rPr>
                <w:b/>
                <w:i w:val="0"/>
                <w:color w:val="FFFFFF"/>
                <w:sz w:val="18"/>
              </w:rPr>
              <w:t>EBITDA Margin</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2020A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42.1%</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36.6%</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2021A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44.3%</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33.4%</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2022A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44.0%</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31.4%</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2023A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42.6%</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30.3%</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TTM Aug-24</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41.4%</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30.0%</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2020A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42.1%</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36.6%</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2021A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44.3%</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33.4%</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2022A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44.0%</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31.4%</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2023A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42.6%</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30.3%</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TTM Aug-24</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41.4%</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30.0%</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2024E</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41.7%</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2023A</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42.6%</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30.3%</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Observations</w:t>
      </w:r>
    </w:p>
    <w:p>
      <w:pPr>
        <w:spacing w:before="40" w:after="40"/>
      </w:pPr>
      <w:r>
        <w:rPr>
          <w:b w:val="0"/>
          <w:i/>
          <w:color w:val="000000"/>
          <w:sz w:val="19"/>
        </w:rPr>
        <w:t>No financial observations synthesized yet.</w:t>
      </w:r>
    </w:p>
    <w:p>
      <w:pPr>
        <w:spacing w:before="80" w:after="80"/>
        <w:pBdr>
          <w:bottom w:val="single" w:sz="4" w:space="1" w:color="1F3864"/>
        </w:pBdr>
      </w:pPr>
    </w:p>
    <w:p>
      <w:pPr>
        <w:spacing w:before="240" w:after="60"/>
        <w:pBdr>
          <w:bottom w:val="single" w:sz="8" w:space="1" w:color="1F3864"/>
        </w:pBdr>
      </w:pPr>
      <w:r>
        <w:rPr>
          <w:b/>
          <w:color w:val="1F3864"/>
          <w:sz w:val="26"/>
        </w:rPr>
        <w:t>Geographic Revenue Mix</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Market</w:t>
            </w:r>
          </w:p>
        </w:tc>
        <w:tc>
          <w:tcPr>
            <w:tcW w:type="dxa" w:w="6854"/>
            <w:vAlign w:val="center"/>
            <w:shd w:val="clear" w:color="auto" w:fill="1F3864"/>
          </w:tcPr>
          <w:p>
            <w:pPr>
              <w:spacing w:before="20" w:after="20"/>
              <w:ind w:left="72"/>
            </w:pPr>
            <w:r>
              <w:rPr>
                <w:b/>
                <w:i w:val="0"/>
                <w:color w:val="FFFFFF"/>
                <w:sz w:val="18"/>
              </w:rPr>
              <w:t>Revenue</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w:t>
            </w:r>
          </w:p>
        </w:tc>
      </w:tr>
    </w:tbl>
    <w:p>
      <w:pPr>
        <w:spacing w:before="40" w:after="40"/>
      </w:pPr>
    </w:p>
    <w:p>
      <w:pPr>
        <w:spacing w:before="80" w:after="80"/>
        <w:pBdr>
          <w:bottom w:val="single" w:sz="4" w:space="1" w:color="1F3864"/>
        </w:pBdr>
      </w:pPr>
    </w:p>
    <w:p>
      <w:pPr>
        <w:spacing w:before="0" w:after="80"/>
        <w:jc w:val="center"/>
      </w:pPr>
      <w:r>
        <w:rPr>
          <w:b/>
          <w:color w:val="1F3864"/>
          <w:sz w:val="40"/>
        </w:rPr>
        <w:t>4. KPI Assessment</w:t>
      </w:r>
    </w:p>
    <w:p>
      <w:pPr>
        <w:spacing w:before="240" w:after="60"/>
        <w:pBdr>
          <w:bottom w:val="single" w:sz="8" w:space="1" w:color="1F3864"/>
        </w:pBdr>
      </w:pPr>
      <w:r>
        <w:rPr>
          <w:b/>
          <w:color w:val="1F3864"/>
          <w:sz w:val="26"/>
        </w:rPr>
        <w:t>Available KPIs</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KPI</w:t>
            </w:r>
          </w:p>
        </w:tc>
        <w:tc>
          <w:tcPr>
            <w:tcW w:type="dxa" w:w="1371"/>
            <w:vAlign w:val="center"/>
            <w:shd w:val="clear" w:color="auto" w:fill="1F3864"/>
          </w:tcPr>
          <w:p>
            <w:pPr>
              <w:spacing w:before="20" w:after="20"/>
              <w:ind w:left="72"/>
            </w:pPr>
            <w:r>
              <w:rPr>
                <w:b/>
                <w:i w:val="0"/>
                <w:color w:val="FFFFFF"/>
                <w:sz w:val="18"/>
              </w:rPr>
              <w:t>Value</w:t>
            </w:r>
          </w:p>
        </w:tc>
        <w:tc>
          <w:tcPr>
            <w:tcW w:type="dxa" w:w="1371"/>
            <w:vAlign w:val="center"/>
            <w:shd w:val="clear" w:color="auto" w:fill="1F3864"/>
          </w:tcPr>
          <w:p>
            <w:pPr>
              <w:spacing w:before="20" w:after="20"/>
              <w:ind w:left="72"/>
            </w:pPr>
            <w:r>
              <w:rPr>
                <w:b/>
                <w:i w:val="0"/>
                <w:color w:val="FFFFFF"/>
                <w:sz w:val="18"/>
              </w:rPr>
              <w:t>Threshold</w:t>
            </w:r>
          </w:p>
        </w:tc>
        <w:tc>
          <w:tcPr>
            <w:tcW w:type="dxa" w:w="1371"/>
            <w:vAlign w:val="center"/>
            <w:shd w:val="clear" w:color="auto" w:fill="1F3864"/>
          </w:tcPr>
          <w:p>
            <w:pPr>
              <w:spacing w:before="20" w:after="20"/>
              <w:ind w:left="72"/>
            </w:pPr>
            <w:r>
              <w:rPr>
                <w:b/>
                <w:i w:val="0"/>
                <w:color w:val="FFFFFF"/>
                <w:sz w:val="18"/>
              </w:rPr>
              <w:t>Flag</w:t>
            </w:r>
          </w:p>
        </w:tc>
        <w:tc>
          <w:tcPr>
            <w:tcW w:type="dxa" w:w="1371"/>
            <w:vAlign w:val="center"/>
            <w:shd w:val="clear" w:color="auto" w:fill="1F3864"/>
          </w:tcPr>
          <w:p>
            <w:pPr>
              <w:spacing w:before="20" w:after="20"/>
              <w:ind w:left="72"/>
            </w:pPr>
            <w:r>
              <w:rPr>
                <w:b/>
                <w:i w:val="0"/>
                <w:color w:val="FFFFFF"/>
                <w:sz w:val="18"/>
              </w:rPr>
              <w:t>Confidence</w:t>
            </w:r>
          </w:p>
        </w:tc>
        <w:tc>
          <w:tcPr>
            <w:tcW w:type="dxa" w:w="1371"/>
            <w:vAlign w:val="center"/>
            <w:shd w:val="clear" w:color="auto" w:fill="1F3864"/>
          </w:tcPr>
          <w:p>
            <w:pPr>
              <w:spacing w:before="20" w:after="20"/>
              <w:ind w:left="72"/>
            </w:pPr>
            <w:r>
              <w:rPr>
                <w:b/>
                <w:i w:val="0"/>
                <w:color w:val="FFFFFF"/>
                <w:sz w:val="18"/>
              </w:rPr>
              <w:t>Fill State</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Census Or Patient Panel</w:t>
            </w:r>
          </w:p>
        </w:tc>
        <w:tc>
          <w:tcPr>
            <w:tcW w:type="dxa" w:w="1371"/>
            <w:vAlign w:val="center"/>
            <w:shd w:val="clear" w:color="auto" w:fill="1F3864"/>
          </w:tcPr>
          <w:p>
            <w:pPr>
              <w:spacing w:before="20" w:after="20"/>
              <w:ind w:left="72"/>
            </w:pPr>
            <w:r>
              <w:rPr>
                <w:b/>
                <w:i w:val="0"/>
                <w:color w:val="FFFFFF"/>
                <w:sz w:val="18"/>
              </w:rPr>
              <w:t>73 active CNA/HHA caregivers as of 12/30/23; active caregivers on shifts ranged from 69–76 over July–December 2023</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N/A</w:t>
            </w:r>
          </w:p>
        </w:tc>
        <w:tc>
          <w:tcPr>
            <w:tcW w:type="dxa" w:w="1371"/>
            <w:vAlign w:val="center"/>
            <w:shd w:val="clear" w:color="auto" w:fill="1F3864"/>
          </w:tcPr>
          <w:p>
            <w:pPr>
              <w:spacing w:before="20" w:after="20"/>
              <w:ind w:left="72"/>
            </w:pPr>
            <w:r>
              <w:rPr>
                <w:b/>
                <w:i w:val="0"/>
                <w:color w:val="FFFFFF"/>
                <w:sz w:val="18"/>
              </w:rPr>
              <w:t>low</w:t>
            </w:r>
          </w:p>
        </w:tc>
        <w:tc>
          <w:tcPr>
            <w:tcW w:type="dxa" w:w="1371"/>
            <w:vAlign w:val="center"/>
            <w:shd w:val="clear" w:color="auto" w:fill="1F3864"/>
          </w:tcPr>
          <w:p>
            <w:pPr>
              <w:spacing w:before="20" w:after="20"/>
              <w:ind w:left="72"/>
            </w:pPr>
            <w:r>
              <w:rPr>
                <w:b/>
                <w:i w:val="0"/>
                <w:color w:val="FFFFFF"/>
                <w:sz w:val="18"/>
              </w:rPr>
              <w:t>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Caregiver Headcount</w:t>
            </w:r>
          </w:p>
        </w:tc>
        <w:tc>
          <w:tcPr>
            <w:tcW w:type="dxa" w:w="1371"/>
            <w:vAlign w:val="center"/>
            <w:shd w:val="clear" w:color="auto" w:fill="1F3864"/>
          </w:tcPr>
          <w:p>
            <w:pPr>
              <w:spacing w:before="20" w:after="20"/>
              <w:ind w:left="72"/>
            </w:pPr>
            <w:r>
              <w:rPr>
                <w:b/>
                <w:i w:val="0"/>
                <w:color w:val="FFFFFF"/>
                <w:sz w:val="18"/>
              </w:rPr>
              <w:t>73 active CNA/HHA caregivers as of 12/30/23</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N/A</w:t>
            </w:r>
          </w:p>
        </w:tc>
        <w:tc>
          <w:tcPr>
            <w:tcW w:type="dxa" w:w="1371"/>
            <w:vAlign w:val="center"/>
            <w:shd w:val="clear" w:color="auto" w:fill="1F3864"/>
          </w:tcPr>
          <w:p>
            <w:pPr>
              <w:spacing w:before="20" w:after="20"/>
              <w:ind w:left="72"/>
            </w:pPr>
            <w:r>
              <w:rPr>
                <w:b/>
                <w:i w:val="0"/>
                <w:color w:val="FFFFFF"/>
                <w:sz w:val="18"/>
              </w:rPr>
              <w:t>low</w:t>
            </w:r>
          </w:p>
        </w:tc>
        <w:tc>
          <w:tcPr>
            <w:tcW w:type="dxa" w:w="1371"/>
            <w:vAlign w:val="center"/>
            <w:shd w:val="clear" w:color="auto" w:fill="1F3864"/>
          </w:tcPr>
          <w:p>
            <w:pPr>
              <w:spacing w:before="20" w:after="20"/>
              <w:ind w:left="72"/>
            </w:pPr>
            <w:r>
              <w:rPr>
                <w:b/>
                <w:i w:val="0"/>
                <w:color w:val="FFFFFF"/>
                <w:sz w:val="18"/>
              </w:rPr>
              <w:t>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Utilization Or Productivity Note</w:t>
            </w:r>
          </w:p>
        </w:tc>
        <w:tc>
          <w:tcPr>
            <w:tcW w:type="dxa" w:w="1371"/>
            <w:vAlign w:val="center"/>
            <w:shd w:val="clear" w:color="auto" w:fill="1F3864"/>
          </w:tcPr>
          <w:p>
            <w:pPr>
              <w:spacing w:before="20" w:after="20"/>
              <w:ind w:left="72"/>
            </w:pPr>
            <w:r>
              <w:rPr>
                <w:b/>
                <w:i w:val="0"/>
                <w:color w:val="FFFFFF"/>
                <w:sz w:val="18"/>
              </w:rPr>
              <w:t>KPI dashboard tracks caregivers hired per week by market/region; also tracks % of new hires with no shift by end of first and second month post-hire. Company-wide avg weekly hires: Q1 2025 = 27.6, Q2 2025 = 25.4, Q4 2024 = 22.2. Nursing hires tracked separately across NY, NJ, MA markets.</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N/A</w:t>
            </w:r>
          </w:p>
        </w:tc>
        <w:tc>
          <w:tcPr>
            <w:tcW w:type="dxa" w:w="1371"/>
            <w:vAlign w:val="center"/>
            <w:shd w:val="clear" w:color="auto" w:fill="1F3864"/>
          </w:tcPr>
          <w:p>
            <w:pPr>
              <w:spacing w:before="20" w:after="20"/>
              <w:ind w:left="72"/>
            </w:pPr>
            <w:r>
              <w:rPr>
                <w:b/>
                <w:i w:val="0"/>
                <w:color w:val="FFFFFF"/>
                <w:sz w:val="18"/>
              </w:rPr>
              <w:t>low</w:t>
            </w:r>
          </w:p>
        </w:tc>
        <w:tc>
          <w:tcPr>
            <w:tcW w:type="dxa" w:w="1371"/>
            <w:vAlign w:val="center"/>
            <w:shd w:val="clear" w:color="auto" w:fill="1F3864"/>
          </w:tcPr>
          <w:p>
            <w:pPr>
              <w:spacing w:before="20" w:after="20"/>
              <w:ind w:left="72"/>
            </w:pPr>
            <w:r>
              <w:rPr>
                <w:b/>
                <w:i w:val="0"/>
                <w:color w:val="FFFFFF"/>
                <w:sz w:val="18"/>
              </w:rPr>
              <w:t>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Credentialing Status Note</w:t>
            </w:r>
          </w:p>
        </w:tc>
        <w:tc>
          <w:tcPr>
            <w:tcW w:type="dxa" w:w="1371"/>
            <w:vAlign w:val="center"/>
            <w:shd w:val="clear" w:color="auto" w:fill="1F3864"/>
          </w:tcPr>
          <w:p>
            <w:pPr>
              <w:spacing w:before="20" w:after="20"/>
              <w:ind w:left="72"/>
            </w:pPr>
            <w:r>
              <w:rPr>
                <w:b/>
                <w:i w:val="0"/>
                <w:color w:val="FFFFFF"/>
                <w:sz w:val="18"/>
              </w:rPr>
              <w:t>Company only hires CNA or HHA credentialed caregivers with a minimum of one year hands-on care experience. Drug tests administered during onboarding; no marijuana. All staff are 100% W-2 employees.</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N/A</w:t>
            </w:r>
          </w:p>
        </w:tc>
        <w:tc>
          <w:tcPr>
            <w:tcW w:type="dxa" w:w="1371"/>
            <w:vAlign w:val="center"/>
            <w:shd w:val="clear" w:color="auto" w:fill="1F3864"/>
          </w:tcPr>
          <w:p>
            <w:pPr>
              <w:spacing w:before="20" w:after="20"/>
              <w:ind w:left="72"/>
            </w:pPr>
            <w:r>
              <w:rPr>
                <w:b/>
                <w:i w:val="0"/>
                <w:color w:val="FFFFFF"/>
                <w:sz w:val="18"/>
              </w:rPr>
              <w:t>low</w:t>
            </w:r>
          </w:p>
        </w:tc>
        <w:tc>
          <w:tcPr>
            <w:tcW w:type="dxa" w:w="1371"/>
            <w:vAlign w:val="center"/>
            <w:shd w:val="clear" w:color="auto" w:fill="1F3864"/>
          </w:tcPr>
          <w:p>
            <w:pPr>
              <w:spacing w:before="20" w:after="20"/>
              <w:ind w:left="72"/>
            </w:pPr>
            <w:r>
              <w:rPr>
                <w:b/>
                <w:i w:val="0"/>
                <w:color w:val="FFFFFF"/>
                <w:sz w:val="18"/>
              </w:rPr>
              <w:t>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Site Level Visibility</w:t>
            </w:r>
          </w:p>
        </w:tc>
        <w:tc>
          <w:tcPr>
            <w:tcW w:type="dxa" w:w="1371"/>
            <w:vAlign w:val="center"/>
            <w:shd w:val="clear" w:color="auto" w:fill="1F3864"/>
          </w:tcPr>
          <w:p>
            <w:pPr>
              <w:spacing w:before="20" w:after="20"/>
              <w:ind w:left="72"/>
            </w:pPr>
            <w:r>
              <w:rPr>
                <w:b/>
                <w:i w:val="0"/>
                <w:color w:val="FFFFFF"/>
                <w:sz w:val="18"/>
              </w:rPr>
              <w:t>partial</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N/A</w:t>
            </w:r>
          </w:p>
        </w:tc>
        <w:tc>
          <w:tcPr>
            <w:tcW w:type="dxa" w:w="1371"/>
            <w:vAlign w:val="center"/>
            <w:shd w:val="clear" w:color="auto" w:fill="1F3864"/>
          </w:tcPr>
          <w:p>
            <w:pPr>
              <w:spacing w:before="20" w:after="20"/>
              <w:ind w:left="72"/>
            </w:pPr>
            <w:r>
              <w:rPr>
                <w:b/>
                <w:i w:val="0"/>
                <w:color w:val="FFFFFF"/>
                <w:sz w:val="18"/>
              </w:rPr>
              <w:t>low</w:t>
            </w:r>
          </w:p>
        </w:tc>
        <w:tc>
          <w:tcPr>
            <w:tcW w:type="dxa" w:w="1371"/>
            <w:vAlign w:val="center"/>
            <w:shd w:val="clear" w:color="auto" w:fill="1F3864"/>
          </w:tcPr>
          <w:p>
            <w:pPr>
              <w:spacing w:before="20" w:after="20"/>
              <w:ind w:left="72"/>
            </w:pPr>
            <w:r>
              <w:rPr>
                <w:b/>
                <w:i w:val="0"/>
                <w:color w:val="FFFFFF"/>
                <w:sz w:val="18"/>
              </w:rPr>
              <w:t>gap_correct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1680"/>
        <w:gridCol w:w="1680"/>
        <w:gridCol w:w="1680"/>
        <w:gridCol w:w="1680"/>
        <w:gridCol w:w="1680"/>
        <w:gridCol w:w="1680"/>
      </w:tblGrid>
      <w:tr>
        <w:trPr>
          <w:trHeight w:val="280"/>
        </w:trPr>
        <w:tc>
          <w:tcPr>
            <w:tcW w:type="dxa" w:w="3226"/>
            <w:vAlign w:val="center"/>
            <w:shd w:val="clear" w:color="auto" w:fill="1F3864"/>
          </w:tcPr>
          <w:p>
            <w:pPr>
              <w:spacing w:before="20" w:after="20"/>
              <w:ind w:left="72"/>
            </w:pPr>
            <w:r>
              <w:rPr>
                <w:b/>
                <w:i w:val="0"/>
                <w:color w:val="FFFFFF"/>
                <w:sz w:val="18"/>
              </w:rPr>
              <w:t>Site Level Visibility Note</w:t>
            </w:r>
          </w:p>
        </w:tc>
        <w:tc>
          <w:tcPr>
            <w:tcW w:type="dxa" w:w="1371"/>
            <w:vAlign w:val="center"/>
            <w:shd w:val="clear" w:color="auto" w:fill="1F3864"/>
          </w:tcPr>
          <w:p>
            <w:pPr>
              <w:spacing w:before="20" w:after="20"/>
              <w:ind w:left="72"/>
            </w:pPr>
            <w:r>
              <w:rPr>
                <w:b/>
                <w:i w:val="0"/>
                <w:color w:val="FFFFFF"/>
                <w:sz w:val="18"/>
              </w:rPr>
              <w:t>Recruiting and hiring data available by market/region (Manhattan, Brooklyn/Staten Island, Queens, Nassau, Suffolk, Westchester, CT, NJ, MA). Active caregiver counts on shifts available monthly for July–December 2023. Shift-level billing data available in EC_0125-0325.xlsx by client and caregiver. No site-level census, payor mix, or AR aging by location explicitly stated.</w:t>
            </w:r>
          </w:p>
        </w:tc>
        <w:tc>
          <w:tcPr>
            <w:tcW w:type="dxa" w:w="1371"/>
            <w:vAlign w:val="center"/>
            <w:shd w:val="clear" w:color="auto" w:fill="1F3864"/>
          </w:tcPr>
          <w:p>
            <w:pPr>
              <w:spacing w:before="20" w:after="20"/>
              <w:ind w:left="72"/>
            </w:pPr>
          </w:p>
        </w:tc>
        <w:tc>
          <w:tcPr>
            <w:tcW w:type="dxa" w:w="1371"/>
            <w:vAlign w:val="center"/>
            <w:shd w:val="clear" w:color="auto" w:fill="1F3864"/>
          </w:tcPr>
          <w:p>
            <w:pPr>
              <w:spacing w:before="20" w:after="20"/>
              <w:ind w:left="72"/>
            </w:pPr>
            <w:r>
              <w:rPr>
                <w:b/>
                <w:i w:val="0"/>
                <w:color w:val="FFFFFF"/>
                <w:sz w:val="18"/>
              </w:rPr>
              <w:t>N/A</w:t>
            </w:r>
          </w:p>
        </w:tc>
        <w:tc>
          <w:tcPr>
            <w:tcW w:type="dxa" w:w="1371"/>
            <w:vAlign w:val="center"/>
            <w:shd w:val="clear" w:color="auto" w:fill="1F3864"/>
          </w:tcPr>
          <w:p>
            <w:pPr>
              <w:spacing w:before="20" w:after="20"/>
              <w:ind w:left="72"/>
            </w:pPr>
            <w:r>
              <w:rPr>
                <w:b/>
                <w:i w:val="0"/>
                <w:color w:val="FFFFFF"/>
                <w:sz w:val="18"/>
              </w:rPr>
              <w:t>low</w:t>
            </w:r>
          </w:p>
        </w:tc>
        <w:tc>
          <w:tcPr>
            <w:tcW w:type="dxa" w:w="1371"/>
            <w:vAlign w:val="center"/>
            <w:shd w:val="clear" w:color="auto" w:fill="1F3864"/>
          </w:tcPr>
          <w:p>
            <w:pPr>
              <w:spacing w:before="20" w:after="20"/>
              <w:ind w:left="72"/>
            </w:pPr>
            <w:r>
              <w:rPr>
                <w:b/>
                <w:i w:val="0"/>
                <w:color w:val="FFFFFF"/>
                <w:sz w:val="18"/>
              </w:rPr>
              <w:t>gap_correct</w:t>
            </w:r>
          </w:p>
        </w:tc>
      </w:tr>
    </w:tbl>
    <w:p>
      <w:pPr>
        <w:spacing w:before="40" w:after="40"/>
      </w:pPr>
    </w:p>
    <w:p>
      <w:pPr>
        <w:spacing w:before="80" w:after="80"/>
        <w:pBdr>
          <w:bottom w:val="single" w:sz="4" w:space="1" w:color="1F3864"/>
        </w:pBdr>
      </w:pPr>
    </w:p>
    <w:p>
      <w:pPr>
        <w:spacing w:before="0" w:after="80"/>
        <w:jc w:val="center"/>
      </w:pPr>
      <w:r>
        <w:rPr>
          <w:b/>
          <w:color w:val="1F3864"/>
          <w:sz w:val="40"/>
        </w:rPr>
        <w:t>5. Legal &amp; Contract Risk Review</w:t>
      </w:r>
    </w:p>
    <w:p>
      <w:pPr>
        <w:spacing w:before="80" w:after="160"/>
        <w:ind w:left="173" w:right="173"/>
        <w:shd w:val="clear" w:color="auto" w:fill="F2F4F7"/>
      </w:pPr>
      <w:r>
        <w:rPr>
          <w:b w:val="0"/>
          <w:i/>
          <w:color w:val="595959"/>
          <w:sz w:val="19"/>
        </w:rPr>
        <w:t>[!CAUTION]</w:t>
      </w:r>
    </w:p>
    <w:p>
      <w:pPr>
        <w:spacing w:before="80" w:after="160"/>
        <w:ind w:left="173" w:right="173"/>
        <w:shd w:val="clear" w:color="auto" w:fill="F2F4F7"/>
      </w:pPr>
      <w:r>
        <w:rPr>
          <w:b w:val="0"/>
          <w:i/>
          <w:color w:val="595959"/>
          <w:sz w:val="19"/>
        </w:rPr>
        <w:t>Confidence: High</w:t>
      </w:r>
    </w:p>
    <w:p>
      <w:pPr>
        <w:spacing w:before="40" w:after="40"/>
      </w:pPr>
      <w:r>
        <w:rPr>
          <w:b w:val="0"/>
          <w:i w:val="0"/>
          <w:color w:val="000000"/>
          <w:sz w:val="19"/>
        </w:rPr>
        <w:t>&gt;</w:t>
      </w:r>
    </w:p>
    <w:p>
      <w:pPr>
        <w:spacing w:before="80" w:after="160"/>
        <w:ind w:left="173" w:right="173"/>
        <w:shd w:val="clear" w:color="auto" w:fill="F2F4F7"/>
      </w:pPr>
      <w:r>
        <w:rPr>
          <w:b w:val="0"/>
          <w:i/>
          <w:color w:val="595959"/>
          <w:sz w:val="19"/>
        </w:rPr>
        <w:t>Assessed 7 of 11 checklist items.</w:t>
      </w:r>
    </w:p>
    <w:p>
      <w:pPr>
        <w:spacing w:before="80" w:after="80"/>
        <w:pBdr>
          <w:bottom w:val="single" w:sz="4" w:space="1" w:color="1F3864"/>
        </w:pBdr>
      </w:pPr>
    </w:p>
    <w:p>
      <w:pPr>
        <w:spacing w:before="240" w:after="60"/>
        <w:pBdr>
          <w:bottom w:val="single" w:sz="8" w:space="1" w:color="1F3864"/>
        </w:pBdr>
      </w:pPr>
      <w:r>
        <w:rPr>
          <w:b/>
          <w:color w:val="1F3864"/>
          <w:sz w:val="26"/>
        </w:rPr>
        <w:t>Top Flags</w:t>
      </w:r>
    </w:p>
    <w:p>
      <w:pPr>
        <w:spacing w:before="20" w:after="20"/>
        <w:ind w:left="360" w:hanging="259"/>
      </w:pPr>
      <w:r>
        <w:rPr>
          <w:color w:val="000000"/>
          <w:sz w:val="19"/>
        </w:rPr>
        <w:t xml:space="preserve">• </w:t>
      </w:r>
      <w:r>
        <w:rPr>
          <w:b w:val="0"/>
          <w:i w:val="0"/>
          <w:color w:val="000000"/>
          <w:sz w:val="19"/>
        </w:rPr>
        <w:t>{'metric': 'open</w:t>
      </w:r>
      <w:r>
        <w:rPr>
          <w:b w:val="0"/>
          <w:i/>
          <w:color w:val="000000"/>
          <w:sz w:val="19"/>
        </w:rPr>
        <w:t>legal</w:t>
      </w:r>
      <w:r>
        <w:rPr>
          <w:b w:val="0"/>
          <w:i w:val="0"/>
          <w:color w:val="000000"/>
          <w:sz w:val="19"/>
        </w:rPr>
        <w:t>matter</w:t>
      </w:r>
      <w:r>
        <w:rPr>
          <w:b w:val="0"/>
          <w:i/>
          <w:color w:val="000000"/>
          <w:sz w:val="19"/>
        </w:rPr>
        <w:t>other', 'value': 'other: Engagement of outside counsel (Peter Ackerman Esq.) for collection of patient re', 'threshold': 'Any open legal matter', 'severity': 'Red', 'note': 'Open legal matter (other): Engagement of outside counsel (Peter Ackerman Esq.) for collection of patient receivables on behalf of Eldercare Homecare, Inc.. Source: April 30 2025 Fully Executed Retainer Agreement for Collection Efforts by Peter Ackerman Esq.pdf.', 'source</w:t>
      </w:r>
      <w:r>
        <w:rPr>
          <w:b w:val="0"/>
          <w:i w:val="0"/>
          <w:color w:val="000000"/>
          <w:sz w:val="19"/>
        </w:rPr>
        <w:t>doc': 'April 30 2025 Fully Executed Retainer Agreement for Collection Efforts by Peter Ackerman Esq.pdf', 'confidence': 'high'}</w:t>
      </w:r>
    </w:p>
    <w:p>
      <w:pPr>
        <w:spacing w:before="20" w:after="20"/>
        <w:ind w:left="360" w:hanging="259"/>
      </w:pPr>
      <w:r>
        <w:rPr>
          <w:color w:val="000000"/>
          <w:sz w:val="19"/>
        </w:rPr>
        <w:t xml:space="preserve">• </w:t>
      </w:r>
      <w:r>
        <w:rPr>
          <w:b w:val="0"/>
          <w:i w:val="0"/>
          <w:color w:val="000000"/>
          <w:sz w:val="19"/>
        </w:rPr>
        <w:t>{'metric': 'restrictive</w:t>
      </w:r>
      <w:r>
        <w:rPr>
          <w:b w:val="0"/>
          <w:i/>
          <w:color w:val="000000"/>
          <w:sz w:val="19"/>
        </w:rPr>
        <w:t>covenant', 'value': 'Consultant (unnamed): Consultant must comply with all mandatory rules and regulations, obtain and maintain all necessary permits and licenses, comply with all applicable laws, and not violate public conventions or standards of decency.', 'threshold': 'Restrictive covenant present', 'severity': 'Yellow', 'note': 'Restrictive covenant (Consultant must comply with all mandatory rules and regulations, obtain and maintain all necessary permits and licenses, comply with all applicable laws, and not violate public conventions or standards of decency.) in Consultant (unnamed) contract. May limit add-on M&amp;A options. Source: Guided Living - Asset Purchase Agreement - 02.07.24 - Execution Version with Exhibits, Lease, and BOS - signed (1).pdf.', 'source</w:t>
      </w:r>
      <w:r>
        <w:rPr>
          <w:b w:val="0"/>
          <w:i w:val="0"/>
          <w:color w:val="000000"/>
          <w:sz w:val="19"/>
        </w:rPr>
        <w:t>doc': 'Guided Living - Asset Purchase Agreement - 02.07.24 - Execution Version with Exhibits, Lease, and BOS - signed (1).pdf', 'confidence': 'high'}</w:t>
      </w:r>
    </w:p>
    <w:p>
      <w:pPr>
        <w:spacing w:before="20" w:after="20"/>
        <w:ind w:left="360" w:hanging="259"/>
      </w:pPr>
      <w:r>
        <w:rPr>
          <w:color w:val="000000"/>
          <w:sz w:val="19"/>
        </w:rPr>
        <w:t xml:space="preserve">• </w:t>
      </w:r>
      <w:r>
        <w:rPr>
          <w:b w:val="0"/>
          <w:i w:val="0"/>
          <w:color w:val="000000"/>
          <w:sz w:val="19"/>
        </w:rPr>
        <w:t>{'metric': 'restrictive</w:t>
      </w:r>
      <w:r>
        <w:rPr>
          <w:b w:val="0"/>
          <w:i/>
          <w:color w:val="000000"/>
          <w:sz w:val="19"/>
        </w:rPr>
        <w:t>covenant', 'value': 'Licensor (unnamed — Manhattan): Licensor has not made and is not making any warranties, representations, promises or statements except as expressly set forth in the License Agreement or other written agreements made concurrently.', 'threshold': 'Restrictive covenant present', 'severity': 'Yellow', 'note': 'Restrictive covenant (Licensor has not made and is not making any warranties, representations, promises or statements except as expressly set forth in the License Agreement or other written agreements made concurrently.) in Licensor (unnamed — Manhattan) contract. May limit add-on M&amp;A options. Source: Manhattan</w:t>
      </w:r>
      <w:r>
        <w:rPr>
          <w:b w:val="0"/>
          <w:i w:val="0"/>
          <w:color w:val="000000"/>
          <w:sz w:val="19"/>
        </w:rPr>
        <w:t>Lease</w:t>
      </w:r>
      <w:r>
        <w:rPr>
          <w:b w:val="0"/>
          <w:i/>
          <w:color w:val="000000"/>
          <w:sz w:val="19"/>
        </w:rPr>
        <w:t>0121.pdf.', 'source</w:t>
      </w:r>
      <w:r>
        <w:rPr>
          <w:b w:val="0"/>
          <w:i w:val="0"/>
          <w:color w:val="000000"/>
          <w:sz w:val="19"/>
        </w:rPr>
        <w:t>doc': 'Manhattan</w:t>
      </w:r>
      <w:r>
        <w:rPr>
          <w:b w:val="0"/>
          <w:i/>
          <w:color w:val="000000"/>
          <w:sz w:val="19"/>
        </w:rPr>
        <w:t>Lease</w:t>
      </w:r>
      <w:r>
        <w:rPr>
          <w:b w:val="0"/>
          <w:i w:val="0"/>
          <w:color w:val="000000"/>
          <w:sz w:val="19"/>
        </w:rPr>
        <w:t>0121.pdf', 'confidence': 'high'}</w:t>
      </w:r>
    </w:p>
    <w:p>
      <w:pPr>
        <w:spacing w:before="20" w:after="20"/>
        <w:ind w:left="360" w:hanging="259"/>
      </w:pPr>
      <w:r>
        <w:rPr>
          <w:color w:val="000000"/>
          <w:sz w:val="19"/>
        </w:rPr>
        <w:t xml:space="preserve">• </w:t>
      </w:r>
      <w:r>
        <w:rPr>
          <w:b w:val="0"/>
          <w:i w:val="0"/>
          <w:color w:val="000000"/>
          <w:sz w:val="19"/>
        </w:rPr>
        <w:t>{'metric': 'restrictive</w:t>
      </w:r>
      <w:r>
        <w:rPr>
          <w:b w:val="0"/>
          <w:i/>
          <w:color w:val="000000"/>
          <w:sz w:val="19"/>
        </w:rPr>
        <w:t>covenant', 'value': "Guided Living (Seller): Seller's Owner as Guarantor irrevocably guarantees obligations; Seller covenants no unscheduled changes to working capital; no changes to operations without Buyer written consent.", 'threshold': 'Restrictive covenant present', 'severity': 'Yellow', 'note': "Restrictive covenant (Seller's Owner as Guarantor irrevocably guarantees obligations; Seller covenants no unscheduled changes to working capital; no changes to operations without Buyer written consent.) in Guided Living (Seller) contract. May limit add-on M&amp;A options. Source: Guided Living - Asset Purchase Agreement - 02.07.24 - Execution Version with Exhibits, Lease, and BOS - signed (1).pdf.", 'source</w:t>
      </w:r>
      <w:r>
        <w:rPr>
          <w:b w:val="0"/>
          <w:i w:val="0"/>
          <w:color w:val="000000"/>
          <w:sz w:val="19"/>
        </w:rPr>
        <w:t>doc': 'Guided Living - Asset Purchase Agreement - 02.07.24 - Execution Version with Exhibits, Lease, and BOS - signed (1).pdf', 'confidence': 'high'}</w:t>
      </w:r>
    </w:p>
    <w:p>
      <w:pPr>
        <w:spacing w:before="20" w:after="20"/>
        <w:ind w:left="360" w:hanging="259"/>
      </w:pPr>
      <w:r>
        <w:rPr>
          <w:color w:val="000000"/>
          <w:sz w:val="19"/>
        </w:rPr>
        <w:t xml:space="preserve">• </w:t>
      </w:r>
      <w:r>
        <w:rPr>
          <w:b w:val="0"/>
          <w:i w:val="0"/>
          <w:color w:val="000000"/>
          <w:sz w:val="19"/>
        </w:rPr>
        <w:t>{'metric': 'restrictive</w:t>
      </w:r>
      <w:r>
        <w:rPr>
          <w:b w:val="0"/>
          <w:i/>
          <w:color w:val="000000"/>
          <w:sz w:val="19"/>
        </w:rPr>
        <w:t>covenant', 'value': 'Landlord (unnamed — Manhattan): Tenant shall not transfer or assign its interest in the Lease, mortgage, pledge or encumber the Lease or Demised Premises without compliance with Article 11 provisions.', 'threshold': 'Restrictive covenant present', 'severity': 'Yellow', 'note': 'Restrictive covenant (Tenant shall not transfer or assign its interest in the Lease, mortgage, pledge or encumber the Lease or Demised Premises without compliance with Article 11 provisions.) in Landlord (unnamed — Manhattan) contract. May limit add-on M&amp;A options. Source: Manhattan</w:t>
      </w:r>
      <w:r>
        <w:rPr>
          <w:b w:val="0"/>
          <w:i w:val="0"/>
          <w:color w:val="000000"/>
          <w:sz w:val="19"/>
        </w:rPr>
        <w:t>Lease</w:t>
      </w:r>
      <w:r>
        <w:rPr>
          <w:b w:val="0"/>
          <w:i/>
          <w:color w:val="000000"/>
          <w:sz w:val="19"/>
        </w:rPr>
        <w:t>0424.pdf.', 'source</w:t>
      </w:r>
      <w:r>
        <w:rPr>
          <w:b w:val="0"/>
          <w:i w:val="0"/>
          <w:color w:val="000000"/>
          <w:sz w:val="19"/>
        </w:rPr>
        <w:t>doc': 'Manhattan</w:t>
      </w:r>
      <w:r>
        <w:rPr>
          <w:b w:val="0"/>
          <w:i/>
          <w:color w:val="000000"/>
          <w:sz w:val="19"/>
        </w:rPr>
        <w:t>Lease</w:t>
      </w:r>
      <w:r>
        <w:rPr>
          <w:b w:val="0"/>
          <w:i w:val="0"/>
          <w:color w:val="000000"/>
          <w:sz w:val="19"/>
        </w:rPr>
        <w:t>0424.pdf', 'confidence': 'high'}</w:t>
      </w:r>
    </w:p>
    <w:p>
      <w:pPr>
        <w:spacing w:before="80" w:after="80"/>
        <w:pBdr>
          <w:bottom w:val="single" w:sz="4" w:space="1" w:color="1F3864"/>
        </w:pBdr>
      </w:pPr>
    </w:p>
    <w:p>
      <w:pPr>
        <w:spacing w:before="240" w:after="60"/>
        <w:pBdr>
          <w:bottom w:val="single" w:sz="8" w:space="1" w:color="1F3864"/>
        </w:pBdr>
      </w:pPr>
      <w:r>
        <w:rPr>
          <w:b/>
          <w:color w:val="1F3864"/>
          <w:sz w:val="26"/>
        </w:rPr>
        <w:t>Coverage Gaps</w:t>
      </w:r>
    </w:p>
    <w:p>
      <w:pPr>
        <w:spacing w:before="20" w:after="20"/>
        <w:ind w:left="360" w:hanging="259"/>
      </w:pPr>
      <w:r>
        <w:rPr>
          <w:color w:val="000000"/>
          <w:sz w:val="19"/>
        </w:rPr>
        <w:t xml:space="preserve">• </w:t>
      </w:r>
      <w:r>
        <w:rPr>
          <w:b w:val="0"/>
          <w:i w:val="0"/>
          <w:color w:val="000000"/>
          <w:sz w:val="19"/>
        </w:rPr>
        <w:t>Customer contracts — termination for convenience</w:t>
      </w:r>
    </w:p>
    <w:p>
      <w:pPr>
        <w:spacing w:before="20" w:after="20"/>
        <w:ind w:left="360" w:hanging="259"/>
      </w:pPr>
      <w:r>
        <w:rPr>
          <w:color w:val="000000"/>
          <w:sz w:val="19"/>
        </w:rPr>
        <w:t xml:space="preserve">• </w:t>
      </w:r>
      <w:r>
        <w:rPr>
          <w:b w:val="0"/>
          <w:i w:val="0"/>
          <w:color w:val="000000"/>
          <w:sz w:val="19"/>
        </w:rPr>
        <w:t>Change-of-control clauses</w:t>
      </w:r>
    </w:p>
    <w:p>
      <w:pPr>
        <w:spacing w:before="20" w:after="20"/>
        <w:ind w:left="360" w:hanging="259"/>
      </w:pPr>
      <w:r>
        <w:rPr>
          <w:color w:val="000000"/>
          <w:sz w:val="19"/>
        </w:rPr>
        <w:t xml:space="preserve">• </w:t>
      </w:r>
      <w:r>
        <w:rPr>
          <w:b w:val="0"/>
          <w:i w:val="0"/>
          <w:color w:val="000000"/>
          <w:sz w:val="19"/>
        </w:rPr>
        <w:t>Platform / reseller / channel dependencies</w:t>
      </w:r>
    </w:p>
    <w:p>
      <w:pPr>
        <w:spacing w:before="20" w:after="20"/>
        <w:ind w:left="360" w:hanging="259"/>
      </w:pPr>
      <w:r>
        <w:rPr>
          <w:color w:val="000000"/>
          <w:sz w:val="19"/>
        </w:rPr>
        <w:t xml:space="preserve">• </w:t>
      </w:r>
      <w:r>
        <w:rPr>
          <w:b w:val="0"/>
          <w:i w:val="0"/>
          <w:color w:val="000000"/>
          <w:sz w:val="19"/>
        </w:rPr>
        <w:t>IP ownership, assignment, OSS</w:t>
      </w:r>
    </w:p>
    <w:p>
      <w:pPr>
        <w:spacing w:before="80" w:after="80"/>
        <w:pBdr>
          <w:bottom w:val="single" w:sz="4" w:space="1" w:color="1F3864"/>
        </w:pBdr>
      </w:pPr>
    </w:p>
    <w:p>
      <w:pPr>
        <w:spacing w:before="240" w:after="60"/>
        <w:pBdr>
          <w:bottom w:val="single" w:sz="8" w:space="1" w:color="1F3864"/>
        </w:pBdr>
      </w:pPr>
      <w:r>
        <w:rPr>
          <w:b/>
          <w:color w:val="1F3864"/>
          <w:sz w:val="26"/>
        </w:rPr>
        <w:t>Recommended Legal Diligence</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Document</w:t>
            </w:r>
          </w:p>
        </w:tc>
        <w:tc>
          <w:tcPr>
            <w:tcW w:type="dxa" w:w="6854"/>
            <w:vAlign w:val="center"/>
            <w:shd w:val="clear" w:color="auto" w:fill="1F3864"/>
          </w:tcPr>
          <w:p>
            <w:pPr>
              <w:spacing w:before="20" w:after="20"/>
              <w:ind w:left="72"/>
            </w:pPr>
            <w:r>
              <w:rPr>
                <w:b/>
                <w:i w:val="0"/>
                <w:color w:val="FFFFFF"/>
                <w:sz w:val="18"/>
              </w:rPr>
              <w:t>Priority</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w:t>
            </w:r>
          </w:p>
        </w:tc>
        <w:tc>
          <w:tcPr>
            <w:tcW w:type="dxa" w:w="6854"/>
            <w:vAlign w:val="center"/>
            <w:shd w:val="clear" w:color="auto" w:fill="1F3864"/>
          </w:tcPr>
          <w:p>
            <w:pPr>
              <w:spacing w:before="20" w:after="20"/>
              <w:ind w:left="72"/>
            </w:pPr>
            <w:r>
              <w:rPr>
                <w:b/>
                <w:i w:val="0"/>
                <w:color w:val="FFFFFF"/>
                <w:sz w:val="18"/>
              </w:rPr>
              <w:t>High</w:t>
            </w:r>
          </w:p>
        </w:tc>
      </w:tr>
    </w:tbl>
    <w:p>
      <w:pPr>
        <w:spacing w:before="40" w:after="40"/>
      </w:pPr>
    </w:p>
    <w:p>
      <w:pPr>
        <w:spacing w:before="80" w:after="80"/>
        <w:pBdr>
          <w:bottom w:val="single" w:sz="4" w:space="1" w:color="1F3864"/>
        </w:pBdr>
      </w:pPr>
    </w:p>
    <w:p>
      <w:pPr>
        <w:spacing w:before="0" w:after="80"/>
        <w:jc w:val="center"/>
      </w:pPr>
      <w:r>
        <w:rPr>
          <w:b/>
          <w:color w:val="1F3864"/>
          <w:sz w:val="40"/>
        </w:rPr>
        <w:t>6. Quality of Revenue &amp; Earnings</w:t>
      </w:r>
    </w:p>
    <w:p>
      <w:pPr>
        <w:spacing w:before="240" w:after="60"/>
        <w:pBdr>
          <w:bottom w:val="single" w:sz="8" w:space="1" w:color="1F3864"/>
        </w:pBdr>
      </w:pPr>
      <w:r>
        <w:rPr>
          <w:b/>
          <w:color w:val="1F3864"/>
          <w:sz w:val="26"/>
        </w:rPr>
        <w:t>Summary</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Metric</w:t>
            </w:r>
          </w:p>
        </w:tc>
        <w:tc>
          <w:tcPr>
            <w:tcW w:type="dxa" w:w="6854"/>
            <w:vAlign w:val="center"/>
            <w:shd w:val="clear" w:color="auto" w:fill="1F3864"/>
          </w:tcPr>
          <w:p>
            <w:pPr>
              <w:spacing w:before="20" w:after="20"/>
              <w:ind w:left="72"/>
            </w:pPr>
            <w:r>
              <w:rPr>
                <w:b/>
                <w:i w:val="0"/>
                <w:color w:val="FFFFFF"/>
                <w:sz w:val="18"/>
              </w:rPr>
              <w:t>Value</w:t>
            </w:r>
          </w:p>
        </w:tc>
      </w:tr>
      <w:tr>
        <w:trPr>
          <w:trHeight w:val="260"/>
        </w:trPr>
        <w:tc>
          <w:tcPr>
            <w:tcW w:type="dxa" w:w="3226"/>
            <w:vAlign w:val="center"/>
          </w:tcPr>
          <w:p>
            <w:pPr>
              <w:spacing w:before="20" w:after="20"/>
              <w:ind w:left="72"/>
            </w:pPr>
            <w:r>
              <w:rPr>
                <w:b w:val="0"/>
                <w:i w:val="0"/>
                <w:color w:val="000000"/>
                <w:sz w:val="18"/>
              </w:rPr>
              <w:t>Addback % of EBITDA</w:t>
            </w:r>
          </w:p>
        </w:tc>
        <w:tc>
          <w:tcPr>
            <w:tcW w:type="dxa" w:w="6854"/>
            <w:vAlign w:val="center"/>
          </w:tcPr>
          <w:p>
            <w:pPr>
              <w:spacing w:before="20" w:after="20"/>
              <w:ind w:left="72"/>
            </w:pPr>
            <w:r>
              <w:rPr>
                <w:b w:val="0"/>
                <w:i w:val="0"/>
                <w:color w:val="000000"/>
                <w:sz w:val="18"/>
              </w:rPr>
              <w:t>246.9</w:t>
            </w:r>
          </w:p>
        </w:tc>
      </w:tr>
      <w:tr>
        <w:trPr>
          <w:trHeight w:val="260"/>
        </w:trPr>
        <w:tc>
          <w:tcPr>
            <w:tcW w:type="dxa" w:w="3226"/>
            <w:vAlign w:val="center"/>
            <w:shd w:val="clear" w:color="auto" w:fill="EEF3FA"/>
          </w:tcPr>
          <w:p>
            <w:pPr>
              <w:spacing w:before="20" w:after="20"/>
              <w:ind w:left="72"/>
            </w:pPr>
            <w:r>
              <w:rPr>
                <w:b w:val="0"/>
                <w:i w:val="0"/>
                <w:color w:val="000000"/>
                <w:sz w:val="18"/>
              </w:rPr>
              <w:t>Tier Summary</w:t>
            </w:r>
          </w:p>
        </w:tc>
        <w:tc>
          <w:tcPr>
            <w:tcW w:type="dxa" w:w="6854"/>
            <w:vAlign w:val="center"/>
            <w:shd w:val="clear" w:color="auto" w:fill="EEF3FA"/>
          </w:tcPr>
          <w:p>
            <w:pPr>
              <w:spacing w:before="20" w:after="20"/>
              <w:ind w:left="72"/>
            </w:pPr>
            <w:r>
              <w:rPr>
                <w:b w:val="0"/>
                <w:i w:val="0"/>
                <w:color w:val="000000"/>
                <w:sz w:val="18"/>
              </w:rPr>
              <w:t>The Elder Care TTM Aug-24 adjusted EBITDA bridge contains 17 addback line items totaling a gross positive adjustment substantially in excess of the $2,773K reported EBITDA, with all 17 items classified Tier 4 due to the absence of any supporting document references across the entire addback schedule. The most material concerns are the $1,454K of unverified pre-acquisition earnings for Guided Living and Unicity (addbacks J and K), the $1,529K of speculative pro-forma maturity and synergy adjustments (addbacks N, O, P), and the $665K cash-to-accrual revenue conversion (addback D) which indicates the historical books were maintained on a cash basis — a finding corroborated by Guided Living's Schedule M-1 accrual-to-cash adjustments in its 2022 tax return. Revenue quality is further pressured by the addback quantum exceeding reported EBITDA by approximately 2.7x and the multi-payor mix including Medicaid Waiver and VA programs subject to reimbursement and eligibility risk.</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Flags</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'[A] Credit card expense allocation ($(0))', 'threshold': 'Tier 4 classification', 'severity': 'Red', 'note': 'Tier 4 addback: [A] Credit card expense allocation ($(0))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'[B] Non-recurring transactions ($182)', 'threshold': 'Tier 4 classification', 'severity': 'Red', 'note': 'Tier 4 addback: [B] Non-recurring transactions ($182)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'[C] Non-operating transactions ($53)', 'threshold': 'Tier 4 classification', 'severity': 'Red', 'note': 'Tier 4 addback: [C] Non-operating transactions ($53)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'[D] Cash-to-accrual revenue adjustment ($665)', 'threshold': 'Tier 4 classification', 'severity': 'Red', 'note': 'Tier 4 addback: [D] Cash-to-accrual revenue adjustment ($665)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'[E] Payroll accrual ($(158))', 'threshold': 'Tier 4 classification', 'severity': 'Red', 'note': 'Tier 4 addback: [E] Payroll accrual ($(158))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'[F] Straight-line rent expense ($(33))', 'threshold': 'Tier 4 classification', 'severity': 'Red', 'note': 'Tier 4 addback: [F] Straight-line rent expense ($(33))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'[G] Run-rate executive compensation ($2,490)', 'threshold': 'Tier 4 classification', 'severity': 'Red', 'note': 'Tier 4 addback: [G] Run-rate executive compensation ($2,490)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'[H] Normalized expenses ($94)', 'threshold': 'Tier 4 classification', 'severity': 'Red', 'note': 'Tier 4 addback: [H] Normalized expenses ($94)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'[I] De novo start-up losses (ECHC) ($189)', 'threshold': 'Tier 4 classification', 'severity': 'Red', 'note': 'Tier 4 addback: [I] De novo start-up losses (ECHC) ($189)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'[J] Guided Living pre-acquisition results ($377)', 'threshold': 'Tier 4 classification', 'severity': 'Red', 'note': 'Tier 4 addback: [J] Guided Living pre-acquisition results ($377)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'[K] Unicity pre-acquisition results ($1,077)', 'threshold': 'Tier 4 classification', 'severity': 'Red', 'note': 'Tier 4 addback: [K] Unicity pre-acquisition results ($1,077)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'[L] Reclass adjustments ($0)', 'threshold': 'Tier 4 classification', 'severity': 'Red', 'note': 'Tier 4 addback: [L] Reclass adjustments ($0)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'[M] Corporate overhead allocation ($0)', 'threshold': 'Tier 4 classification', 'severity': 'Red', 'note': 'Tier 4 addback: [M] Corporate overhead allocation ($0)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'[N] Guided Living ramp-up/maturity adjustment ($430)', 'threshold': 'Tier 4 classification', 'severity': 'Red', 'note': 'Tier 4 addback: [N] Guided Living ramp-up/maturity adjustment ($430)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'[O] Unicity incremental earnings from synergies ($909)', 'threshold': 'Tier 4 classification', 'severity': 'Red', 'note': 'Tier 4 addback: [O] Unicity incremental earnings from synergies ($909)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'[P] De novo ramp-up/maturity adjustment (ECHC) ($190)', 'threshold': 'Tier 4 classification', 'severity': 'Red', 'note': 'Tier 4 addback: [P] De novo ramp-up/maturity adjustment (ECHC) ($190)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'tier4</w:t>
      </w:r>
      <w:r>
        <w:rPr>
          <w:b w:val="0"/>
          <w:i/>
          <w:color w:val="000000"/>
          <w:sz w:val="19"/>
        </w:rPr>
        <w:t>addback', 'value': '[Q] Corporate overhead allocation ($-)', 'threshold': 'Tier 4 classification', 'severity': 'Red', 'note': 'Tier 4 addback: [Q] Corporate overhead allocation ($-) — unlikely to survive buyer QofE. Source: 2024 Elder Care - CIM</w:t>
      </w:r>
      <w:r>
        <w:rPr>
          <w:b w:val="0"/>
          <w:i w:val="0"/>
          <w:color w:val="000000"/>
          <w:sz w:val="19"/>
        </w:rPr>
        <w:t>vF.pdf.',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'[B] Non-recurring transactions ($182, 6.6% of EBITDA)', 'threshold': '&gt;5% of EBITDA with no VDR support', 'severity': 'Red', 'note': 'Addback &gt;5% of EBITDA (6.6%) with no VDR document support: [B] Non-recurring transactions.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'[D] Cash-to-accrual revenue adjustment ($665, 24.0% of EBITDA)', 'threshold': '&gt;5% of EBITDA with no VDR support', 'severity': 'Red', 'note': 'Addback &gt;5% of EBITDA (24.0%) with no VDR document support: [D] Cash-to-accrual revenue adjustment.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'[E] Payroll accrual ($(158), 5.7% of EBITDA)', 'threshold': '&gt;5% of EBITDA with no VDR support', 'severity': 'Red', 'note': 'Addback &gt;5% of EBITDA (5.7%) with no VDR document support: [E] Payroll accrual.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'[G] Run-rate executive compensation ($2,490, 89.8% of EBITDA)', 'threshold': '&gt;5% of EBITDA with no VDR support', 'severity': 'Red', 'note': 'Addback &gt;5% of EBITDA (89.8%) with no VDR document support: [G] Run-rate executive compensation.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'[I] De novo start-up losses (ECHC) ($189, 6.8% of EBITDA)', 'threshold': '&gt;5% of EBITDA with no VDR support', 'severity': 'Red', 'note': 'Addback &gt;5% of EBITDA (6.8%) with no VDR document support: [I] De novo start-up losses (ECHC).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'[J] Guided Living pre-acquisition results ($377, 13.6% of EBITDA)', 'threshold': '&gt;5% of EBITDA with no VDR support', 'severity': 'Red', 'note': 'Addback &gt;5% of EBITDA (13.6%) with no VDR document support: [J] Guided Living pre-acquisition results.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'[K] Unicity pre-acquisition results ($1,077, 38.8% of EBITDA)', 'threshold': '&gt;5% of EBITDA with no VDR support', 'severity': 'Red', 'note': 'Addback &gt;5% of EBITDA (38.8%) with no VDR document support: [K] Unicity pre-acquisition results.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'[N] Guided Living ramp-up/maturity adjustment ($430, 15.5% of EBITDA)', 'threshold': '&gt;5% of EBITDA with no VDR support', 'severity': 'Red', 'note': 'Addback &gt;5% of EBITDA (15.5%) with no VDR document support: [N] Guided Living ramp-up/maturity adjustment.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'[O] Unicity incremental earnings from synergies ($909, 32.8% of EBITDA)', 'threshold': '&gt;5% of EBITDA with no VDR support', 'severity': 'Red', 'note': 'Addback &gt;5% of EBITDA (32.8%) with no VDR document support: [O] Unicity incremental earnings from synergies.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'large</w:t>
      </w:r>
      <w:r>
        <w:rPr>
          <w:b w:val="0"/>
          <w:i/>
          <w:color w:val="000000"/>
          <w:sz w:val="19"/>
        </w:rPr>
        <w:t>unsupported</w:t>
      </w:r>
      <w:r>
        <w:rPr>
          <w:b w:val="0"/>
          <w:i w:val="0"/>
          <w:color w:val="000000"/>
          <w:sz w:val="19"/>
        </w:rPr>
        <w:t>addback', 'value': '[P] De novo ramp-up/maturity adjustment (ECHC) ($190, 6.9% of EBITDA)', 'threshold': '&gt;5% of EBITDA with no VDR support', 'severity': 'Red', 'note': 'Addback &gt;5% of EBITDA (6.9%) with no VDR document support: [P] De novo ramp-up/maturity adjustment (ECHC). Source: 2024 Elder Care - CIM</w:t>
      </w:r>
      <w:r>
        <w:rPr>
          <w:b w:val="0"/>
          <w:i/>
          <w:color w:val="000000"/>
          <w:sz w:val="19"/>
        </w:rPr>
        <w:t>vF.pdf.', 'source</w:t>
      </w:r>
      <w:r>
        <w:rPr>
          <w:b w:val="0"/>
          <w:i w:val="0"/>
          <w:color w:val="000000"/>
          <w:sz w:val="19"/>
        </w:rPr>
        <w:t>doc': '2024 Elder Care - CIM_vF.pdf', 'confidence': 'high'}</w:t>
      </w:r>
    </w:p>
    <w:p>
      <w:pPr>
        <w:spacing w:before="20" w:after="20"/>
        <w:ind w:left="360" w:hanging="259"/>
      </w:pPr>
      <w:r>
        <w:rPr>
          <w:color w:val="000000"/>
          <w:sz w:val="19"/>
        </w:rPr>
        <w:t xml:space="preserve">• </w:t>
      </w:r>
      <w:r>
        <w:rPr>
          <w:b w:val="0"/>
          <w:i w:val="0"/>
          <w:color w:val="000000"/>
          <w:sz w:val="19"/>
        </w:rPr>
        <w:t>{'metric': 'total</w:t>
      </w:r>
      <w:r>
        <w:rPr>
          <w:b w:val="0"/>
          <w:i/>
          <w:color w:val="000000"/>
          <w:sz w:val="19"/>
        </w:rPr>
        <w:t>addbacks</w:t>
      </w:r>
      <w:r>
        <w:rPr>
          <w:b w:val="0"/>
          <w:i w:val="0"/>
          <w:color w:val="000000"/>
          <w:sz w:val="19"/>
        </w:rPr>
        <w:t>pct</w:t>
      </w:r>
      <w:r>
        <w:rPr>
          <w:b w:val="0"/>
          <w:i/>
          <w:color w:val="000000"/>
          <w:sz w:val="19"/>
        </w:rPr>
        <w:t>of</w:t>
      </w:r>
      <w:r>
        <w:rPr>
          <w:b w:val="0"/>
          <w:i w:val="0"/>
          <w:color w:val="000000"/>
          <w:sz w:val="19"/>
        </w:rPr>
        <w:t>ebitda', 'value': '246.9%', 'threshold': '&gt;20% of reported EBITDA', 'severity': 'Yellow', 'note': 'Total addbacks represent 246.9% of reported EBITDA — QofE review high priority. Heavy reliance on addbacks increases deal risk.', 'source</w:t>
      </w:r>
      <w:r>
        <w:rPr>
          <w:b w:val="0"/>
          <w:i/>
          <w:color w:val="000000"/>
          <w:sz w:val="19"/>
        </w:rPr>
        <w:t>doc': '2024 Elder Care - CIM</w:t>
      </w:r>
      <w:r>
        <w:rPr>
          <w:b w:val="0"/>
          <w:i w:val="0"/>
          <w:color w:val="000000"/>
          <w:sz w:val="19"/>
        </w:rPr>
        <w:t>vF.pdf', 'confidence': 'high'}</w:t>
      </w:r>
    </w:p>
    <w:p>
      <w:pPr>
        <w:spacing w:before="20" w:after="20"/>
        <w:ind w:left="360" w:hanging="259"/>
      </w:pPr>
      <w:r>
        <w:rPr>
          <w:color w:val="000000"/>
          <w:sz w:val="19"/>
        </w:rPr>
        <w:t xml:space="preserve">• </w:t>
      </w:r>
      <w:r>
        <w:rPr>
          <w:b w:val="0"/>
          <w:i w:val="0"/>
          <w:color w:val="000000"/>
          <w:sz w:val="19"/>
        </w:rPr>
        <w:t>{'metric': 'revenue</w:t>
      </w:r>
      <w:r>
        <w:rPr>
          <w:b w:val="0"/>
          <w:i/>
          <w:color w:val="000000"/>
          <w:sz w:val="19"/>
        </w:rPr>
        <w:t>quality</w:t>
      </w:r>
      <w:r>
        <w:rPr>
          <w:b w:val="0"/>
          <w:i w:val="0"/>
          <w:color w:val="000000"/>
          <w:sz w:val="19"/>
        </w:rPr>
        <w:t>revenue</w:t>
      </w:r>
      <w:r>
        <w:rPr>
          <w:b w:val="0"/>
          <w:i/>
          <w:color w:val="000000"/>
          <w:sz w:val="19"/>
        </w:rPr>
        <w:t>recognition</w:t>
      </w:r>
      <w:r>
        <w:rPr>
          <w:b w:val="0"/>
          <w:i w:val="0"/>
          <w:color w:val="000000"/>
          <w:sz w:val="19"/>
        </w:rPr>
        <w:t>change', 'value': 'Addback [D] explicitly converts revenue from cash to accrual basis ($665K), indicating the historica', 'threshold': 'Revenue quality pattern: revenue</w:t>
      </w:r>
      <w:r>
        <w:rPr>
          <w:b w:val="0"/>
          <w:i/>
          <w:color w:val="000000"/>
          <w:sz w:val="19"/>
        </w:rPr>
        <w:t>recognition</w:t>
      </w:r>
      <w:r>
        <w:rPr>
          <w:b w:val="0"/>
          <w:i w:val="0"/>
          <w:color w:val="000000"/>
          <w:sz w:val="19"/>
        </w:rPr>
        <w:t>change', 'severity': 'Red', 'note': 'Revenue quality concern (revenue</w:t>
      </w:r>
      <w:r>
        <w:rPr>
          <w:b w:val="0"/>
          <w:i/>
          <w:color w:val="000000"/>
          <w:sz w:val="19"/>
        </w:rPr>
        <w:t>recognition</w:t>
      </w:r>
      <w:r>
        <w:rPr>
          <w:b w:val="0"/>
          <w:i w:val="0"/>
          <w:color w:val="000000"/>
          <w:sz w:val="19"/>
        </w:rPr>
        <w:t>change): Addback [D] explicitly converts revenue from cash to accrual basis ($665K), indicating the historical books were maintained on a cash basis. This is a revenue recognition methodology change embedded i. Source: 2024 Elder Care - CIM</w:t>
      </w:r>
      <w:r>
        <w:rPr>
          <w:b w:val="0"/>
          <w:i/>
          <w:color w:val="000000"/>
          <w:sz w:val="19"/>
        </w:rPr>
        <w:t>vF.pdf.', 'source</w:t>
      </w:r>
      <w:r>
        <w:rPr>
          <w:b w:val="0"/>
          <w:i w:val="0"/>
          <w:color w:val="000000"/>
          <w:sz w:val="19"/>
        </w:rPr>
        <w:t>doc': '2024 Elder Care - CIM_vF.pdf', 'confidence': 'medium'}</w:t>
      </w:r>
    </w:p>
    <w:p>
      <w:pPr>
        <w:spacing w:before="20" w:after="20"/>
        <w:ind w:left="360" w:hanging="259"/>
      </w:pPr>
      <w:r>
        <w:rPr>
          <w:color w:val="000000"/>
          <w:sz w:val="19"/>
        </w:rPr>
        <w:t xml:space="preserve">• </w:t>
      </w:r>
      <w:r>
        <w:rPr>
          <w:b w:val="0"/>
          <w:i w:val="0"/>
          <w:color w:val="000000"/>
          <w:sz w:val="19"/>
        </w:rPr>
        <w:t>{'metric': 'revenue</w:t>
      </w:r>
      <w:r>
        <w:rPr>
          <w:b w:val="0"/>
          <w:i/>
          <w:color w:val="000000"/>
          <w:sz w:val="19"/>
        </w:rPr>
        <w:t>quality</w:t>
      </w:r>
      <w:r>
        <w:rPr>
          <w:b w:val="0"/>
          <w:i w:val="0"/>
          <w:color w:val="000000"/>
          <w:sz w:val="19"/>
        </w:rPr>
        <w:t>non</w:t>
      </w:r>
      <w:r>
        <w:rPr>
          <w:b w:val="0"/>
          <w:i/>
          <w:color w:val="000000"/>
          <w:sz w:val="19"/>
        </w:rPr>
        <w:t>recurring</w:t>
      </w:r>
      <w:r>
        <w:rPr>
          <w:b w:val="0"/>
          <w:i w:val="0"/>
          <w:color w:val="000000"/>
          <w:sz w:val="19"/>
        </w:rPr>
        <w:t>in</w:t>
      </w:r>
      <w:r>
        <w:rPr>
          <w:b w:val="0"/>
          <w:i/>
          <w:color w:val="000000"/>
          <w:sz w:val="19"/>
        </w:rPr>
        <w:t>run</w:t>
      </w:r>
      <w:r>
        <w:rPr>
          <w:b w:val="0"/>
          <w:i w:val="0"/>
          <w:color w:val="000000"/>
          <w:sz w:val="19"/>
        </w:rPr>
        <w:t>rate', 'value': 'Addbacks [J] Guided Living pre-acquisition results ($377K) and [K] Unicity pre-acquisition results (', 'threshold': 'Revenue quality pattern: non</w:t>
      </w:r>
      <w:r>
        <w:rPr>
          <w:b w:val="0"/>
          <w:i/>
          <w:color w:val="000000"/>
          <w:sz w:val="19"/>
        </w:rPr>
        <w:t>recurring</w:t>
      </w:r>
      <w:r>
        <w:rPr>
          <w:b w:val="0"/>
          <w:i w:val="0"/>
          <w:color w:val="000000"/>
          <w:sz w:val="19"/>
        </w:rPr>
        <w:t>in</w:t>
      </w:r>
      <w:r>
        <w:rPr>
          <w:b w:val="0"/>
          <w:i/>
          <w:color w:val="000000"/>
          <w:sz w:val="19"/>
        </w:rPr>
        <w:t>run</w:t>
      </w:r>
      <w:r>
        <w:rPr>
          <w:b w:val="0"/>
          <w:i w:val="0"/>
          <w:color w:val="000000"/>
          <w:sz w:val="19"/>
        </w:rPr>
        <w:t>rate', 'severity': 'Red', 'note': 'Revenue quality concern (non</w:t>
      </w:r>
      <w:r>
        <w:rPr>
          <w:b w:val="0"/>
          <w:i/>
          <w:color w:val="000000"/>
          <w:sz w:val="19"/>
        </w:rPr>
        <w:t>recurring</w:t>
      </w:r>
      <w:r>
        <w:rPr>
          <w:b w:val="0"/>
          <w:i w:val="0"/>
          <w:color w:val="000000"/>
          <w:sz w:val="19"/>
        </w:rPr>
        <w:t>in</w:t>
      </w:r>
      <w:r>
        <w:rPr>
          <w:b w:val="0"/>
          <w:i/>
          <w:color w:val="000000"/>
          <w:sz w:val="19"/>
        </w:rPr>
        <w:t>run</w:t>
      </w:r>
      <w:r>
        <w:rPr>
          <w:b w:val="0"/>
          <w:i w:val="0"/>
          <w:color w:val="000000"/>
          <w:sz w:val="19"/>
        </w:rPr>
        <w:t>rate): Addbacks [J] Guided Living pre-acquisition results ($377K) and [K] Unicity pre-acquisition results ($1,077K) incorporate pre-close earnings of acquired entities into the TTM run-rate without audited s. Source: 2024 Elder Care - CIM</w:t>
      </w:r>
      <w:r>
        <w:rPr>
          <w:b w:val="0"/>
          <w:i/>
          <w:color w:val="000000"/>
          <w:sz w:val="19"/>
        </w:rPr>
        <w:t>vF.pdf.', 'source</w:t>
      </w:r>
      <w:r>
        <w:rPr>
          <w:b w:val="0"/>
          <w:i w:val="0"/>
          <w:color w:val="000000"/>
          <w:sz w:val="19"/>
        </w:rPr>
        <w:t>doc': '2024 Elder Care - CIM_vF.pdf', 'confidence': 'medium'}</w:t>
      </w:r>
    </w:p>
    <w:p>
      <w:pPr>
        <w:spacing w:before="20" w:after="20"/>
        <w:ind w:left="360" w:hanging="259"/>
      </w:pPr>
      <w:r>
        <w:rPr>
          <w:color w:val="000000"/>
          <w:sz w:val="19"/>
        </w:rPr>
        <w:t xml:space="preserve">• </w:t>
      </w:r>
      <w:r>
        <w:rPr>
          <w:b w:val="0"/>
          <w:i w:val="0"/>
          <w:color w:val="000000"/>
          <w:sz w:val="19"/>
        </w:rPr>
        <w:t>{'metric': 'revenue</w:t>
      </w:r>
      <w:r>
        <w:rPr>
          <w:b w:val="0"/>
          <w:i/>
          <w:color w:val="000000"/>
          <w:sz w:val="19"/>
        </w:rPr>
        <w:t>quality</w:t>
      </w:r>
      <w:r>
        <w:rPr>
          <w:b w:val="0"/>
          <w:i w:val="0"/>
          <w:color w:val="000000"/>
          <w:sz w:val="19"/>
        </w:rPr>
        <w:t>addbacks</w:t>
      </w:r>
      <w:r>
        <w:rPr>
          <w:b w:val="0"/>
          <w:i/>
          <w:color w:val="000000"/>
          <w:sz w:val="19"/>
        </w:rPr>
        <w:t>growing</w:t>
      </w:r>
      <w:r>
        <w:rPr>
          <w:b w:val="0"/>
          <w:i w:val="0"/>
          <w:color w:val="000000"/>
          <w:sz w:val="19"/>
        </w:rPr>
        <w:t>faster', 'value': 'Reported EBITDA was $(870) in FY2023 and $2,773 in TTM Aug-24 (reported). Total addbacks in the CIM ', 'threshold': 'Revenue quality pattern: addbacks</w:t>
      </w:r>
      <w:r>
        <w:rPr>
          <w:b w:val="0"/>
          <w:i/>
          <w:color w:val="000000"/>
          <w:sz w:val="19"/>
        </w:rPr>
        <w:t>growing</w:t>
      </w:r>
      <w:r>
        <w:rPr>
          <w:b w:val="0"/>
          <w:i w:val="0"/>
          <w:color w:val="000000"/>
          <w:sz w:val="19"/>
        </w:rPr>
        <w:t>faster', 'severity': 'Red', 'note': 'Revenue quality concern (addbacks</w:t>
      </w:r>
      <w:r>
        <w:rPr>
          <w:b w:val="0"/>
          <w:i/>
          <w:color w:val="000000"/>
          <w:sz w:val="19"/>
        </w:rPr>
        <w:t>growing</w:t>
      </w:r>
      <w:r>
        <w:rPr>
          <w:b w:val="0"/>
          <w:i w:val="0"/>
          <w:color w:val="000000"/>
          <w:sz w:val="19"/>
        </w:rPr>
        <w:t>faster): Reported EBITDA was $(870) in FY2023 and $2,773 in TTM Aug-24 (reported). Total addbacks in the CIM schedule include $1,529K of pro-forma/synergy items ([N], [O], [P]) layered on top of $1,454K of pre. Source: 2024 Elder Care - CIM</w:t>
      </w:r>
      <w:r>
        <w:rPr>
          <w:b w:val="0"/>
          <w:i/>
          <w:color w:val="000000"/>
          <w:sz w:val="19"/>
        </w:rPr>
        <w:t>vF.pdf.', 'source</w:t>
      </w:r>
      <w:r>
        <w:rPr>
          <w:b w:val="0"/>
          <w:i w:val="0"/>
          <w:color w:val="000000"/>
          <w:sz w:val="19"/>
        </w:rPr>
        <w:t>doc': '2024 Elder Care - CIM_vF.pdf', 'confidence': 'medium'}</w:t>
      </w:r>
    </w:p>
    <w:p>
      <w:pPr>
        <w:spacing w:before="20" w:after="20"/>
        <w:ind w:left="360" w:hanging="259"/>
      </w:pPr>
      <w:r>
        <w:rPr>
          <w:color w:val="000000"/>
          <w:sz w:val="19"/>
        </w:rPr>
        <w:t xml:space="preserve">• </w:t>
      </w:r>
      <w:r>
        <w:rPr>
          <w:b w:val="0"/>
          <w:i w:val="0"/>
          <w:color w:val="000000"/>
          <w:sz w:val="19"/>
        </w:rPr>
        <w:t>{'metric': 'revenue</w:t>
      </w:r>
      <w:r>
        <w:rPr>
          <w:b w:val="0"/>
          <w:i/>
          <w:color w:val="000000"/>
          <w:sz w:val="19"/>
        </w:rPr>
        <w:t>quality</w:t>
      </w:r>
      <w:r>
        <w:rPr>
          <w:b w:val="0"/>
          <w:i w:val="0"/>
          <w:color w:val="000000"/>
          <w:sz w:val="19"/>
        </w:rPr>
        <w:t>episodic</w:t>
      </w:r>
      <w:r>
        <w:rPr>
          <w:b w:val="0"/>
          <w:i/>
          <w:color w:val="000000"/>
          <w:sz w:val="19"/>
        </w:rPr>
        <w:t>revenue', 'value': 'Revenue mix includes Medicaid Waiver (11%), Veterans Administrative Programs (7%), and Long Term Car', 'threshold': 'Revenue quality pattern: episodic</w:t>
      </w:r>
      <w:r>
        <w:rPr>
          <w:b w:val="0"/>
          <w:i w:val="0"/>
          <w:color w:val="000000"/>
          <w:sz w:val="19"/>
        </w:rPr>
        <w:t>revenue', 'severity': 'Yellow', 'note': 'Revenue quality concern (episodic</w:t>
      </w:r>
      <w:r>
        <w:rPr>
          <w:b w:val="0"/>
          <w:i/>
          <w:color w:val="000000"/>
          <w:sz w:val="19"/>
        </w:rPr>
        <w:t>revenue): Revenue mix includes Medicaid Waiver (11%), Veterans Administrative Programs (7%), and Long Term Care Insurance (11%), all of which are subject to program eligibility changes, reimbursement rate risk,. Source: 2024 Elder Care - CIM</w:t>
      </w:r>
      <w:r>
        <w:rPr>
          <w:b w:val="0"/>
          <w:i w:val="0"/>
          <w:color w:val="000000"/>
          <w:sz w:val="19"/>
        </w:rPr>
        <w:t>vF.pdf.', 'source</w:t>
      </w:r>
      <w:r>
        <w:rPr>
          <w:b w:val="0"/>
          <w:i/>
          <w:color w:val="000000"/>
          <w:sz w:val="19"/>
        </w:rPr>
        <w:t>doc': '2024 Elder Care - CIM</w:t>
      </w:r>
      <w:r>
        <w:rPr>
          <w:b w:val="0"/>
          <w:i w:val="0"/>
          <w:color w:val="000000"/>
          <w:sz w:val="19"/>
        </w:rPr>
        <w:t>vF.pdf', 'confidence': 'medium'}</w:t>
      </w:r>
    </w:p>
    <w:p>
      <w:pPr>
        <w:spacing w:before="20" w:after="20"/>
        <w:ind w:left="360" w:hanging="259"/>
      </w:pPr>
      <w:r>
        <w:rPr>
          <w:color w:val="000000"/>
          <w:sz w:val="19"/>
        </w:rPr>
        <w:t xml:space="preserve">• </w:t>
      </w:r>
      <w:r>
        <w:rPr>
          <w:b w:val="0"/>
          <w:i w:val="0"/>
          <w:color w:val="000000"/>
          <w:sz w:val="19"/>
        </w:rPr>
        <w:t>{'metric': 'revenue</w:t>
      </w:r>
      <w:r>
        <w:rPr>
          <w:b w:val="0"/>
          <w:i/>
          <w:color w:val="000000"/>
          <w:sz w:val="19"/>
        </w:rPr>
        <w:t>quality</w:t>
      </w:r>
      <w:r>
        <w:rPr>
          <w:b w:val="0"/>
          <w:i w:val="0"/>
          <w:color w:val="000000"/>
          <w:sz w:val="19"/>
        </w:rPr>
        <w:t>non</w:t>
      </w:r>
      <w:r>
        <w:rPr>
          <w:b w:val="0"/>
          <w:i/>
          <w:color w:val="000000"/>
          <w:sz w:val="19"/>
        </w:rPr>
        <w:t>recurring</w:t>
      </w:r>
      <w:r>
        <w:rPr>
          <w:b w:val="0"/>
          <w:i w:val="0"/>
          <w:color w:val="000000"/>
          <w:sz w:val="19"/>
        </w:rPr>
        <w:t>in</w:t>
      </w:r>
      <w:r>
        <w:rPr>
          <w:b w:val="0"/>
          <w:i/>
          <w:color w:val="000000"/>
          <w:sz w:val="19"/>
        </w:rPr>
        <w:t>run</w:t>
      </w:r>
      <w:r>
        <w:rPr>
          <w:b w:val="0"/>
          <w:i w:val="0"/>
          <w:color w:val="000000"/>
          <w:sz w:val="19"/>
        </w:rPr>
        <w:t>rate', 'value': "Guided Living's Schedule M-1 (2022 tax return) shows an AR adjustment (accrual-to-cash) of $2,960 an", 'threshold': 'Revenue quality pattern: non</w:t>
      </w:r>
      <w:r>
        <w:rPr>
          <w:b w:val="0"/>
          <w:i/>
          <w:color w:val="000000"/>
          <w:sz w:val="19"/>
        </w:rPr>
        <w:t>recurring</w:t>
      </w:r>
      <w:r>
        <w:rPr>
          <w:b w:val="0"/>
          <w:i w:val="0"/>
          <w:color w:val="000000"/>
          <w:sz w:val="19"/>
        </w:rPr>
        <w:t>in</w:t>
      </w:r>
      <w:r>
        <w:rPr>
          <w:b w:val="0"/>
          <w:i/>
          <w:color w:val="000000"/>
          <w:sz w:val="19"/>
        </w:rPr>
        <w:t>run</w:t>
      </w:r>
      <w:r>
        <w:rPr>
          <w:b w:val="0"/>
          <w:i w:val="0"/>
          <w:color w:val="000000"/>
          <w:sz w:val="19"/>
        </w:rPr>
        <w:t>rate', 'severity': 'Yellow', 'note': "Revenue quality concern (non</w:t>
      </w:r>
      <w:r>
        <w:rPr>
          <w:b w:val="0"/>
          <w:i/>
          <w:color w:val="000000"/>
          <w:sz w:val="19"/>
        </w:rPr>
        <w:t>recurring</w:t>
      </w:r>
      <w:r>
        <w:rPr>
          <w:b w:val="0"/>
          <w:i w:val="0"/>
          <w:color w:val="000000"/>
          <w:sz w:val="19"/>
        </w:rPr>
        <w:t>in</w:t>
      </w:r>
      <w:r>
        <w:rPr>
          <w:b w:val="0"/>
          <w:i/>
          <w:color w:val="000000"/>
          <w:sz w:val="19"/>
        </w:rPr>
        <w:t>run</w:t>
      </w:r>
      <w:r>
        <w:rPr>
          <w:b w:val="0"/>
          <w:i w:val="0"/>
          <w:color w:val="000000"/>
          <w:sz w:val="19"/>
        </w:rPr>
        <w:t>rate): Guided Living's Schedule M-1 (2022 tax return) shows an AR adjustment (accrual-to-cash) of $2,960 and payroll liabilities accrual-to-cash of $8,415, indicating Guided Living also maintained cash-basis. Source: GUIDED LIVING SENIOR HOME CARE LLC</w:t>
      </w:r>
      <w:r>
        <w:rPr>
          <w:b w:val="0"/>
          <w:i/>
          <w:color w:val="000000"/>
          <w:sz w:val="19"/>
        </w:rPr>
        <w:t>2022</w:t>
      </w:r>
      <w:r>
        <w:rPr>
          <w:b w:val="0"/>
          <w:i w:val="0"/>
          <w:color w:val="000000"/>
          <w:sz w:val="19"/>
        </w:rPr>
        <w:t>1120S</w:t>
      </w:r>
      <w:r>
        <w:rPr>
          <w:b w:val="0"/>
          <w:i/>
          <w:color w:val="000000"/>
          <w:sz w:val="19"/>
        </w:rPr>
        <w:t>Tax Returns.pdf.", 'source</w:t>
      </w:r>
      <w:r>
        <w:rPr>
          <w:b w:val="0"/>
          <w:i w:val="0"/>
          <w:color w:val="000000"/>
          <w:sz w:val="19"/>
        </w:rPr>
        <w:t>doc': 'GUIDED LIVING SENIOR HOME CARE LLC</w:t>
      </w:r>
      <w:r>
        <w:rPr>
          <w:b w:val="0"/>
          <w:i/>
          <w:color w:val="000000"/>
          <w:sz w:val="19"/>
        </w:rPr>
        <w:t>2022</w:t>
      </w:r>
      <w:r>
        <w:rPr>
          <w:b w:val="0"/>
          <w:i w:val="0"/>
          <w:color w:val="000000"/>
          <w:sz w:val="19"/>
        </w:rPr>
        <w:t>1120S_Tax Returns.pdf', 'confidence': 'medium'}</w:t>
      </w:r>
    </w:p>
    <w:p>
      <w:pPr>
        <w:spacing w:before="80" w:after="80"/>
        <w:pBdr>
          <w:bottom w:val="single" w:sz="4" w:space="1" w:color="1F3864"/>
        </w:pBdr>
      </w:pPr>
    </w:p>
    <w:p>
      <w:pPr>
        <w:spacing w:before="0" w:after="80"/>
        <w:jc w:val="center"/>
      </w:pPr>
      <w:r>
        <w:rPr>
          <w:b/>
          <w:color w:val="1F3864"/>
          <w:sz w:val="40"/>
        </w:rPr>
        <w:t>7. Forecast &amp; Underwriting Support</w:t>
      </w:r>
    </w:p>
    <w:p>
      <w:pPr>
        <w:spacing w:before="240" w:after="60"/>
        <w:pBdr>
          <w:bottom w:val="single" w:sz="8" w:space="1" w:color="1F3864"/>
        </w:pBdr>
      </w:pPr>
      <w:r>
        <w:rPr>
          <w:b/>
          <w:color w:val="1F3864"/>
          <w:sz w:val="26"/>
        </w:rPr>
        <w:t>Preliminary Investment View</w:t>
      </w:r>
    </w:p>
    <w:p>
      <w:pPr>
        <w:spacing w:before="40" w:after="40"/>
      </w:pPr>
      <w:r>
        <w:rPr>
          <w:b w:val="0"/>
          <w:i/>
          <w:color w:val="000000"/>
          <w:sz w:val="19"/>
        </w:rPr>
        <w:t>Forecast thesis bullets not yet attempted — see company_framing.thesis fill_state.</w:t>
      </w:r>
    </w:p>
    <w:p>
      <w:pPr>
        <w:spacing w:before="80" w:after="80"/>
        <w:pBdr>
          <w:bottom w:val="single" w:sz="4" w:space="1" w:color="1F3864"/>
        </w:pBdr>
      </w:pPr>
    </w:p>
    <w:p>
      <w:pPr>
        <w:spacing w:before="240" w:after="60"/>
        <w:pBdr>
          <w:bottom w:val="single" w:sz="8" w:space="1" w:color="1F3864"/>
        </w:pBdr>
      </w:pPr>
      <w:r>
        <w:rPr>
          <w:b/>
          <w:color w:val="1F3864"/>
          <w:sz w:val="26"/>
        </w:rPr>
        <w:t>Key Value Creation Levers</w:t>
      </w:r>
    </w:p>
    <w:p>
      <w:pPr>
        <w:spacing w:before="40" w:after="40"/>
      </w:pPr>
      <w:r>
        <w:rPr>
          <w:b w:val="0"/>
          <w:i/>
          <w:color w:val="000000"/>
          <w:sz w:val="19"/>
        </w:rPr>
        <w:t>Value creation levers not yet synthesized.</w:t>
      </w:r>
    </w:p>
    <w:p>
      <w:pPr>
        <w:spacing w:before="80" w:after="80"/>
        <w:pBdr>
          <w:bottom w:val="single" w:sz="4" w:space="1" w:color="1F3864"/>
        </w:pBdr>
      </w:pPr>
    </w:p>
    <w:p>
      <w:pPr>
        <w:spacing w:before="240" w:after="60"/>
        <w:pBdr>
          <w:bottom w:val="single" w:sz="8" w:space="1" w:color="1F3864"/>
        </w:pBdr>
      </w:pPr>
      <w:r>
        <w:rPr>
          <w:b/>
          <w:color w:val="1F3864"/>
          <w:sz w:val="26"/>
        </w:rPr>
        <w:t>Forecast Confidence</w:t>
      </w:r>
    </w:p>
    <w:p>
      <w:pPr>
        <w:spacing w:before="40" w:after="40"/>
      </w:pPr>
      <w:r>
        <w:rPr>
          <w:b w:val="0"/>
          <w:i w:val="0"/>
          <w:color w:val="000000"/>
          <w:sz w:val="19"/>
        </w:rPr>
        <w:t xml:space="preserve">Area confidence for forecast support: </w:t>
      </w:r>
      <w:r>
        <w:rPr>
          <w:b/>
          <w:i w:val="0"/>
          <w:color w:val="000000"/>
          <w:sz w:val="19"/>
        </w:rPr>
        <w:t>Low</w:t>
      </w:r>
    </w:p>
    <w:p>
      <w:pPr>
        <w:spacing w:before="80" w:after="80"/>
        <w:pBdr>
          <w:bottom w:val="single" w:sz="4" w:space="1" w:color="1F3864"/>
        </w:pBdr>
      </w:pPr>
    </w:p>
    <w:p>
      <w:pPr>
        <w:spacing w:before="0" w:after="80"/>
        <w:jc w:val="center"/>
      </w:pPr>
      <w:r>
        <w:rPr>
          <w:b/>
          <w:color w:val="1F3864"/>
          <w:sz w:val="40"/>
        </w:rPr>
        <w:t>8. Red Flags &amp; Diligence Questions</w:t>
      </w:r>
    </w:p>
    <w:p>
      <w:pPr>
        <w:spacing w:before="240" w:after="60"/>
        <w:pBdr>
          <w:bottom w:val="single" w:sz="8" w:space="1" w:color="1F3864"/>
        </w:pBdr>
      </w:pPr>
      <w:r>
        <w:rPr>
          <w:b/>
          <w:color w:val="1F3864"/>
          <w:sz w:val="26"/>
        </w:rPr>
        <w:t>Top Risks</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Priority</w:t>
            </w:r>
          </w:p>
        </w:tc>
        <w:tc>
          <w:tcPr>
            <w:tcW w:type="dxa" w:w="1714"/>
            <w:vAlign w:val="center"/>
            <w:shd w:val="clear" w:color="auto" w:fill="1F3864"/>
          </w:tcPr>
          <w:p>
            <w:pPr>
              <w:spacing w:before="20" w:after="20"/>
              <w:ind w:left="72"/>
            </w:pPr>
            <w:r>
              <w:rPr>
                <w:b/>
                <w:i w:val="0"/>
                <w:color w:val="FFFFFF"/>
                <w:sz w:val="18"/>
              </w:rPr>
              <w:t>Risk</w:t>
            </w:r>
          </w:p>
        </w:tc>
        <w:tc>
          <w:tcPr>
            <w:tcW w:type="dxa" w:w="1714"/>
            <w:vAlign w:val="center"/>
            <w:shd w:val="clear" w:color="auto" w:fill="1F3864"/>
          </w:tcPr>
          <w:p>
            <w:pPr>
              <w:spacing w:before="20" w:after="20"/>
              <w:ind w:left="72"/>
            </w:pPr>
            <w:r>
              <w:rPr>
                <w:b/>
                <w:i w:val="0"/>
                <w:color w:val="FFFFFF"/>
                <w:sz w:val="18"/>
              </w:rPr>
              <w:t>Severity</w:t>
            </w:r>
          </w:p>
        </w:tc>
        <w:tc>
          <w:tcPr>
            <w:tcW w:type="dxa" w:w="1714"/>
            <w:vAlign w:val="center"/>
            <w:shd w:val="clear" w:color="auto" w:fill="1F3864"/>
          </w:tcPr>
          <w:p>
            <w:pPr>
              <w:spacing w:before="20" w:after="20"/>
              <w:ind w:left="72"/>
            </w:pPr>
            <w:r>
              <w:rPr>
                <w:b/>
                <w:i w:val="0"/>
                <w:color w:val="FFFFFF"/>
                <w:sz w:val="18"/>
              </w:rPr>
              <w:t>Mitigant / Question</w:t>
            </w:r>
          </w:p>
        </w:tc>
        <w:tc>
          <w:tcPr>
            <w:tcW w:type="dxa" w:w="1714"/>
            <w:vAlign w:val="center"/>
            <w:shd w:val="clear" w:color="auto" w:fill="1F3864"/>
          </w:tcPr>
          <w:p>
            <w:pPr>
              <w:spacing w:before="20" w:after="20"/>
              <w:ind w:left="72"/>
            </w:pPr>
            <w:r>
              <w:rPr>
                <w:b/>
                <w:i w:val="0"/>
                <w:color w:val="FFFFFF"/>
                <w:sz w:val="18"/>
              </w:rPr>
              <w:t>Fill State</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1</w:t>
            </w:r>
          </w:p>
        </w:tc>
        <w:tc>
          <w:tcPr>
            <w:tcW w:type="dxa" w:w="1714"/>
            <w:vAlign w:val="center"/>
            <w:shd w:val="clear" w:color="auto" w:fill="1F3864"/>
          </w:tcPr>
          <w:p>
            <w:pPr>
              <w:spacing w:before="20" w:after="20"/>
              <w:ind w:left="72"/>
            </w:pPr>
            <w:r>
              <w:rPr>
                <w:b/>
                <w:i w:val="0"/>
                <w:color w:val="FFFFFF"/>
                <w:sz w:val="18"/>
              </w:rPr>
              <w:t>ebitda</w:t>
            </w:r>
            <w:r>
              <w:rPr>
                <w:b/>
                <w:i/>
                <w:color w:val="FFFFFF"/>
                <w:sz w:val="18"/>
              </w:rPr>
              <w:t>margin</w:t>
            </w:r>
            <w:r>
              <w:rPr>
                <w:b/>
                <w:i w:val="0"/>
                <w:color w:val="FFFFFF"/>
                <w:sz w:val="18"/>
              </w:rPr>
              <w:t>pct</w:t>
            </w:r>
          </w:p>
        </w:tc>
        <w:tc>
          <w:tcPr>
            <w:tcW w:type="dxa" w:w="1714"/>
            <w:vAlign w:val="center"/>
            <w:shd w:val="clear" w:color="auto" w:fill="1F3864"/>
          </w:tcPr>
          <w:p>
            <w:pPr>
              <w:spacing w:before="20" w:after="20"/>
              <w:ind w:left="72"/>
            </w:pPr>
            <w:r>
              <w:rPr>
                <w:b/>
                <w:i w:val="0"/>
                <w:color w:val="FFFFFF"/>
                <w:sz w:val="18"/>
              </w:rPr>
              <w:t>critical</w:t>
            </w:r>
          </w:p>
        </w:tc>
        <w:tc>
          <w:tcPr>
            <w:tcW w:type="dxa" w:w="1714"/>
            <w:vAlign w:val="center"/>
            <w:shd w:val="clear" w:color="auto" w:fill="1F3864"/>
          </w:tcPr>
          <w:p>
            <w:pPr>
              <w:spacing w:before="20" w:after="20"/>
              <w:ind w:left="72"/>
            </w:pPr>
            <w:r>
              <w:rPr>
                <w:b/>
                <w:i w:val="0"/>
                <w:color w:val="FFFFFF"/>
                <w:sz w:val="18"/>
              </w:rPr>
              <w:t>EBITDA margin of 7.9% is below the ~10% threshold, which may indicate labor inefficiency, weak reimbursement, poor scheduling/utilization, high admin burden, or lack of scale. Source: 2024 Elder Care - CIM_vF.pdf.</w:t>
            </w:r>
          </w:p>
        </w:tc>
        <w:tc>
          <w:tcPr>
            <w:tcW w:type="dxa" w:w="1714"/>
            <w:vAlign w:val="center"/>
            <w:shd w:val="clear" w:color="auto" w:fill="1F3864"/>
          </w:tcPr>
          <w:p>
            <w:pPr>
              <w:spacing w:before="20" w:after="20"/>
              <w:ind w:left="72"/>
            </w:pPr>
            <w:r>
              <w:rPr>
                <w:b/>
                <w:i w:val="0"/>
                <w:color w:val="FFFFFF"/>
                <w:sz w:val="18"/>
              </w:rPr>
              <w:t>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2</w:t>
            </w:r>
          </w:p>
        </w:tc>
        <w:tc>
          <w:tcPr>
            <w:tcW w:type="dxa" w:w="1714"/>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1714"/>
            <w:vAlign w:val="center"/>
            <w:shd w:val="clear" w:color="auto" w:fill="1F3864"/>
          </w:tcPr>
          <w:p>
            <w:pPr>
              <w:spacing w:before="20" w:after="20"/>
              <w:ind w:left="72"/>
            </w:pPr>
            <w:r>
              <w:rPr>
                <w:b/>
                <w:i w:val="0"/>
                <w:color w:val="FFFFFF"/>
                <w:sz w:val="18"/>
              </w:rPr>
              <w:t>critical</w:t>
            </w:r>
          </w:p>
        </w:tc>
        <w:tc>
          <w:tcPr>
            <w:tcW w:type="dxa" w:w="1714"/>
            <w:vAlign w:val="center"/>
            <w:shd w:val="clear" w:color="auto" w:fill="1F3864"/>
          </w:tcPr>
          <w:p>
            <w:pPr>
              <w:spacing w:before="20" w:after="20"/>
              <w:ind w:left="72"/>
            </w:pPr>
            <w:r>
              <w:rPr>
                <w:b/>
                <w:i w:val="0"/>
                <w:color w:val="FFFFFF"/>
                <w:sz w:val="18"/>
              </w:rPr>
              <w:t>Addback &gt;5% of EBITDA (13.6%) with no VDR document support: [J] Guided Living pre-acquisition results. Source: 2024 Elder Care - CIM_vF.pdf.</w:t>
            </w:r>
          </w:p>
        </w:tc>
        <w:tc>
          <w:tcPr>
            <w:tcW w:type="dxa" w:w="1714"/>
            <w:vAlign w:val="center"/>
            <w:shd w:val="clear" w:color="auto" w:fill="1F3864"/>
          </w:tcPr>
          <w:p>
            <w:pPr>
              <w:spacing w:before="20" w:after="20"/>
              <w:ind w:left="72"/>
            </w:pPr>
            <w:r>
              <w:rPr>
                <w:b/>
                <w:i w:val="0"/>
                <w:color w:val="FFFFFF"/>
                <w:sz w:val="18"/>
              </w:rPr>
              <w:t>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3</w:t>
            </w:r>
          </w:p>
        </w:tc>
        <w:tc>
          <w:tcPr>
            <w:tcW w:type="dxa" w:w="1714"/>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1714"/>
            <w:vAlign w:val="center"/>
            <w:shd w:val="clear" w:color="auto" w:fill="1F3864"/>
          </w:tcPr>
          <w:p>
            <w:pPr>
              <w:spacing w:before="20" w:after="20"/>
              <w:ind w:left="72"/>
            </w:pPr>
            <w:r>
              <w:rPr>
                <w:b/>
                <w:i w:val="0"/>
                <w:color w:val="FFFFFF"/>
                <w:sz w:val="18"/>
              </w:rPr>
              <w:t>critical</w:t>
            </w:r>
          </w:p>
        </w:tc>
        <w:tc>
          <w:tcPr>
            <w:tcW w:type="dxa" w:w="1714"/>
            <w:vAlign w:val="center"/>
            <w:shd w:val="clear" w:color="auto" w:fill="1F3864"/>
          </w:tcPr>
          <w:p>
            <w:pPr>
              <w:spacing w:before="20" w:after="20"/>
              <w:ind w:left="72"/>
            </w:pPr>
            <w:r>
              <w:rPr>
                <w:b/>
                <w:i w:val="0"/>
                <w:color w:val="FFFFFF"/>
                <w:sz w:val="18"/>
              </w:rPr>
              <w:t>Addback &gt;5% of EBITDA (15.5%) with no VDR document support: [N] Guided Living ramp-up/maturity adjustment. Source: 2024 Elder Care - CIM_vF.pdf.</w:t>
            </w:r>
          </w:p>
        </w:tc>
        <w:tc>
          <w:tcPr>
            <w:tcW w:type="dxa" w:w="1714"/>
            <w:vAlign w:val="center"/>
            <w:shd w:val="clear" w:color="auto" w:fill="1F3864"/>
          </w:tcPr>
          <w:p>
            <w:pPr>
              <w:spacing w:before="20" w:after="20"/>
              <w:ind w:left="72"/>
            </w:pPr>
            <w:r>
              <w:rPr>
                <w:b/>
                <w:i w:val="0"/>
                <w:color w:val="FFFFFF"/>
                <w:sz w:val="18"/>
              </w:rPr>
              <w:t>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4</w:t>
            </w:r>
          </w:p>
        </w:tc>
        <w:tc>
          <w:tcPr>
            <w:tcW w:type="dxa" w:w="1714"/>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1714"/>
            <w:vAlign w:val="center"/>
            <w:shd w:val="clear" w:color="auto" w:fill="1F3864"/>
          </w:tcPr>
          <w:p>
            <w:pPr>
              <w:spacing w:before="20" w:after="20"/>
              <w:ind w:left="72"/>
            </w:pPr>
            <w:r>
              <w:rPr>
                <w:b/>
                <w:i w:val="0"/>
                <w:color w:val="FFFFFF"/>
                <w:sz w:val="18"/>
              </w:rPr>
              <w:t>critical</w:t>
            </w:r>
          </w:p>
        </w:tc>
        <w:tc>
          <w:tcPr>
            <w:tcW w:type="dxa" w:w="1714"/>
            <w:vAlign w:val="center"/>
            <w:shd w:val="clear" w:color="auto" w:fill="1F3864"/>
          </w:tcPr>
          <w:p>
            <w:pPr>
              <w:spacing w:before="20" w:after="20"/>
              <w:ind w:left="72"/>
            </w:pPr>
            <w:r>
              <w:rPr>
                <w:b/>
                <w:i w:val="0"/>
                <w:color w:val="FFFFFF"/>
                <w:sz w:val="18"/>
              </w:rPr>
              <w:t>Addback &gt;5% of EBITDA (24.0%) with no VDR document support: [D] Cash-to-accrual revenue adjustment. Source: 2024 Elder Care - CIM_vF.pdf.</w:t>
            </w:r>
          </w:p>
        </w:tc>
        <w:tc>
          <w:tcPr>
            <w:tcW w:type="dxa" w:w="1714"/>
            <w:vAlign w:val="center"/>
            <w:shd w:val="clear" w:color="auto" w:fill="1F3864"/>
          </w:tcPr>
          <w:p>
            <w:pPr>
              <w:spacing w:before="20" w:after="20"/>
              <w:ind w:left="72"/>
            </w:pPr>
            <w:r>
              <w:rPr>
                <w:b/>
                <w:i w:val="0"/>
                <w:color w:val="FFFFFF"/>
                <w:sz w:val="18"/>
              </w:rPr>
              <w:t>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5</w:t>
            </w:r>
          </w:p>
        </w:tc>
        <w:tc>
          <w:tcPr>
            <w:tcW w:type="dxa" w:w="1714"/>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1714"/>
            <w:vAlign w:val="center"/>
            <w:shd w:val="clear" w:color="auto" w:fill="1F3864"/>
          </w:tcPr>
          <w:p>
            <w:pPr>
              <w:spacing w:before="20" w:after="20"/>
              <w:ind w:left="72"/>
            </w:pPr>
            <w:r>
              <w:rPr>
                <w:b/>
                <w:i w:val="0"/>
                <w:color w:val="FFFFFF"/>
                <w:sz w:val="18"/>
              </w:rPr>
              <w:t>critical</w:t>
            </w:r>
          </w:p>
        </w:tc>
        <w:tc>
          <w:tcPr>
            <w:tcW w:type="dxa" w:w="1714"/>
            <w:vAlign w:val="center"/>
            <w:shd w:val="clear" w:color="auto" w:fill="1F3864"/>
          </w:tcPr>
          <w:p>
            <w:pPr>
              <w:spacing w:before="20" w:after="20"/>
              <w:ind w:left="72"/>
            </w:pPr>
            <w:r>
              <w:rPr>
                <w:b/>
                <w:i w:val="0"/>
                <w:color w:val="FFFFFF"/>
                <w:sz w:val="18"/>
              </w:rPr>
              <w:t>Addback &gt;5% of EBITDA (32.8%) with no VDR document support: [O] Unicity incremental earnings from synergies. Source: 2024 Elder Care - CIM_vF.pdf.</w:t>
            </w:r>
          </w:p>
        </w:tc>
        <w:tc>
          <w:tcPr>
            <w:tcW w:type="dxa" w:w="1714"/>
            <w:vAlign w:val="center"/>
            <w:shd w:val="clear" w:color="auto" w:fill="1F3864"/>
          </w:tcPr>
          <w:p>
            <w:pPr>
              <w:spacing w:before="20" w:after="20"/>
              <w:ind w:left="72"/>
            </w:pPr>
            <w:r>
              <w:rPr>
                <w:b/>
                <w:i w:val="0"/>
                <w:color w:val="FFFFFF"/>
                <w:sz w:val="18"/>
              </w:rPr>
              <w:t>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6</w:t>
            </w:r>
          </w:p>
        </w:tc>
        <w:tc>
          <w:tcPr>
            <w:tcW w:type="dxa" w:w="1714"/>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1714"/>
            <w:vAlign w:val="center"/>
            <w:shd w:val="clear" w:color="auto" w:fill="1F3864"/>
          </w:tcPr>
          <w:p>
            <w:pPr>
              <w:spacing w:before="20" w:after="20"/>
              <w:ind w:left="72"/>
            </w:pPr>
            <w:r>
              <w:rPr>
                <w:b/>
                <w:i w:val="0"/>
                <w:color w:val="FFFFFF"/>
                <w:sz w:val="18"/>
              </w:rPr>
              <w:t>critical</w:t>
            </w:r>
          </w:p>
        </w:tc>
        <w:tc>
          <w:tcPr>
            <w:tcW w:type="dxa" w:w="1714"/>
            <w:vAlign w:val="center"/>
            <w:shd w:val="clear" w:color="auto" w:fill="1F3864"/>
          </w:tcPr>
          <w:p>
            <w:pPr>
              <w:spacing w:before="20" w:after="20"/>
              <w:ind w:left="72"/>
            </w:pPr>
            <w:r>
              <w:rPr>
                <w:b/>
                <w:i w:val="0"/>
                <w:color w:val="FFFFFF"/>
                <w:sz w:val="18"/>
              </w:rPr>
              <w:t>Addback &gt;5% of EBITDA (38.8%) with no VDR document support: [K] Unicity pre-acquisition results. Source: 2024 Elder Care - CIM_vF.pdf.</w:t>
            </w:r>
          </w:p>
        </w:tc>
        <w:tc>
          <w:tcPr>
            <w:tcW w:type="dxa" w:w="1714"/>
            <w:vAlign w:val="center"/>
            <w:shd w:val="clear" w:color="auto" w:fill="1F3864"/>
          </w:tcPr>
          <w:p>
            <w:pPr>
              <w:spacing w:before="20" w:after="20"/>
              <w:ind w:left="72"/>
            </w:pPr>
            <w:r>
              <w:rPr>
                <w:b/>
                <w:i w:val="0"/>
                <w:color w:val="FFFFFF"/>
                <w:sz w:val="18"/>
              </w:rPr>
              <w:t>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7</w:t>
            </w:r>
          </w:p>
        </w:tc>
        <w:tc>
          <w:tcPr>
            <w:tcW w:type="dxa" w:w="1714"/>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1714"/>
            <w:vAlign w:val="center"/>
            <w:shd w:val="clear" w:color="auto" w:fill="1F3864"/>
          </w:tcPr>
          <w:p>
            <w:pPr>
              <w:spacing w:before="20" w:after="20"/>
              <w:ind w:left="72"/>
            </w:pPr>
            <w:r>
              <w:rPr>
                <w:b/>
                <w:i w:val="0"/>
                <w:color w:val="FFFFFF"/>
                <w:sz w:val="18"/>
              </w:rPr>
              <w:t>critical</w:t>
            </w:r>
          </w:p>
        </w:tc>
        <w:tc>
          <w:tcPr>
            <w:tcW w:type="dxa" w:w="1714"/>
            <w:vAlign w:val="center"/>
            <w:shd w:val="clear" w:color="auto" w:fill="1F3864"/>
          </w:tcPr>
          <w:p>
            <w:pPr>
              <w:spacing w:before="20" w:after="20"/>
              <w:ind w:left="72"/>
            </w:pPr>
            <w:r>
              <w:rPr>
                <w:b/>
                <w:i w:val="0"/>
                <w:color w:val="FFFFFF"/>
                <w:sz w:val="18"/>
              </w:rPr>
              <w:t>Addback &gt;5% of EBITDA (5.7%) with no VDR document support: [E] Payroll accrual. Source: 2024 Elder Care - CIM_vF.pdf.</w:t>
            </w:r>
          </w:p>
        </w:tc>
        <w:tc>
          <w:tcPr>
            <w:tcW w:type="dxa" w:w="1714"/>
            <w:vAlign w:val="center"/>
            <w:shd w:val="clear" w:color="auto" w:fill="1F3864"/>
          </w:tcPr>
          <w:p>
            <w:pPr>
              <w:spacing w:before="20" w:after="20"/>
              <w:ind w:left="72"/>
            </w:pPr>
            <w:r>
              <w:rPr>
                <w:b/>
                <w:i w:val="0"/>
                <w:color w:val="FFFFFF"/>
                <w:sz w:val="18"/>
              </w:rPr>
              <w:t>filled_cited</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8</w:t>
            </w:r>
          </w:p>
        </w:tc>
        <w:tc>
          <w:tcPr>
            <w:tcW w:type="dxa" w:w="1714"/>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1714"/>
            <w:vAlign w:val="center"/>
            <w:shd w:val="clear" w:color="auto" w:fill="1F3864"/>
          </w:tcPr>
          <w:p>
            <w:pPr>
              <w:spacing w:before="20" w:after="20"/>
              <w:ind w:left="72"/>
            </w:pPr>
            <w:r>
              <w:rPr>
                <w:b/>
                <w:i w:val="0"/>
                <w:color w:val="FFFFFF"/>
                <w:sz w:val="18"/>
              </w:rPr>
              <w:t>critical</w:t>
            </w:r>
          </w:p>
        </w:tc>
        <w:tc>
          <w:tcPr>
            <w:tcW w:type="dxa" w:w="1714"/>
            <w:vAlign w:val="center"/>
            <w:shd w:val="clear" w:color="auto" w:fill="1F3864"/>
          </w:tcPr>
          <w:p>
            <w:pPr>
              <w:spacing w:before="20" w:after="20"/>
              <w:ind w:left="72"/>
            </w:pPr>
            <w:r>
              <w:rPr>
                <w:b/>
                <w:i w:val="0"/>
                <w:color w:val="FFFFFF"/>
                <w:sz w:val="18"/>
              </w:rPr>
              <w:t>Addback &gt;5% of EBITDA (6.6%) with no VDR document support: [B] Non-recurring transactions. Source: 2024 Elder Care - CIM_vF.pdf.</w:t>
            </w:r>
          </w:p>
        </w:tc>
        <w:tc>
          <w:tcPr>
            <w:tcW w:type="dxa" w:w="1714"/>
            <w:vAlign w:val="center"/>
            <w:shd w:val="clear" w:color="auto" w:fill="1F3864"/>
          </w:tcPr>
          <w:p>
            <w:pPr>
              <w:spacing w:before="20" w:after="20"/>
              <w:ind w:left="72"/>
            </w:pPr>
            <w:r>
              <w:rPr>
                <w:b/>
                <w:i w:val="0"/>
                <w:color w:val="FFFFFF"/>
                <w:sz w:val="18"/>
              </w:rPr>
              <w:t>filled_cited</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Top Management Questions</w:t>
      </w:r>
    </w:p>
    <w:p>
      <w:pPr>
        <w:spacing w:before="40" w:after="40"/>
      </w:pPr>
      <w:r>
        <w:rPr>
          <w:b w:val="0"/>
          <w:i w:val="0"/>
          <w:color w:val="000000"/>
          <w:sz w:val="19"/>
        </w:rPr>
        <w:t xml:space="preserve">1. Request and review Healthcare Referral Agreements </w:t>
      </w:r>
      <w:r>
        <w:rPr>
          <w:b w:val="0"/>
          <w:i/>
          <w:color w:val="000000"/>
          <w:sz w:val="19"/>
        </w:rPr>
        <w:t>(priority: High, category: legal)</w:t>
      </w:r>
    </w:p>
    <w:p>
      <w:pPr>
        <w:spacing w:before="40" w:after="40"/>
      </w:pPr>
      <w:r>
        <w:rPr>
          <w:b w:val="0"/>
          <w:i w:val="0"/>
          <w:color w:val="000000"/>
          <w:sz w:val="19"/>
        </w:rPr>
        <w:t>2. Provide supporting data for KPI: {'kpi</w:t>
      </w:r>
      <w:r>
        <w:rPr>
          <w:b w:val="0"/>
          <w:i/>
          <w:color w:val="000000"/>
          <w:sz w:val="19"/>
        </w:rPr>
        <w:t>name': 'census / active client count', 'overlay': 'healthcare</w:t>
      </w:r>
      <w:r>
        <w:rPr>
          <w:b w:val="0"/>
          <w:i w:val="0"/>
          <w:color w:val="000000"/>
          <w:sz w:val="19"/>
        </w:rPr>
        <w:t>services', 'why</w:t>
      </w:r>
      <w:r>
        <w:rPr>
          <w:b w:val="0"/>
          <w:i/>
          <w:color w:val="000000"/>
          <w:sz w:val="19"/>
        </w:rPr>
        <w:t>expected': 'Core home care operational metric; total active clients served is required to assess capacity utilization and revenue per client.', 'management</w:t>
      </w:r>
      <w:r>
        <w:rPr>
          <w:b w:val="0"/>
          <w:i w:val="0"/>
          <w:color w:val="000000"/>
          <w:sz w:val="19"/>
        </w:rPr>
        <w:t xml:space="preserve">question': 'What is the current total active client census by market/region, and how has it trended monthly over the past 24 months?'} </w:t>
      </w:r>
      <w:r>
        <w:rPr>
          <w:b w:val="0"/>
          <w:i/>
          <w:color w:val="000000"/>
          <w:sz w:val="19"/>
        </w:rPr>
        <w:t>(priority: medium, category: kpi)</w:t>
      </w:r>
    </w:p>
    <w:p>
      <w:pPr>
        <w:spacing w:before="40" w:after="40"/>
      </w:pPr>
      <w:r>
        <w:rPr>
          <w:b w:val="0"/>
          <w:i w:val="0"/>
          <w:color w:val="000000"/>
          <w:sz w:val="19"/>
        </w:rPr>
        <w:t>3. Provide supporting data for KPI: {'kpi</w:t>
      </w:r>
      <w:r>
        <w:rPr>
          <w:b w:val="0"/>
          <w:i/>
          <w:color w:val="000000"/>
          <w:sz w:val="19"/>
        </w:rPr>
        <w:t>name': 'caregiver turnover rate', 'overlay': 'healthcare</w:t>
      </w:r>
      <w:r>
        <w:rPr>
          <w:b w:val="0"/>
          <w:i w:val="0"/>
          <w:color w:val="000000"/>
          <w:sz w:val="19"/>
        </w:rPr>
        <w:t>services', 'why</w:t>
      </w:r>
      <w:r>
        <w:rPr>
          <w:b w:val="0"/>
          <w:i/>
          <w:color w:val="000000"/>
          <w:sz w:val="19"/>
        </w:rPr>
        <w:t>expected': 'Caregiver turnover is a primary operational risk and cost driver in home care; no annualized or period turnover rate is stated in any document.', 'management</w:t>
      </w:r>
      <w:r>
        <w:rPr>
          <w:b w:val="0"/>
          <w:i w:val="0"/>
          <w:color w:val="000000"/>
          <w:sz w:val="19"/>
        </w:rPr>
        <w:t xml:space="preserve">question': 'What is the annualized caregiver turnover rate (voluntary and involuntary) by market for the past two fiscal years, and how does it compare to industry benchmarks?'} </w:t>
      </w:r>
      <w:r>
        <w:rPr>
          <w:b w:val="0"/>
          <w:i/>
          <w:color w:val="000000"/>
          <w:sz w:val="19"/>
        </w:rPr>
        <w:t>(priority: medium, category: kpi)</w:t>
      </w:r>
    </w:p>
    <w:p>
      <w:pPr>
        <w:spacing w:before="40" w:after="40"/>
      </w:pPr>
      <w:r>
        <w:rPr>
          <w:b w:val="0"/>
          <w:i w:val="0"/>
          <w:color w:val="000000"/>
          <w:sz w:val="19"/>
        </w:rPr>
        <w:t>4. Provide supporting data for KPI: {'kpi</w:t>
      </w:r>
      <w:r>
        <w:rPr>
          <w:b w:val="0"/>
          <w:i/>
          <w:color w:val="000000"/>
          <w:sz w:val="19"/>
        </w:rPr>
        <w:t>name': 'payor mix breakdown', 'overlay': 'healthcare</w:t>
      </w:r>
      <w:r>
        <w:rPr>
          <w:b w:val="0"/>
          <w:i w:val="0"/>
          <w:color w:val="000000"/>
          <w:sz w:val="19"/>
        </w:rPr>
        <w:t>services', 'why</w:t>
      </w:r>
      <w:r>
        <w:rPr>
          <w:b w:val="0"/>
          <w:i/>
          <w:color w:val="000000"/>
          <w:sz w:val="19"/>
        </w:rPr>
        <w:t>expected': 'Payor mix (Private Pay, Medicaid Waiver, LTC Insurance, VA, Other) is referenced at the company level in the profile but no document provides a current or trended payor mix by market or period.', 'management</w:t>
      </w:r>
      <w:r>
        <w:rPr>
          <w:b w:val="0"/>
          <w:i w:val="0"/>
          <w:color w:val="000000"/>
          <w:sz w:val="19"/>
        </w:rPr>
        <w:t xml:space="preserve">question': 'Can management provide a monthly payor mix breakdown by market for the TTM period, including any shifts in Medicaid Waiver or VA program concentration?'} </w:t>
      </w:r>
      <w:r>
        <w:rPr>
          <w:b w:val="0"/>
          <w:i/>
          <w:color w:val="000000"/>
          <w:sz w:val="19"/>
        </w:rPr>
        <w:t>(priority: medium, category: kpi)</w:t>
      </w:r>
    </w:p>
    <w:p>
      <w:pPr>
        <w:spacing w:before="40" w:after="40"/>
      </w:pPr>
      <w:r>
        <w:rPr>
          <w:b w:val="0"/>
          <w:i w:val="0"/>
          <w:color w:val="000000"/>
          <w:sz w:val="19"/>
        </w:rPr>
        <w:t>5. Provide supporting data for KPI: {'kpi</w:t>
      </w:r>
      <w:r>
        <w:rPr>
          <w:b w:val="0"/>
          <w:i/>
          <w:color w:val="000000"/>
          <w:sz w:val="19"/>
        </w:rPr>
        <w:t>name': 'AR aging by payor', 'overlay': 'healthcare</w:t>
      </w:r>
      <w:r>
        <w:rPr>
          <w:b w:val="0"/>
          <w:i w:val="0"/>
          <w:color w:val="000000"/>
          <w:sz w:val="19"/>
        </w:rPr>
        <w:t>services', 'why</w:t>
      </w:r>
      <w:r>
        <w:rPr>
          <w:b w:val="0"/>
          <w:i/>
          <w:color w:val="000000"/>
          <w:sz w:val="19"/>
        </w:rPr>
        <w:t>expected': 'AR aging by payor class is a critical billing health indicator for home care, particularly for government and insurance payors with longer collection cycles.', 'management</w:t>
      </w:r>
      <w:r>
        <w:rPr>
          <w:b w:val="0"/>
          <w:i w:val="0"/>
          <w:color w:val="000000"/>
          <w:sz w:val="19"/>
        </w:rPr>
        <w:t xml:space="preserve">question': 'Please provide an AR aging schedule segmented by payor class (Private Pay, Medicaid Waiver, LTC Insurance, VA) as of the most recent month-end, including DSO by payor.'} </w:t>
      </w:r>
      <w:r>
        <w:rPr>
          <w:b w:val="0"/>
          <w:i/>
          <w:color w:val="000000"/>
          <w:sz w:val="19"/>
        </w:rPr>
        <w:t>(priority: medium, category: kpi)</w:t>
      </w:r>
    </w:p>
    <w:p>
      <w:pPr>
        <w:spacing w:before="80" w:after="80"/>
        <w:pBdr>
          <w:bottom w:val="single" w:sz="4" w:space="1" w:color="1F3864"/>
        </w:pBdr>
      </w:pPr>
    </w:p>
    <w:p>
      <w:pPr>
        <w:spacing w:before="0" w:after="80"/>
        <w:jc w:val="center"/>
      </w:pPr>
      <w:r>
        <w:rPr>
          <w:b/>
          <w:color w:val="1F3864"/>
          <w:sz w:val="40"/>
        </w:rPr>
        <w:t>9. Deal Team Summary</w:t>
      </w:r>
    </w:p>
    <w:p>
      <w:pPr>
        <w:spacing w:before="240" w:after="60"/>
        <w:pBdr>
          <w:bottom w:val="single" w:sz="8" w:space="1" w:color="1F3864"/>
        </w:pBdr>
      </w:pPr>
      <w:r>
        <w:rPr>
          <w:b/>
          <w:color w:val="1F3864"/>
          <w:sz w:val="26"/>
        </w:rPr>
        <w:t>Deal Risks &amp; Mitigants</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Risk</w:t>
            </w:r>
          </w:p>
        </w:tc>
        <w:tc>
          <w:tcPr>
            <w:tcW w:type="dxa" w:w="3427"/>
            <w:vAlign w:val="center"/>
            <w:shd w:val="clear" w:color="auto" w:fill="1F3864"/>
          </w:tcPr>
          <w:p>
            <w:pPr>
              <w:spacing w:before="20" w:after="20"/>
              <w:ind w:left="72"/>
            </w:pPr>
            <w:r>
              <w:rPr>
                <w:b/>
                <w:i w:val="0"/>
                <w:color w:val="FFFFFF"/>
                <w:sz w:val="18"/>
              </w:rPr>
              <w:t>Severity</w:t>
            </w:r>
          </w:p>
        </w:tc>
        <w:tc>
          <w:tcPr>
            <w:tcW w:type="dxa" w:w="3427"/>
            <w:vAlign w:val="center"/>
            <w:shd w:val="clear" w:color="auto" w:fill="1F3864"/>
          </w:tcPr>
          <w:p>
            <w:pPr>
              <w:spacing w:before="20" w:after="20"/>
              <w:ind w:left="72"/>
            </w:pPr>
            <w:r>
              <w:rPr>
                <w:b/>
                <w:i w:val="0"/>
                <w:color w:val="FFFFFF"/>
                <w:sz w:val="18"/>
              </w:rPr>
              <w:t>Potential Mitigant</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ebitda</w:t>
            </w:r>
            <w:r>
              <w:rPr>
                <w:b/>
                <w:i/>
                <w:color w:val="FFFFFF"/>
                <w:sz w:val="18"/>
              </w:rPr>
              <w:t>margin</w:t>
            </w:r>
            <w:r>
              <w:rPr>
                <w:b/>
                <w:i w:val="0"/>
                <w:color w:val="FFFFFF"/>
                <w:sz w:val="18"/>
              </w:rPr>
              <w:t>pct</w:t>
            </w:r>
          </w:p>
        </w:tc>
        <w:tc>
          <w:tcPr>
            <w:tcW w:type="dxa" w:w="3427"/>
            <w:vAlign w:val="center"/>
            <w:shd w:val="clear" w:color="auto" w:fill="1F3864"/>
          </w:tcPr>
          <w:p>
            <w:pPr>
              <w:spacing w:before="20" w:after="20"/>
              <w:ind w:left="72"/>
            </w:pPr>
            <w:r>
              <w:rPr>
                <w:b/>
                <w:i w:val="0"/>
                <w:color w:val="FFFFFF"/>
                <w:sz w:val="18"/>
              </w:rPr>
              <w:t>Critical</w:t>
            </w:r>
          </w:p>
        </w:tc>
        <w:tc>
          <w:tcPr>
            <w:tcW w:type="dxa" w:w="3427"/>
            <w:vAlign w:val="center"/>
            <w:shd w:val="clear" w:color="auto" w:fill="1F3864"/>
          </w:tcPr>
          <w:p>
            <w:pPr>
              <w:spacing w:before="20" w:after="20"/>
              <w:ind w:left="72"/>
            </w:pPr>
            <w:r>
              <w:rPr>
                <w:b/>
                <w:i w:val="0"/>
                <w:color w:val="FFFFFF"/>
                <w:sz w:val="18"/>
              </w:rPr>
              <w:t>EBITDA margin of 7.9% is below the ~10% threshold, which may indicate labor inefficiency, weak reimbursement, poor scheduling/utilization, high admin burden, or lack of scale. Source: 2024 Elder Care - CIM_vF.pdf.</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3427"/>
            <w:vAlign w:val="center"/>
            <w:shd w:val="clear" w:color="auto" w:fill="1F3864"/>
          </w:tcPr>
          <w:p>
            <w:pPr>
              <w:spacing w:before="20" w:after="20"/>
              <w:ind w:left="72"/>
            </w:pPr>
            <w:r>
              <w:rPr>
                <w:b/>
                <w:i w:val="0"/>
                <w:color w:val="FFFFFF"/>
                <w:sz w:val="18"/>
              </w:rPr>
              <w:t>Critical</w:t>
            </w:r>
          </w:p>
        </w:tc>
        <w:tc>
          <w:tcPr>
            <w:tcW w:type="dxa" w:w="3427"/>
            <w:vAlign w:val="center"/>
            <w:shd w:val="clear" w:color="auto" w:fill="1F3864"/>
          </w:tcPr>
          <w:p>
            <w:pPr>
              <w:spacing w:before="20" w:after="20"/>
              <w:ind w:left="72"/>
            </w:pPr>
            <w:r>
              <w:rPr>
                <w:b/>
                <w:i w:val="0"/>
                <w:color w:val="FFFFFF"/>
                <w:sz w:val="18"/>
              </w:rPr>
              <w:t>Addback &gt;5% of EBITDA (13.6%) with no VDR document support: [J] Guided Living pre-acquisition results. Source: 2024 Elder Care - CIM_vF.pdf.</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3427"/>
            <w:vAlign w:val="center"/>
            <w:shd w:val="clear" w:color="auto" w:fill="1F3864"/>
          </w:tcPr>
          <w:p>
            <w:pPr>
              <w:spacing w:before="20" w:after="20"/>
              <w:ind w:left="72"/>
            </w:pPr>
            <w:r>
              <w:rPr>
                <w:b/>
                <w:i w:val="0"/>
                <w:color w:val="FFFFFF"/>
                <w:sz w:val="18"/>
              </w:rPr>
              <w:t>Critical</w:t>
            </w:r>
          </w:p>
        </w:tc>
        <w:tc>
          <w:tcPr>
            <w:tcW w:type="dxa" w:w="3427"/>
            <w:vAlign w:val="center"/>
            <w:shd w:val="clear" w:color="auto" w:fill="1F3864"/>
          </w:tcPr>
          <w:p>
            <w:pPr>
              <w:spacing w:before="20" w:after="20"/>
              <w:ind w:left="72"/>
            </w:pPr>
            <w:r>
              <w:rPr>
                <w:b/>
                <w:i w:val="0"/>
                <w:color w:val="FFFFFF"/>
                <w:sz w:val="18"/>
              </w:rPr>
              <w:t>Addback &gt;5% of EBITDA (15.5%) with no VDR document support: [N] Guided Living ramp-up/maturity adjustment. Source: 2024 Elder Care - CIM_vF.pdf.</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3427"/>
            <w:vAlign w:val="center"/>
            <w:shd w:val="clear" w:color="auto" w:fill="1F3864"/>
          </w:tcPr>
          <w:p>
            <w:pPr>
              <w:spacing w:before="20" w:after="20"/>
              <w:ind w:left="72"/>
            </w:pPr>
            <w:r>
              <w:rPr>
                <w:b/>
                <w:i w:val="0"/>
                <w:color w:val="FFFFFF"/>
                <w:sz w:val="18"/>
              </w:rPr>
              <w:t>Critical</w:t>
            </w:r>
          </w:p>
        </w:tc>
        <w:tc>
          <w:tcPr>
            <w:tcW w:type="dxa" w:w="3427"/>
            <w:vAlign w:val="center"/>
            <w:shd w:val="clear" w:color="auto" w:fill="1F3864"/>
          </w:tcPr>
          <w:p>
            <w:pPr>
              <w:spacing w:before="20" w:after="20"/>
              <w:ind w:left="72"/>
            </w:pPr>
            <w:r>
              <w:rPr>
                <w:b/>
                <w:i w:val="0"/>
                <w:color w:val="FFFFFF"/>
                <w:sz w:val="18"/>
              </w:rPr>
              <w:t>Addback &gt;5% of EBITDA (24.0%) with no VDR document support: [D] Cash-to-accrual revenue adjustment. Source: 2024 Elder Care - CIM_vF.pdf.</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3427"/>
            <w:vAlign w:val="center"/>
            <w:shd w:val="clear" w:color="auto" w:fill="1F3864"/>
          </w:tcPr>
          <w:p>
            <w:pPr>
              <w:spacing w:before="20" w:after="20"/>
              <w:ind w:left="72"/>
            </w:pPr>
            <w:r>
              <w:rPr>
                <w:b/>
                <w:i w:val="0"/>
                <w:color w:val="FFFFFF"/>
                <w:sz w:val="18"/>
              </w:rPr>
              <w:t>Critical</w:t>
            </w:r>
          </w:p>
        </w:tc>
        <w:tc>
          <w:tcPr>
            <w:tcW w:type="dxa" w:w="3427"/>
            <w:vAlign w:val="center"/>
            <w:shd w:val="clear" w:color="auto" w:fill="1F3864"/>
          </w:tcPr>
          <w:p>
            <w:pPr>
              <w:spacing w:before="20" w:after="20"/>
              <w:ind w:left="72"/>
            </w:pPr>
            <w:r>
              <w:rPr>
                <w:b/>
                <w:i w:val="0"/>
                <w:color w:val="FFFFFF"/>
                <w:sz w:val="18"/>
              </w:rPr>
              <w:t>Addback &gt;5% of EBITDA (32.8%) with no VDR document support: [O] Unicity incremental earnings from synergies. Source: 2024 Elder Care - CIM_vF.pdf.</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3427"/>
            <w:vAlign w:val="center"/>
            <w:shd w:val="clear" w:color="auto" w:fill="1F3864"/>
          </w:tcPr>
          <w:p>
            <w:pPr>
              <w:spacing w:before="20" w:after="20"/>
              <w:ind w:left="72"/>
            </w:pPr>
            <w:r>
              <w:rPr>
                <w:b/>
                <w:i w:val="0"/>
                <w:color w:val="FFFFFF"/>
                <w:sz w:val="18"/>
              </w:rPr>
              <w:t>Critical</w:t>
            </w:r>
          </w:p>
        </w:tc>
        <w:tc>
          <w:tcPr>
            <w:tcW w:type="dxa" w:w="3427"/>
            <w:vAlign w:val="center"/>
            <w:shd w:val="clear" w:color="auto" w:fill="1F3864"/>
          </w:tcPr>
          <w:p>
            <w:pPr>
              <w:spacing w:before="20" w:after="20"/>
              <w:ind w:left="72"/>
            </w:pPr>
            <w:r>
              <w:rPr>
                <w:b/>
                <w:i w:val="0"/>
                <w:color w:val="FFFFFF"/>
                <w:sz w:val="18"/>
              </w:rPr>
              <w:t>Addback &gt;5% of EBITDA (38.8%) with no VDR document support: [K] Unicity pre-acquisition results. Source: 2024 Elder Care - CIM_vF.pdf.</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3427"/>
            <w:vAlign w:val="center"/>
            <w:shd w:val="clear" w:color="auto" w:fill="1F3864"/>
          </w:tcPr>
          <w:p>
            <w:pPr>
              <w:spacing w:before="20" w:after="20"/>
              <w:ind w:left="72"/>
            </w:pPr>
            <w:r>
              <w:rPr>
                <w:b/>
                <w:i w:val="0"/>
                <w:color w:val="FFFFFF"/>
                <w:sz w:val="18"/>
              </w:rPr>
              <w:t>Critical</w:t>
            </w:r>
          </w:p>
        </w:tc>
        <w:tc>
          <w:tcPr>
            <w:tcW w:type="dxa" w:w="3427"/>
            <w:vAlign w:val="center"/>
            <w:shd w:val="clear" w:color="auto" w:fill="1F3864"/>
          </w:tcPr>
          <w:p>
            <w:pPr>
              <w:spacing w:before="20" w:after="20"/>
              <w:ind w:left="72"/>
            </w:pPr>
            <w:r>
              <w:rPr>
                <w:b/>
                <w:i w:val="0"/>
                <w:color w:val="FFFFFF"/>
                <w:sz w:val="18"/>
              </w:rPr>
              <w:t>Addback &gt;5% of EBITDA (5.7%) with no VDR document support: [E] Payroll accrual. Source: 2024 Elder Care - CIM_vF.pdf.</w:t>
            </w:r>
          </w:p>
        </w:tc>
      </w:tr>
    </w:tbl>
    <w:p>
      <w:pPr>
        <w:spacing w:before="40" w:after="40"/>
      </w:pP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large</w:t>
            </w:r>
            <w:r>
              <w:rPr>
                <w:b/>
                <w:i/>
                <w:color w:val="FFFFFF"/>
                <w:sz w:val="18"/>
              </w:rPr>
              <w:t>unsupported</w:t>
            </w:r>
            <w:r>
              <w:rPr>
                <w:b/>
                <w:i w:val="0"/>
                <w:color w:val="FFFFFF"/>
                <w:sz w:val="18"/>
              </w:rPr>
              <w:t>addback</w:t>
            </w:r>
          </w:p>
        </w:tc>
        <w:tc>
          <w:tcPr>
            <w:tcW w:type="dxa" w:w="3427"/>
            <w:vAlign w:val="center"/>
            <w:shd w:val="clear" w:color="auto" w:fill="1F3864"/>
          </w:tcPr>
          <w:p>
            <w:pPr>
              <w:spacing w:before="20" w:after="20"/>
              <w:ind w:left="72"/>
            </w:pPr>
            <w:r>
              <w:rPr>
                <w:b/>
                <w:i w:val="0"/>
                <w:color w:val="FFFFFF"/>
                <w:sz w:val="18"/>
              </w:rPr>
              <w:t>Critical</w:t>
            </w:r>
          </w:p>
        </w:tc>
        <w:tc>
          <w:tcPr>
            <w:tcW w:type="dxa" w:w="3427"/>
            <w:vAlign w:val="center"/>
            <w:shd w:val="clear" w:color="auto" w:fill="1F3864"/>
          </w:tcPr>
          <w:p>
            <w:pPr>
              <w:spacing w:before="20" w:after="20"/>
              <w:ind w:left="72"/>
            </w:pPr>
            <w:r>
              <w:rPr>
                <w:b/>
                <w:i w:val="0"/>
                <w:color w:val="FFFFFF"/>
                <w:sz w:val="18"/>
              </w:rPr>
              <w:t>Addback &gt;5% of EBITDA (6.6%) with no VDR document support: [B] Non-recurring transactions. Source: 2024 Elder Care - CIM_vF.pdf.</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Confidence Scoring</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Area</w:t>
            </w:r>
          </w:p>
        </w:tc>
        <w:tc>
          <w:tcPr>
            <w:tcW w:type="dxa" w:w="6854"/>
            <w:vAlign w:val="center"/>
            <w:shd w:val="clear" w:color="auto" w:fill="1F3864"/>
          </w:tcPr>
          <w:p>
            <w:pPr>
              <w:spacing w:before="20" w:after="20"/>
              <w:ind w:left="72"/>
            </w:pPr>
            <w:r>
              <w:rPr>
                <w:b/>
                <w:i w:val="0"/>
                <w:color w:val="FFFFFF"/>
                <w:sz w:val="18"/>
              </w:rPr>
              <w:t>Confidence</w:t>
            </w:r>
          </w:p>
        </w:tc>
      </w:tr>
      <w:tr>
        <w:trPr>
          <w:trHeight w:val="260"/>
        </w:trPr>
        <w:tc>
          <w:tcPr>
            <w:tcW w:type="dxa" w:w="3226"/>
            <w:vAlign w:val="center"/>
          </w:tcPr>
          <w:p>
            <w:pPr>
              <w:spacing w:before="20" w:after="20"/>
              <w:ind w:left="72"/>
            </w:pPr>
            <w:r>
              <w:rPr>
                <w:b w:val="0"/>
                <w:i w:val="0"/>
                <w:color w:val="000000"/>
                <w:sz w:val="18"/>
              </w:rPr>
              <w:t>Business Model</w:t>
            </w:r>
          </w:p>
        </w:tc>
        <w:tc>
          <w:tcPr>
            <w:tcW w:type="dxa" w:w="685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Financial Trends</w:t>
            </w:r>
          </w:p>
        </w:tc>
        <w:tc>
          <w:tcPr>
            <w:tcW w:type="dxa" w:w="6854"/>
            <w:vAlign w:val="center"/>
            <w:shd w:val="clear" w:color="auto" w:fill="EEF3FA"/>
          </w:tcPr>
          <w:p>
            <w:pPr>
              <w:spacing w:before="20" w:after="20"/>
              <w:ind w:left="72"/>
            </w:pPr>
            <w:r>
              <w:rPr>
                <w:b w:val="0"/>
                <w:i w:val="0"/>
                <w:color w:val="000000"/>
                <w:sz w:val="18"/>
              </w:rPr>
              <w:t>High</w:t>
            </w:r>
          </w:p>
        </w:tc>
      </w:tr>
      <w:tr>
        <w:trPr>
          <w:trHeight w:val="260"/>
        </w:trPr>
        <w:tc>
          <w:tcPr>
            <w:tcW w:type="dxa" w:w="3226"/>
            <w:vAlign w:val="center"/>
          </w:tcPr>
          <w:p>
            <w:pPr>
              <w:spacing w:before="20" w:after="20"/>
              <w:ind w:left="72"/>
            </w:pPr>
            <w:r>
              <w:rPr>
                <w:b w:val="0"/>
                <w:i w:val="0"/>
                <w:color w:val="000000"/>
                <w:sz w:val="18"/>
              </w:rPr>
              <w:t>Customer Quality</w:t>
            </w:r>
          </w:p>
        </w:tc>
        <w:tc>
          <w:tcPr>
            <w:tcW w:type="dxa" w:w="685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KPI Analysis</w:t>
            </w:r>
          </w:p>
        </w:tc>
        <w:tc>
          <w:tcPr>
            <w:tcW w:type="dxa" w:w="6854"/>
            <w:vAlign w:val="center"/>
            <w:shd w:val="clear" w:color="auto" w:fill="EEF3FA"/>
          </w:tcPr>
          <w:p>
            <w:pPr>
              <w:spacing w:before="20" w:after="20"/>
              <w:ind w:left="72"/>
            </w:pPr>
            <w:r>
              <w:rPr>
                <w:b w:val="0"/>
                <w:i w:val="0"/>
                <w:color w:val="000000"/>
                <w:sz w:val="18"/>
              </w:rPr>
              <w:t>Low</w:t>
            </w:r>
          </w:p>
        </w:tc>
      </w:tr>
      <w:tr>
        <w:trPr>
          <w:trHeight w:val="260"/>
        </w:trPr>
        <w:tc>
          <w:tcPr>
            <w:tcW w:type="dxa" w:w="3226"/>
            <w:vAlign w:val="center"/>
          </w:tcPr>
          <w:p>
            <w:pPr>
              <w:spacing w:before="20" w:after="20"/>
              <w:ind w:left="72"/>
            </w:pPr>
            <w:r>
              <w:rPr>
                <w:b w:val="0"/>
                <w:i w:val="0"/>
                <w:color w:val="000000"/>
                <w:sz w:val="18"/>
              </w:rPr>
              <w:t>Legal Review</w:t>
            </w:r>
          </w:p>
        </w:tc>
        <w:tc>
          <w:tcPr>
            <w:tcW w:type="dxa" w:w="6854"/>
            <w:vAlign w:val="center"/>
          </w:tcPr>
          <w:p>
            <w:pPr>
              <w:spacing w:before="20" w:after="20"/>
              <w:ind w:left="72"/>
            </w:pPr>
            <w:r>
              <w:rPr>
                <w:b w:val="0"/>
                <w:i w:val="0"/>
                <w:color w:val="000000"/>
                <w:sz w:val="18"/>
              </w:rPr>
              <w:t>Medium</w:t>
            </w:r>
          </w:p>
        </w:tc>
      </w:tr>
      <w:tr>
        <w:trPr>
          <w:trHeight w:val="260"/>
        </w:trPr>
        <w:tc>
          <w:tcPr>
            <w:tcW w:type="dxa" w:w="3226"/>
            <w:vAlign w:val="center"/>
            <w:shd w:val="clear" w:color="auto" w:fill="EEF3FA"/>
          </w:tcPr>
          <w:p>
            <w:pPr>
              <w:spacing w:before="20" w:after="20"/>
              <w:ind w:left="72"/>
            </w:pPr>
            <w:r>
              <w:rPr>
                <w:b w:val="0"/>
                <w:i w:val="0"/>
                <w:color w:val="000000"/>
                <w:sz w:val="18"/>
              </w:rPr>
              <w:t>Earnings Quality</w:t>
            </w:r>
          </w:p>
        </w:tc>
        <w:tc>
          <w:tcPr>
            <w:tcW w:type="dxa" w:w="6854"/>
            <w:vAlign w:val="center"/>
            <w:shd w:val="clear" w:color="auto" w:fill="EEF3FA"/>
          </w:tcPr>
          <w:p>
            <w:pPr>
              <w:spacing w:before="20" w:after="20"/>
              <w:ind w:left="72"/>
            </w:pPr>
            <w:r>
              <w:rPr>
                <w:b w:val="0"/>
                <w:i w:val="0"/>
                <w:color w:val="000000"/>
                <w:sz w:val="18"/>
              </w:rPr>
              <w:t>Medium</w:t>
            </w:r>
          </w:p>
        </w:tc>
      </w:tr>
      <w:tr>
        <w:trPr>
          <w:trHeight w:val="260"/>
        </w:trPr>
        <w:tc>
          <w:tcPr>
            <w:tcW w:type="dxa" w:w="3226"/>
            <w:vAlign w:val="center"/>
          </w:tcPr>
          <w:p>
            <w:pPr>
              <w:spacing w:before="20" w:after="20"/>
              <w:ind w:left="72"/>
            </w:pPr>
            <w:r>
              <w:rPr>
                <w:b w:val="0"/>
                <w:i w:val="0"/>
                <w:color w:val="000000"/>
                <w:sz w:val="18"/>
              </w:rPr>
              <w:t>Forecast Support</w:t>
            </w:r>
          </w:p>
        </w:tc>
        <w:tc>
          <w:tcPr>
            <w:tcW w:type="dxa" w:w="6854"/>
            <w:vAlign w:val="center"/>
          </w:tcPr>
          <w:p>
            <w:pPr>
              <w:spacing w:before="20" w:after="20"/>
              <w:ind w:left="72"/>
            </w:pPr>
            <w:r>
              <w:rPr>
                <w:b w:val="0"/>
                <w:i w:val="0"/>
                <w:color w:val="000000"/>
                <w:sz w:val="18"/>
              </w:rPr>
              <w:t>Low</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Preliminary View — Closing</w:t>
      </w:r>
    </w:p>
    <w:p>
      <w:pPr>
        <w:spacing w:before="80" w:after="160"/>
        <w:ind w:left="173" w:right="173"/>
        <w:shd w:val="clear" w:color="auto" w:fill="F2F4F7"/>
      </w:pPr>
      <w:r>
        <w:rPr>
          <w:b w:val="0"/>
          <w:i/>
          <w:color w:val="595959"/>
          <w:sz w:val="19"/>
        </w:rPr>
        <w:t>[!IMPORTANT]</w:t>
      </w:r>
    </w:p>
    <w:p>
      <w:pPr>
        <w:spacing w:before="80" w:after="160"/>
        <w:ind w:left="173" w:right="173"/>
        <w:shd w:val="clear" w:color="auto" w:fill="F2F4F7"/>
      </w:pPr>
      <w:r>
        <w:rPr>
          <w:b w:val="0"/>
          <w:i/>
          <w:color w:val="595959"/>
          <w:sz w:val="19"/>
        </w:rPr>
        <w:t>Elder Care presents a home care platform with a compelling organic growth track record, differentiated operational infrastructure, and strong client retention characteristics. The central analytical task for any reviewer is to independently validate the magnitude and quality of the adjustments bridging reported to pro forma financials, reconcile the intra-document discrepancies identified across revenue and gross profit figures, and assess the integration trajectory of the two 2024 acquisitions — outcomes that will materially shape any view of the business's normalized earnings power.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