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1F3864"/>
          <w:sz w:val="40"/>
        </w:rPr>
        <w:t>Elder Care</w:t>
      </w:r>
    </w:p>
    <w:p>
      <w:pPr>
        <w:spacing w:before="240" w:after="60"/>
        <w:pBdr>
          <w:bottom w:val="single" w:sz="8" w:space="1" w:color="1F3864"/>
        </w:pBdr>
      </w:pPr>
      <w:r>
        <w:rPr>
          <w:b/>
          <w:color w:val="1F3864"/>
          <w:sz w:val="26"/>
        </w:rPr>
        <w:t>Preliminary Diligence Report</w:t>
      </w:r>
    </w:p>
    <w:p>
      <w:pPr>
        <w:spacing w:before="60" w:after="160"/>
        <w:jc w:val="center"/>
      </w:pPr>
      <w:r>
        <w:rPr>
          <w:i/>
          <w:color w:val="595959"/>
          <w:sz w:val="18"/>
        </w:rPr>
        <w:t>Generated By: Orchestrator Agent</w:t>
      </w:r>
    </w:p>
    <w:p>
      <w:pPr>
        <w:spacing w:before="80" w:after="40"/>
      </w:pPr>
      <w:r>
        <w:rPr>
          <w:b/>
          <w:i w:val="0"/>
          <w:color w:val="000000"/>
          <w:sz w:val="19"/>
        </w:rPr>
        <w:t>Date:</w:t>
      </w:r>
      <w:r>
        <w:rPr>
          <w:b w:val="0"/>
          <w:i w:val="0"/>
          <w:color w:val="000000"/>
          <w:sz w:val="19"/>
        </w:rPr>
        <w:t xml:space="preserve"> 2026-06-30T22:24:01.458256Z</w:t>
      </w:r>
    </w:p>
    <w:p>
      <w:pPr>
        <w:spacing w:before="80" w:after="40"/>
      </w:pPr>
      <w:r>
        <w:rPr>
          <w:b/>
          <w:i w:val="0"/>
          <w:color w:val="000000"/>
          <w:sz w:val="19"/>
        </w:rPr>
        <w:t>Confidence Level:</w:t>
      </w:r>
      <w:r>
        <w:rPr>
          <w:b w:val="0"/>
          <w:i w:val="0"/>
          <w:color w:val="000000"/>
          <w:sz w:val="19"/>
        </w:rPr>
        <w:t xml:space="preserve"> Low</w:t>
      </w:r>
    </w:p>
    <w:p>
      <w:pPr>
        <w:spacing w:before="80" w:after="80"/>
        <w:pBdr>
          <w:bottom w:val="single" w:sz="4" w:space="1" w:color="1F3864"/>
        </w:pBdr>
      </w:pPr>
    </w:p>
    <w:p>
      <w:pPr>
        <w:spacing w:before="0" w:after="80"/>
        <w:jc w:val="center"/>
      </w:pPr>
      <w:r>
        <w:rPr>
          <w:b/>
          <w:color w:val="1F3864"/>
          <w:sz w:val="40"/>
        </w:rPr>
        <w:t>Executive Summary</w:t>
      </w:r>
    </w:p>
    <w:p>
      <w:pPr>
        <w:spacing w:before="80" w:after="160"/>
        <w:ind w:left="173" w:right="173"/>
        <w:shd w:val="clear" w:color="auto" w:fill="F2F4F7"/>
      </w:pPr>
      <w:r>
        <w:rPr>
          <w:b w:val="0"/>
          <w:i/>
          <w:color w:val="595959"/>
          <w:sz w:val="19"/>
        </w:rPr>
        <w:t>[!NOTE]</w:t>
      </w:r>
    </w:p>
    <w:p>
      <w:pPr>
        <w:spacing w:before="80" w:after="160"/>
        <w:ind w:left="173" w:right="173"/>
        <w:shd w:val="clear" w:color="auto" w:fill="F2F4F7"/>
      </w:pPr>
      <w:r>
        <w:rPr>
          <w:b w:val="0"/>
          <w:i/>
          <w:color w:val="595959"/>
          <w:sz w:val="19"/>
        </w:rPr>
        <w:t>Elder Care is a multi-market private-pay home care platform serving ~595 clients across NY, NJ, MA, and CT, with reported net revenue of $35.1M and PF adjusted EBITDA of $9.2M (19.9% margin) for TTM Aug-24, supported by strong client tenure (57% with 4+ years) and a differentiated offshore staffing model, but requiring close scrutiny of $11.3M in combined revenue adjustments, a reported EBITDA of only $2.8M, and an addback stack representing ~247% of reported EBITDA.</w:t>
      </w:r>
    </w:p>
    <w:p>
      <w:pPr>
        <w:spacing w:before="80" w:after="40"/>
      </w:pPr>
      <w:r>
        <w:rPr>
          <w:b/>
          <w:i w:val="0"/>
          <w:color w:val="000000"/>
          <w:sz w:val="19"/>
        </w:rPr>
        <w:t>Strengths</w:t>
      </w:r>
    </w:p>
    <w:p>
      <w:pPr>
        <w:spacing w:before="20" w:after="20"/>
        <w:ind w:left="360" w:hanging="259"/>
      </w:pPr>
      <w:r>
        <w:rPr>
          <w:color w:val="000000"/>
          <w:sz w:val="19"/>
        </w:rPr>
        <w:t xml:space="preserve">• </w:t>
      </w:r>
      <w:r>
        <w:rPr>
          <w:b w:val="0"/>
          <w:i w:val="0"/>
          <w:color w:val="000000"/>
          <w:sz w:val="19"/>
        </w:rPr>
        <w:t>Demonstrated organic revenue growth from $9.0M (2020A) to $35.1M reported net revenue (TTM Aug-24), with PF adjusted revenue of $46.4M, reflecting consistent multi-year expansion across existing and newly entered geographies</w:t>
      </w:r>
    </w:p>
    <w:p>
      <w:pPr>
        <w:spacing w:before="20" w:after="20"/>
        <w:ind w:left="360" w:hanging="259"/>
      </w:pPr>
      <w:r>
        <w:rPr>
          <w:color w:val="000000"/>
          <w:sz w:val="19"/>
        </w:rPr>
        <w:t xml:space="preserve">• </w:t>
      </w:r>
      <w:r>
        <w:rPr>
          <w:b w:val="0"/>
          <w:i w:val="0"/>
          <w:color w:val="000000"/>
          <w:sz w:val="19"/>
        </w:rPr>
        <w:t>Strong client retention signal: 57% of active clients have been with the company 4+ years, and total client count grew 376% from 125 (Q1-20) to 595 (Q4-24E), indicating durable demand and low voluntary churn</w:t>
      </w:r>
    </w:p>
    <w:p>
      <w:pPr>
        <w:spacing w:before="20" w:after="20"/>
        <w:ind w:left="360" w:hanging="259"/>
      </w:pPr>
      <w:r>
        <w:rPr>
          <w:color w:val="000000"/>
          <w:sz w:val="19"/>
        </w:rPr>
        <w:t xml:space="preserve">• </w:t>
      </w:r>
      <w:r>
        <w:rPr>
          <w:b w:val="0"/>
          <w:i w:val="0"/>
          <w:color w:val="000000"/>
          <w:sz w:val="19"/>
        </w:rPr>
        <w:t>Differentiated hybrid staffing model with ~41% of the 108-person admin team based offshore (Philippines), enabling 24/7 caregiver support, on-call coverage, and scheduling at materially lower cost — a structural margin advantage relative to pure domestic operators</w:t>
      </w:r>
    </w:p>
    <w:p>
      <w:pPr>
        <w:spacing w:before="20" w:after="20"/>
        <w:ind w:left="360" w:hanging="259"/>
      </w:pPr>
      <w:r>
        <w:rPr>
          <w:color w:val="000000"/>
          <w:sz w:val="19"/>
        </w:rPr>
        <w:t xml:space="preserve">• </w:t>
      </w:r>
      <w:r>
        <w:rPr>
          <w:b w:val="0"/>
          <w:i w:val="0"/>
          <w:color w:val="000000"/>
          <w:sz w:val="19"/>
        </w:rPr>
        <w:t>Gross margins are stable and above-average for home care, ranging from 42.1% (2020A) to 43.4% (TTM Aug-24) on a reported basis, with service-level margins reaching up to 64% for RN nursing in select markets</w:t>
      </w:r>
    </w:p>
    <w:p>
      <w:pPr>
        <w:spacing w:before="20" w:after="20"/>
        <w:ind w:left="360" w:hanging="259"/>
      </w:pPr>
      <w:r>
        <w:rPr>
          <w:color w:val="000000"/>
          <w:sz w:val="19"/>
        </w:rPr>
        <w:t xml:space="preserve">• </w:t>
      </w:r>
      <w:r>
        <w:rPr>
          <w:b w:val="0"/>
          <w:i w:val="0"/>
          <w:color w:val="000000"/>
          <w:sz w:val="19"/>
        </w:rPr>
        <w:t>Seasoned executive team with relevant domain depth: CEO David Gilberg (8 years), SVP Sales Trish Paulson (15+ years in long-term care private pay), and COO Todd Abramson with prior scale-up experience at Santander and IBM</w:t>
      </w:r>
    </w:p>
    <w:p>
      <w:pPr>
        <w:spacing w:before="20" w:after="20"/>
        <w:ind w:left="360" w:hanging="259"/>
      </w:pPr>
      <w:r>
        <w:rPr>
          <w:color w:val="000000"/>
          <w:sz w:val="19"/>
        </w:rPr>
        <w:t xml:space="preserve">• </w:t>
      </w:r>
      <w:r>
        <w:rPr>
          <w:b w:val="0"/>
          <w:i w:val="0"/>
          <w:color w:val="000000"/>
          <w:sz w:val="19"/>
        </w:rPr>
        <w:t>64% private-pay revenue mix reduces direct government reimbursement rate risk relative to Medicaid-heavy peers, and the weekly billing model ($1,927/client average) provides high revenue visibility at the individual client level</w:t>
      </w:r>
    </w:p>
    <w:p>
      <w:pPr>
        <w:spacing w:before="20" w:after="20"/>
        <w:ind w:left="360" w:hanging="259"/>
      </w:pPr>
      <w:r>
        <w:rPr>
          <w:color w:val="000000"/>
          <w:sz w:val="19"/>
        </w:rPr>
        <w:t xml:space="preserve">• </w:t>
      </w:r>
      <w:r>
        <w:rPr>
          <w:b w:val="0"/>
          <w:i w:val="0"/>
          <w:color w:val="000000"/>
          <w:sz w:val="19"/>
        </w:rPr>
        <w:t>Active inorganic growth strategy with two completed acquisitions in 2024 (Guided Living in MA, Unicity in NJ) adding 181 clients and expanding the geographic footprint to six markets</w:t>
      </w:r>
    </w:p>
    <w:p>
      <w:pPr>
        <w:spacing w:before="80" w:after="40"/>
      </w:pPr>
      <w:r>
        <w:rPr>
          <w:b/>
          <w:i w:val="0"/>
          <w:color w:val="000000"/>
          <w:sz w:val="19"/>
        </w:rPr>
        <w:t>Concerns</w:t>
      </w:r>
    </w:p>
    <w:p>
      <w:pPr>
        <w:spacing w:before="20" w:after="20"/>
        <w:ind w:left="360" w:hanging="259"/>
      </w:pPr>
      <w:r>
        <w:rPr>
          <w:color w:val="000000"/>
          <w:sz w:val="19"/>
        </w:rPr>
        <w:t xml:space="preserve">• </w:t>
      </w:r>
      <w:r>
        <w:rPr>
          <w:b w:val="0"/>
          <w:i w:val="0"/>
          <w:color w:val="000000"/>
          <w:sz w:val="19"/>
        </w:rPr>
        <w:t>Reported EBITDA of $2.8M (7.9% margin, TTM Aug-24) is materially below the PF adjusted figure of $9.2M; the gap is bridged by addbacks totaling approximately 247% of reported EBITDA, including forward-looking synergy and ramp-up adjustments ([N], [O], [P]) that are not yet realized and carry execution risk</w:t>
      </w:r>
    </w:p>
    <w:p>
      <w:pPr>
        <w:spacing w:before="20" w:after="20"/>
        <w:ind w:left="360" w:hanging="259"/>
      </w:pPr>
      <w:r>
        <w:rPr>
          <w:color w:val="000000"/>
          <w:sz w:val="19"/>
        </w:rPr>
        <w:t xml:space="preserve">• </w:t>
      </w:r>
      <w:r>
        <w:rPr>
          <w:b w:val="0"/>
          <w:i w:val="0"/>
          <w:color w:val="000000"/>
          <w:sz w:val="19"/>
        </w:rPr>
        <w:t>Combined revenue adjustments of approximately $11.3M ($9.6M diligence + $1.7M pro forma) represent ~32% of the PF adjusted revenue figure of $46.4M — the magnitude and composition of these adjustments require independent QofE validation before any reliance on adjusted figures</w:t>
      </w:r>
    </w:p>
    <w:p>
      <w:pPr>
        <w:spacing w:before="20" w:after="20"/>
        <w:ind w:left="360" w:hanging="259"/>
      </w:pPr>
      <w:r>
        <w:rPr>
          <w:color w:val="000000"/>
          <w:sz w:val="19"/>
        </w:rPr>
        <w:t xml:space="preserve">• </w:t>
      </w:r>
      <w:r>
        <w:rPr>
          <w:b w:val="0"/>
          <w:i w:val="0"/>
          <w:color w:val="000000"/>
          <w:sz w:val="19"/>
        </w:rPr>
        <w:t>Multiple internal financial discrepancies identified across CIM sections, including conflicting 2023A revenue figures ($33.7M vs. $34.2M), gross profit variances for TTM Aug-24 ($18.5M vs. $20.2M), and EBITDA margin denominator inconsistencies — these require reconciliation with source accounting records</w:t>
      </w:r>
    </w:p>
    <w:p>
      <w:pPr>
        <w:spacing w:before="20" w:after="20"/>
        <w:ind w:left="360" w:hanging="259"/>
      </w:pPr>
      <w:r>
        <w:rPr>
          <w:color w:val="000000"/>
          <w:sz w:val="19"/>
        </w:rPr>
        <w:t xml:space="preserve">• </w:t>
      </w:r>
      <w:r>
        <w:rPr>
          <w:b w:val="0"/>
          <w:i w:val="0"/>
          <w:color w:val="000000"/>
          <w:sz w:val="19"/>
        </w:rPr>
        <w:t>Reported EBITDA was negative or near-zero in three of the four historical years (2020A: -$342K, 2022A: $180K, 2023A: -$870K), suggesting the business has only recently achieved meaningful reported profitability and that the adjusted EBITDA trajectory may overstate normalized earnings power</w:t>
      </w:r>
    </w:p>
    <w:p>
      <w:pPr>
        <w:spacing w:before="20" w:after="20"/>
        <w:ind w:left="360" w:hanging="259"/>
      </w:pPr>
      <w:r>
        <w:rPr>
          <w:color w:val="000000"/>
          <w:sz w:val="19"/>
        </w:rPr>
        <w:t xml:space="preserve">• </w:t>
      </w:r>
      <w:r>
        <w:rPr>
          <w:b w:val="0"/>
          <w:i w:val="0"/>
          <w:color w:val="000000"/>
          <w:sz w:val="19"/>
        </w:rPr>
        <w:t>Government and quasi-government payor concentration (Medicaid Waiver 11%, VA 7%, LTC Insurance 11%) totals approximately 29% of stated revenue, with Medicare and Managed Care not separately broken out — actual government exposure may be higher and warrants payor-level reimbursement rate analysis</w:t>
      </w:r>
    </w:p>
    <w:p>
      <w:pPr>
        <w:spacing w:before="20" w:after="20"/>
        <w:ind w:left="360" w:hanging="259"/>
      </w:pPr>
      <w:r>
        <w:rPr>
          <w:color w:val="000000"/>
          <w:sz w:val="19"/>
        </w:rPr>
        <w:t xml:space="preserve">• </w:t>
      </w:r>
      <w:r>
        <w:rPr>
          <w:b w:val="0"/>
          <w:i w:val="0"/>
          <w:color w:val="000000"/>
          <w:sz w:val="19"/>
        </w:rPr>
        <w:t>Key operational KPIs are absent from the data room: caregiver turnover rate, active client census by period, AR aging by payor, referral source breakdown, and compliance/audit history are not documented — these are primary diligence inputs for a home care platform</w:t>
      </w:r>
    </w:p>
    <w:p>
      <w:pPr>
        <w:spacing w:before="20" w:after="20"/>
        <w:ind w:left="360" w:hanging="259"/>
      </w:pPr>
      <w:r>
        <w:rPr>
          <w:color w:val="000000"/>
          <w:sz w:val="19"/>
        </w:rPr>
        <w:t xml:space="preserve">• </w:t>
      </w:r>
      <w:r>
        <w:rPr>
          <w:b w:val="0"/>
          <w:i w:val="0"/>
          <w:color w:val="000000"/>
          <w:sz w:val="19"/>
        </w:rPr>
        <w:t>Two 2024 acquisitions (Guided Living, Unicity) are recent and not yet fully integrated; the PF EBITDA includes pre-acquisition results and forward synergy estimates for both, which have not been independently verified</w:t>
      </w:r>
    </w:p>
    <w:p>
      <w:pPr>
        <w:spacing w:before="20" w:after="20"/>
        <w:ind w:left="360" w:hanging="259"/>
      </w:pPr>
      <w:r>
        <w:rPr>
          <w:color w:val="000000"/>
          <w:sz w:val="19"/>
        </w:rPr>
        <w:t xml:space="preserve">• </w:t>
      </w:r>
      <w:r>
        <w:rPr>
          <w:b w:val="0"/>
          <w:i w:val="0"/>
          <w:color w:val="000000"/>
          <w:sz w:val="19"/>
        </w:rPr>
        <w:t>Director of Finance has only 1 year of tenure and Director of Patient Services only 6 months, representing potential gaps in financial controls and clinical oversight during a period of rapid multi-market expansion</w:t>
      </w:r>
    </w:p>
    <w:p>
      <w:pPr>
        <w:spacing w:before="80" w:after="80"/>
        <w:pBdr>
          <w:bottom w:val="single" w:sz="4" w:space="1" w:color="1F3864"/>
        </w:pBdr>
      </w:pPr>
    </w:p>
    <w:p>
      <w:pPr>
        <w:spacing w:before="0" w:after="80"/>
        <w:jc w:val="center"/>
      </w:pPr>
      <w:r>
        <w:rPr>
          <w:b/>
          <w:color w:val="1F3864"/>
          <w:sz w:val="40"/>
        </w:rPr>
        <w:t>Investment Snapshot</w:t>
      </w: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Metric</w:t>
            </w:r>
          </w:p>
        </w:tc>
        <w:tc>
          <w:tcPr>
            <w:tcW w:type="dxa" w:w="6854"/>
            <w:vAlign w:val="center"/>
            <w:shd w:val="clear" w:color="auto" w:fill="1F3864"/>
          </w:tcPr>
          <w:p>
            <w:pPr>
              <w:spacing w:before="20" w:after="20"/>
              <w:ind w:left="72"/>
            </w:pPr>
            <w:r>
              <w:rPr>
                <w:b/>
                <w:i w:val="0"/>
                <w:color w:val="FFFFFF"/>
                <w:sz w:val="18"/>
              </w:rPr>
              <w:t>Value</w:t>
            </w:r>
          </w:p>
        </w:tc>
      </w:tr>
      <w:tr>
        <w:trPr>
          <w:trHeight w:val="260"/>
        </w:trPr>
        <w:tc>
          <w:tcPr>
            <w:tcW w:type="dxa" w:w="3226"/>
            <w:vAlign w:val="center"/>
          </w:tcPr>
          <w:p>
            <w:pPr>
              <w:spacing w:before="20" w:after="20"/>
              <w:ind w:left="72"/>
            </w:pPr>
            <w:r>
              <w:rPr>
                <w:b w:val="0"/>
                <w:i w:val="0"/>
                <w:color w:val="000000"/>
                <w:sz w:val="18"/>
              </w:rPr>
              <w:t>Revenue (LTM)</w:t>
            </w:r>
          </w:p>
        </w:tc>
        <w:tc>
          <w:tcPr>
            <w:tcW w:type="dxa" w:w="6854"/>
            <w:vAlign w:val="center"/>
          </w:tcPr>
          <w:p>
            <w:pPr>
              <w:spacing w:before="20" w:after="20"/>
              <w:ind w:left="72"/>
            </w:pPr>
          </w:p>
        </w:tc>
      </w:tr>
      <w:tr>
        <w:trPr>
          <w:trHeight w:val="260"/>
        </w:trPr>
        <w:tc>
          <w:tcPr>
            <w:tcW w:type="dxa" w:w="3226"/>
            <w:vAlign w:val="center"/>
            <w:shd w:val="clear" w:color="auto" w:fill="EEF3FA"/>
          </w:tcPr>
          <w:p>
            <w:pPr>
              <w:spacing w:before="20" w:after="20"/>
              <w:ind w:left="72"/>
            </w:pPr>
            <w:r>
              <w:rPr>
                <w:b w:val="0"/>
                <w:i w:val="0"/>
                <w:color w:val="000000"/>
                <w:sz w:val="18"/>
              </w:rPr>
              <w:t>Revenue CAGR</w:t>
            </w:r>
          </w:p>
        </w:tc>
        <w:tc>
          <w:tcPr>
            <w:tcW w:type="dxa" w:w="6854"/>
            <w:vAlign w:val="center"/>
            <w:shd w:val="clear" w:color="auto" w:fill="EEF3FA"/>
          </w:tcPr>
          <w:p>
            <w:pPr>
              <w:spacing w:before="20" w:after="20"/>
              <w:ind w:left="72"/>
            </w:pPr>
            <w:r>
              <w:rPr>
                <w:b w:val="0"/>
                <w:i w:val="0"/>
                <w:color w:val="000000"/>
                <w:sz w:val="18"/>
              </w:rPr>
              <w:t>61.7%</w:t>
            </w:r>
          </w:p>
        </w:tc>
      </w:tr>
      <w:tr>
        <w:trPr>
          <w:trHeight w:val="260"/>
        </w:trPr>
        <w:tc>
          <w:tcPr>
            <w:tcW w:type="dxa" w:w="3226"/>
            <w:vAlign w:val="center"/>
          </w:tcPr>
          <w:p>
            <w:pPr>
              <w:spacing w:before="20" w:after="20"/>
              <w:ind w:left="72"/>
            </w:pPr>
            <w:r>
              <w:rPr>
                <w:b w:val="0"/>
                <w:i w:val="0"/>
                <w:color w:val="000000"/>
                <w:sz w:val="18"/>
              </w:rPr>
              <w:t>EBITDA (LTM)</w:t>
            </w:r>
          </w:p>
        </w:tc>
        <w:tc>
          <w:tcPr>
            <w:tcW w:type="dxa" w:w="6854"/>
            <w:vAlign w:val="center"/>
          </w:tcPr>
          <w:p>
            <w:pPr>
              <w:spacing w:before="20" w:after="20"/>
              <w:ind w:left="72"/>
            </w:pPr>
          </w:p>
        </w:tc>
      </w:tr>
      <w:tr>
        <w:trPr>
          <w:trHeight w:val="260"/>
        </w:trPr>
        <w:tc>
          <w:tcPr>
            <w:tcW w:type="dxa" w:w="3226"/>
            <w:vAlign w:val="center"/>
            <w:shd w:val="clear" w:color="auto" w:fill="EEF3FA"/>
          </w:tcPr>
          <w:p>
            <w:pPr>
              <w:spacing w:before="20" w:after="20"/>
              <w:ind w:left="72"/>
            </w:pPr>
            <w:r>
              <w:rPr>
                <w:b w:val="0"/>
                <w:i w:val="0"/>
                <w:color w:val="000000"/>
                <w:sz w:val="18"/>
              </w:rPr>
              <w:t>EBITDA Margin</w:t>
            </w:r>
          </w:p>
        </w:tc>
        <w:tc>
          <w:tcPr>
            <w:tcW w:type="dxa" w:w="6854"/>
            <w:vAlign w:val="center"/>
            <w:shd w:val="clear" w:color="auto" w:fill="EEF3FA"/>
          </w:tcPr>
          <w:p>
            <w:pPr>
              <w:spacing w:before="20" w:after="20"/>
              <w:ind w:left="72"/>
            </w:pPr>
            <w:r>
              <w:rPr>
                <w:b w:val="0"/>
                <w:i w:val="0"/>
                <w:color w:val="000000"/>
                <w:sz w:val="18"/>
              </w:rPr>
              <w:t>30.0%</w:t>
            </w:r>
          </w:p>
        </w:tc>
      </w:tr>
      <w:tr>
        <w:trPr>
          <w:trHeight w:val="260"/>
        </w:trPr>
        <w:tc>
          <w:tcPr>
            <w:tcW w:type="dxa" w:w="3226"/>
            <w:vAlign w:val="center"/>
          </w:tcPr>
          <w:p>
            <w:pPr>
              <w:spacing w:before="20" w:after="20"/>
              <w:ind w:left="72"/>
            </w:pPr>
            <w:r>
              <w:rPr>
                <w:b w:val="0"/>
                <w:i w:val="0"/>
                <w:color w:val="000000"/>
                <w:sz w:val="18"/>
              </w:rPr>
              <w:t>Enterprise Value Indicated</w:t>
            </w:r>
          </w:p>
        </w:tc>
        <w:tc>
          <w:tcPr>
            <w:tcW w:type="dxa" w:w="6854"/>
            <w:vAlign w:val="center"/>
          </w:tcPr>
          <w:p>
            <w:pPr>
              <w:spacing w:before="20" w:after="20"/>
              <w:ind w:left="72"/>
            </w:pPr>
            <w:r>
              <w:rPr>
                <w:b w:val="0"/>
                <w:i w:val="0"/>
                <w:color w:val="000000"/>
                <w:sz w:val="18"/>
              </w:rPr>
              <w:t>None</w:t>
            </w:r>
          </w:p>
        </w:tc>
      </w:tr>
      <w:tr>
        <w:trPr>
          <w:trHeight w:val="260"/>
        </w:trPr>
        <w:tc>
          <w:tcPr>
            <w:tcW w:type="dxa" w:w="3226"/>
            <w:vAlign w:val="center"/>
            <w:shd w:val="clear" w:color="auto" w:fill="EEF3FA"/>
          </w:tcPr>
          <w:p>
            <w:pPr>
              <w:spacing w:before="20" w:after="20"/>
              <w:ind w:left="72"/>
            </w:pPr>
            <w:r>
              <w:rPr>
                <w:b w:val="0"/>
                <w:i w:val="0"/>
                <w:color w:val="000000"/>
                <w:sz w:val="18"/>
              </w:rPr>
              <w:t>Rule of 40</w:t>
            </w:r>
          </w:p>
        </w:tc>
        <w:tc>
          <w:tcPr>
            <w:tcW w:type="dxa" w:w="6854"/>
            <w:vAlign w:val="center"/>
            <w:shd w:val="clear" w:color="auto" w:fill="EEF3FA"/>
          </w:tcPr>
          <w:p>
            <w:pPr>
              <w:spacing w:before="20" w:after="20"/>
              <w:ind w:left="72"/>
            </w:pPr>
            <w:r>
              <w:rPr>
                <w:b w:val="0"/>
                <w:i w:val="0"/>
                <w:color w:val="000000"/>
                <w:sz w:val="18"/>
              </w:rPr>
              <w:t>None</w:t>
            </w:r>
          </w:p>
        </w:tc>
      </w:tr>
      <w:tr>
        <w:trPr>
          <w:trHeight w:val="260"/>
        </w:trPr>
        <w:tc>
          <w:tcPr>
            <w:tcW w:type="dxa" w:w="3226"/>
            <w:vAlign w:val="center"/>
          </w:tcPr>
          <w:p>
            <w:pPr>
              <w:spacing w:before="20" w:after="20"/>
              <w:ind w:left="72"/>
            </w:pPr>
            <w:r>
              <w:rPr>
                <w:b w:val="0"/>
                <w:i w:val="0"/>
                <w:color w:val="000000"/>
                <w:sz w:val="18"/>
              </w:rPr>
              <w:t>Confidence Level</w:t>
            </w:r>
          </w:p>
        </w:tc>
        <w:tc>
          <w:tcPr>
            <w:tcW w:type="dxa" w:w="6854"/>
            <w:vAlign w:val="center"/>
          </w:tcPr>
          <w:p>
            <w:pPr>
              <w:spacing w:before="20" w:after="20"/>
              <w:ind w:left="72"/>
            </w:pPr>
            <w:r>
              <w:rPr>
                <w:b w:val="0"/>
                <w:i w:val="0"/>
                <w:color w:val="000000"/>
                <w:sz w:val="18"/>
              </w:rPr>
              <w:t>Low</w:t>
            </w:r>
          </w:p>
        </w:tc>
      </w:tr>
      <w:tr>
        <w:trPr>
          <w:trHeight w:val="260"/>
        </w:trPr>
        <w:tc>
          <w:tcPr>
            <w:tcW w:type="dxa" w:w="3226"/>
            <w:vAlign w:val="center"/>
            <w:shd w:val="clear" w:color="auto" w:fill="EEF3FA"/>
          </w:tcPr>
          <w:p>
            <w:pPr>
              <w:spacing w:before="20" w:after="20"/>
              <w:ind w:left="72"/>
            </w:pPr>
            <w:r>
              <w:rPr>
                <w:b w:val="0"/>
                <w:i w:val="0"/>
                <w:color w:val="000000"/>
                <w:sz w:val="18"/>
              </w:rPr>
              <w:t>Vertical Overlay</w:t>
            </w:r>
          </w:p>
        </w:tc>
        <w:tc>
          <w:tcPr>
            <w:tcW w:type="dxa" w:w="6854"/>
            <w:vAlign w:val="center"/>
            <w:shd w:val="clear" w:color="auto" w:fill="EEF3FA"/>
          </w:tcPr>
          <w:p>
            <w:pPr>
              <w:spacing w:before="20" w:after="20"/>
              <w:ind w:left="72"/>
            </w:pPr>
            <w:r>
              <w:rPr>
                <w:b w:val="0"/>
                <w:i w:val="0"/>
                <w:color w:val="000000"/>
                <w:sz w:val="18"/>
              </w:rPr>
              <w:t>healthcare_services</w:t>
            </w:r>
          </w:p>
        </w:tc>
      </w:tr>
    </w:tbl>
    <w:p>
      <w:pPr>
        <w:spacing w:before="40" w:after="40"/>
      </w:pPr>
    </w:p>
    <w:p>
      <w:pPr>
        <w:spacing w:before="80" w:after="80"/>
        <w:pBdr>
          <w:bottom w:val="single" w:sz="4" w:space="1" w:color="1F3864"/>
        </w:pBdr>
      </w:pPr>
    </w:p>
    <w:p>
      <w:pPr>
        <w:spacing w:before="0" w:after="80"/>
        <w:jc w:val="center"/>
      </w:pPr>
      <w:r>
        <w:rPr>
          <w:b/>
          <w:color w:val="1F3864"/>
          <w:sz w:val="40"/>
        </w:rPr>
        <w:t>1. Business Model Overview</w:t>
      </w:r>
    </w:p>
    <w:p>
      <w:pPr>
        <w:spacing w:before="240" w:after="60"/>
        <w:pBdr>
          <w:bottom w:val="single" w:sz="8" w:space="1" w:color="1F3864"/>
        </w:pBdr>
      </w:pPr>
      <w:r>
        <w:rPr>
          <w:b/>
          <w:color w:val="1F3864"/>
          <w:sz w:val="26"/>
        </w:rPr>
        <w:t>Overview</w:t>
      </w:r>
    </w:p>
    <w:p>
      <w:pPr>
        <w:spacing w:before="20" w:after="20"/>
        <w:ind w:left="360" w:hanging="259"/>
      </w:pPr>
      <w:r>
        <w:rPr>
          <w:color w:val="000000"/>
          <w:sz w:val="19"/>
        </w:rPr>
        <w:t xml:space="preserve">• </w:t>
      </w:r>
      <w:r>
        <w:rPr>
          <w:b w:val="0"/>
          <w:i w:val="0"/>
          <w:color w:val="000000"/>
          <w:sz w:val="19"/>
        </w:rPr>
        <w:t>Home Health Aides (Unskilled Care)</w:t>
      </w:r>
    </w:p>
    <w:p>
      <w:pPr>
        <w:spacing w:before="20" w:after="20"/>
        <w:ind w:left="360" w:hanging="259"/>
      </w:pPr>
      <w:r>
        <w:rPr>
          <w:color w:val="000000"/>
          <w:sz w:val="19"/>
        </w:rPr>
        <w:t xml:space="preserve">• </w:t>
      </w:r>
      <w:r>
        <w:rPr>
          <w:b w:val="0"/>
          <w:i w:val="0"/>
          <w:color w:val="000000"/>
          <w:sz w:val="19"/>
        </w:rPr>
        <w:t>Live-In Care (24-hour daily billing)</w:t>
      </w:r>
    </w:p>
    <w:p>
      <w:pPr>
        <w:spacing w:before="20" w:after="20"/>
        <w:ind w:left="360" w:hanging="259"/>
      </w:pPr>
      <w:r>
        <w:rPr>
          <w:color w:val="000000"/>
          <w:sz w:val="19"/>
        </w:rPr>
        <w:t xml:space="preserve">• </w:t>
      </w:r>
      <w:r>
        <w:rPr>
          <w:b w:val="0"/>
          <w:i w:val="0"/>
          <w:color w:val="000000"/>
          <w:sz w:val="19"/>
        </w:rPr>
        <w:t>Nursing Services (RN)</w:t>
      </w:r>
    </w:p>
    <w:p>
      <w:pPr>
        <w:spacing w:before="80" w:after="80"/>
        <w:pBdr>
          <w:bottom w:val="single" w:sz="4" w:space="1" w:color="1F3864"/>
        </w:pBdr>
      </w:pPr>
    </w:p>
    <w:p>
      <w:pPr>
        <w:spacing w:before="240" w:after="60"/>
        <w:pBdr>
          <w:bottom w:val="single" w:sz="8" w:space="1" w:color="1F3864"/>
        </w:pBdr>
      </w:pPr>
      <w:r>
        <w:rPr>
          <w:b/>
          <w:color w:val="1F3864"/>
          <w:sz w:val="26"/>
        </w:rPr>
        <w:t>Revenue Model</w:t>
      </w: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Attribute</w:t>
            </w:r>
          </w:p>
        </w:tc>
        <w:tc>
          <w:tcPr>
            <w:tcW w:type="dxa" w:w="6854"/>
            <w:vAlign w:val="center"/>
            <w:shd w:val="clear" w:color="auto" w:fill="1F3864"/>
          </w:tcPr>
          <w:p>
            <w:pPr>
              <w:spacing w:before="20" w:after="20"/>
              <w:ind w:left="72"/>
            </w:pPr>
            <w:r>
              <w:rPr>
                <w:b/>
                <w:i w:val="0"/>
                <w:color w:val="FFFFFF"/>
                <w:sz w:val="18"/>
              </w:rPr>
              <w:t>Assessment</w:t>
            </w:r>
          </w:p>
        </w:tc>
      </w:tr>
      <w:tr>
        <w:trPr>
          <w:trHeight w:val="260"/>
        </w:trPr>
        <w:tc>
          <w:tcPr>
            <w:tcW w:type="dxa" w:w="3226"/>
            <w:vAlign w:val="center"/>
          </w:tcPr>
          <w:p>
            <w:pPr>
              <w:spacing w:before="20" w:after="20"/>
              <w:ind w:left="72"/>
            </w:pPr>
            <w:r>
              <w:rPr>
                <w:b w:val="0"/>
                <w:i w:val="0"/>
                <w:color w:val="000000"/>
                <w:sz w:val="18"/>
              </w:rPr>
              <w:t>Tag</w:t>
            </w:r>
          </w:p>
        </w:tc>
        <w:tc>
          <w:tcPr>
            <w:tcW w:type="dxa" w:w="6854"/>
            <w:vAlign w:val="center"/>
          </w:tcPr>
          <w:p>
            <w:pPr>
              <w:spacing w:before="20" w:after="20"/>
              <w:ind w:left="72"/>
            </w:pPr>
            <w:r>
              <w:rPr>
                <w:b w:val="0"/>
                <w:i w:val="0"/>
                <w:color w:val="000000"/>
                <w:sz w:val="18"/>
              </w:rPr>
              <w:t>repeat_services</w:t>
            </w:r>
          </w:p>
        </w:tc>
      </w:tr>
      <w:tr>
        <w:trPr>
          <w:trHeight w:val="260"/>
        </w:trPr>
        <w:tc>
          <w:tcPr>
            <w:tcW w:type="dxa" w:w="3226"/>
            <w:vAlign w:val="center"/>
            <w:shd w:val="clear" w:color="auto" w:fill="EEF3FA"/>
          </w:tcPr>
          <w:p>
            <w:pPr>
              <w:spacing w:before="20" w:after="20"/>
              <w:ind w:left="72"/>
            </w:pPr>
            <w:r>
              <w:rPr>
                <w:b w:val="0"/>
                <w:i w:val="0"/>
                <w:color w:val="000000"/>
                <w:sz w:val="18"/>
              </w:rPr>
              <w:t>Quality Flag</w:t>
            </w:r>
          </w:p>
        </w:tc>
        <w:tc>
          <w:tcPr>
            <w:tcW w:type="dxa" w:w="6854"/>
            <w:vAlign w:val="center"/>
            <w:shd w:val="clear" w:color="auto" w:fill="EEF3FA"/>
          </w:tcPr>
          <w:p>
            <w:pPr>
              <w:spacing w:before="20" w:after="20"/>
              <w:ind w:left="72"/>
            </w:pPr>
            <w:r>
              <w:rPr>
                <w:b w:val="0"/>
                <w:i w:val="0"/>
                <w:color w:val="000000"/>
                <w:sz w:val="18"/>
              </w:rPr>
              <w:t>Yellow</w:t>
            </w:r>
          </w:p>
        </w:tc>
      </w:tr>
    </w:tbl>
    <w:p>
      <w:pPr>
        <w:spacing w:before="40" w:after="40"/>
      </w:pPr>
    </w:p>
    <w:p>
      <w:pPr>
        <w:spacing w:before="160" w:after="40"/>
      </w:pPr>
      <w:r>
        <w:rPr>
          <w:b/>
          <w:color w:val="2E75B6"/>
          <w:sz w:val="22"/>
        </w:rPr>
        <w:t>Assessment</w:t>
      </w:r>
    </w:p>
    <w:p>
      <w:pPr>
        <w:spacing w:before="40" w:after="40"/>
      </w:pPr>
      <w:r>
        <w:rPr>
          <w:b w:val="0"/>
          <w:i w:val="0"/>
          <w:color w:val="000000"/>
          <w:sz w:val="19"/>
        </w:rPr>
        <w:t>Elder Care provides coordinated home care services through a refined practice model. Revenue is driven by repeat, non-contracted but habitual home care engagements (care management, caregiver coordination, nursing services) billed hourly or daily across multiple payor types.</w:t>
      </w:r>
    </w:p>
    <w:p>
      <w:pPr>
        <w:spacing w:before="80" w:after="80"/>
        <w:pBdr>
          <w:bottom w:val="single" w:sz="4" w:space="1" w:color="1F3864"/>
        </w:pBdr>
      </w:pPr>
    </w:p>
    <w:p>
      <w:pPr>
        <w:spacing w:before="240" w:after="60"/>
        <w:pBdr>
          <w:bottom w:val="single" w:sz="8" w:space="1" w:color="1F3864"/>
        </w:pBdr>
      </w:pPr>
      <w:r>
        <w:rPr>
          <w:b/>
          <w:color w:val="1F3864"/>
          <w:sz w:val="26"/>
        </w:rPr>
        <w:t>Recent Business Model Changes</w:t>
      </w:r>
    </w:p>
    <w:p>
      <w:pPr>
        <w:spacing w:before="40" w:after="40"/>
      </w:pPr>
      <w:r>
        <w:rPr>
          <w:b w:val="0"/>
          <w:i/>
          <w:color w:val="000000"/>
          <w:sz w:val="19"/>
        </w:rPr>
        <w:t>No recent changes identified or section not yet synthesized.</w:t>
      </w:r>
    </w:p>
    <w:p>
      <w:pPr>
        <w:spacing w:before="80" w:after="80"/>
        <w:pBdr>
          <w:bottom w:val="single" w:sz="4" w:space="1" w:color="1F3864"/>
        </w:pBdr>
      </w:pPr>
    </w:p>
    <w:p>
      <w:pPr>
        <w:spacing w:before="0" w:after="80"/>
        <w:jc w:val="center"/>
      </w:pPr>
      <w:r>
        <w:rPr>
          <w:b/>
          <w:color w:val="1F3864"/>
          <w:sz w:val="40"/>
        </w:rPr>
        <w:t>2. Customer Quality &amp; Concentration</w:t>
      </w:r>
    </w:p>
    <w:p>
      <w:pPr>
        <w:spacing w:before="240" w:after="60"/>
        <w:pBdr>
          <w:bottom w:val="single" w:sz="8" w:space="1" w:color="1F3864"/>
        </w:pBdr>
      </w:pPr>
      <w:r>
        <w:rPr>
          <w:b/>
          <w:color w:val="1F3864"/>
          <w:sz w:val="26"/>
        </w:rPr>
        <w:t>Overall Assessment</w:t>
      </w:r>
    </w:p>
    <w:p>
      <w:pPr>
        <w:spacing w:before="40" w:after="40"/>
      </w:pPr>
      <w:r>
        <w:rPr>
          <w:b w:val="0"/>
          <w:i/>
          <w:color w:val="000000"/>
          <w:sz w:val="19"/>
        </w:rPr>
        <w:t>Customer quality narrative not yet available — concentration data may be a known gap.</w:t>
      </w:r>
    </w:p>
    <w:p>
      <w:pPr>
        <w:spacing w:before="80" w:after="80"/>
        <w:pBdr>
          <w:bottom w:val="single" w:sz="4" w:space="1" w:color="1F3864"/>
        </w:pBdr>
      </w:pPr>
    </w:p>
    <w:p>
      <w:pPr>
        <w:spacing w:before="240" w:after="60"/>
        <w:pBdr>
          <w:bottom w:val="single" w:sz="8" w:space="1" w:color="1F3864"/>
        </w:pBdr>
      </w:pPr>
      <w:r>
        <w:rPr>
          <w:b/>
          <w:color w:val="1F3864"/>
          <w:sz w:val="26"/>
        </w:rPr>
        <w:t>Concentration &amp; Mix</w:t>
      </w: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Topic</w:t>
            </w:r>
          </w:p>
        </w:tc>
        <w:tc>
          <w:tcPr>
            <w:tcW w:type="dxa" w:w="6854"/>
            <w:vAlign w:val="center"/>
            <w:shd w:val="clear" w:color="auto" w:fill="1F3864"/>
          </w:tcPr>
          <w:p>
            <w:pPr>
              <w:spacing w:before="20" w:after="20"/>
              <w:ind w:left="72"/>
            </w:pPr>
            <w:r>
              <w:rPr>
                <w:b/>
                <w:i w:val="0"/>
                <w:color w:val="FFFFFF"/>
                <w:sz w:val="18"/>
              </w:rPr>
              <w:t>Notes</w:t>
            </w:r>
          </w:p>
        </w:tc>
      </w:tr>
      <w:tr>
        <w:trPr>
          <w:trHeight w:val="260"/>
        </w:trPr>
        <w:tc>
          <w:tcPr>
            <w:tcW w:type="dxa" w:w="3226"/>
            <w:vAlign w:val="center"/>
          </w:tcPr>
          <w:p>
            <w:pPr>
              <w:spacing w:before="20" w:after="20"/>
              <w:ind w:left="72"/>
            </w:pPr>
            <w:r>
              <w:rPr>
                <w:b w:val="0"/>
                <w:i w:val="0"/>
                <w:color w:val="000000"/>
                <w:sz w:val="18"/>
              </w:rPr>
              <w:t>Concentration</w:t>
            </w:r>
          </w:p>
        </w:tc>
        <w:tc>
          <w:tcPr>
            <w:tcW w:type="dxa" w:w="6854"/>
            <w:vAlign w:val="center"/>
          </w:tcPr>
          <w:p>
            <w:pPr>
              <w:spacing w:before="20" w:after="20"/>
              <w:ind w:left="72"/>
            </w:pPr>
          </w:p>
        </w:tc>
      </w:tr>
      <w:tr>
        <w:trPr>
          <w:trHeight w:val="260"/>
        </w:trPr>
        <w:tc>
          <w:tcPr>
            <w:tcW w:type="dxa" w:w="3226"/>
            <w:vAlign w:val="center"/>
            <w:shd w:val="clear" w:color="auto" w:fill="EEF3FA"/>
          </w:tcPr>
          <w:p>
            <w:pPr>
              <w:spacing w:before="20" w:after="20"/>
              <w:ind w:left="72"/>
            </w:pPr>
            <w:r>
              <w:rPr>
                <w:b w:val="0"/>
                <w:i w:val="0"/>
                <w:color w:val="000000"/>
                <w:sz w:val="18"/>
              </w:rPr>
              <w:t>End Market Mix</w:t>
            </w:r>
          </w:p>
        </w:tc>
        <w:tc>
          <w:tcPr>
            <w:tcW w:type="dxa" w:w="6854"/>
            <w:vAlign w:val="center"/>
            <w:shd w:val="clear" w:color="auto" w:fill="EEF3FA"/>
          </w:tcPr>
          <w:p>
            <w:pPr>
              <w:spacing w:before="20" w:after="20"/>
              <w:ind w:left="72"/>
            </w:pPr>
          </w:p>
        </w:tc>
      </w:tr>
      <w:tr>
        <w:trPr>
          <w:trHeight w:val="260"/>
        </w:trPr>
        <w:tc>
          <w:tcPr>
            <w:tcW w:type="dxa" w:w="3226"/>
            <w:vAlign w:val="center"/>
          </w:tcPr>
          <w:p>
            <w:pPr>
              <w:spacing w:before="20" w:after="20"/>
              <w:ind w:left="72"/>
            </w:pPr>
            <w:r>
              <w:rPr>
                <w:b w:val="0"/>
                <w:i w:val="0"/>
                <w:color w:val="000000"/>
                <w:sz w:val="18"/>
              </w:rPr>
              <w:t>Retention Notes</w:t>
            </w:r>
          </w:p>
        </w:tc>
        <w:tc>
          <w:tcPr>
            <w:tcW w:type="dxa" w:w="6854"/>
            <w:vAlign w:val="center"/>
          </w:tcPr>
          <w:p>
            <w:pPr>
              <w:spacing w:before="20" w:after="20"/>
              <w:ind w:left="72"/>
            </w:pPr>
          </w:p>
        </w:tc>
      </w:tr>
    </w:tbl>
    <w:p>
      <w:pPr>
        <w:spacing w:before="40" w:after="40"/>
      </w:pPr>
    </w:p>
    <w:p>
      <w:pPr>
        <w:spacing w:before="80" w:after="80"/>
        <w:pBdr>
          <w:bottom w:val="single" w:sz="4" w:space="1" w:color="1F3864"/>
        </w:pBdr>
      </w:pPr>
    </w:p>
    <w:p>
      <w:pPr>
        <w:spacing w:before="240" w:after="60"/>
        <w:pBdr>
          <w:bottom w:val="single" w:sz="8" w:space="1" w:color="1F3864"/>
        </w:pBdr>
      </w:pPr>
      <w:r>
        <w:rPr>
          <w:b/>
          <w:color w:val="1F3864"/>
          <w:sz w:val="26"/>
        </w:rPr>
        <w:t>Data Room Gaps (Customer Quality)</w:t>
      </w: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Request</w:t>
            </w:r>
          </w:p>
        </w:tc>
        <w:tc>
          <w:tcPr>
            <w:tcW w:type="dxa" w:w="6854"/>
            <w:vAlign w:val="center"/>
            <w:shd w:val="clear" w:color="auto" w:fill="1F3864"/>
          </w:tcPr>
          <w:p>
            <w:pPr>
              <w:spacing w:before="20" w:after="20"/>
              <w:ind w:left="72"/>
            </w:pPr>
            <w:r>
              <w:rPr>
                <w:b/>
                <w:i w:val="0"/>
                <w:color w:val="FFFFFF"/>
                <w:sz w:val="18"/>
              </w:rPr>
              <w:t>Priority</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LLM response was truncated by the token limit (Unterminated string starting at: line 651 column 21 (char 24828)). Partial JSON was recovered — records cut off mid-stream are excluded. Consider raising max_tokens or reducing retrieved context size.</w:t>
            </w:r>
          </w:p>
        </w:tc>
        <w:tc>
          <w:tcPr>
            <w:tcW w:type="dxa" w:w="6854"/>
            <w:vAlign w:val="center"/>
            <w:shd w:val="clear" w:color="auto" w:fill="1F3864"/>
          </w:tcPr>
          <w:p>
            <w:pPr>
              <w:spacing w:before="20" w:after="20"/>
              <w:ind w:left="72"/>
            </w:pPr>
            <w:r>
              <w:rPr>
                <w:b/>
                <w:i w:val="0"/>
                <w:color w:val="FFFFFF"/>
                <w:sz w:val="18"/>
              </w:rPr>
              <w:t>medium (filled_cited)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sales_motion tag not extracted — sales process description may be absent from retrieved chunks. Check retrieval coverage of GTM/sales sections.</w:t>
            </w:r>
          </w:p>
        </w:tc>
        <w:tc>
          <w:tcPr>
            <w:tcW w:type="dxa" w:w="6854"/>
            <w:vAlign w:val="center"/>
            <w:shd w:val="clear" w:color="auto" w:fill="1F3864"/>
          </w:tcPr>
          <w:p>
            <w:pPr>
              <w:spacing w:before="20" w:after="20"/>
              <w:ind w:left="72"/>
            </w:pPr>
            <w:r>
              <w:rPr>
                <w:b/>
                <w:i w:val="0"/>
                <w:color w:val="FFFFFF"/>
                <w:sz w:val="18"/>
              </w:rPr>
              <w:t>medium (filled_cited)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revenue_visibility has no forward revenue signal — backlog, contracted %, and recurring revenue proxies all null. Flag for management Q&amp;A.</w:t>
            </w:r>
          </w:p>
        </w:tc>
        <w:tc>
          <w:tcPr>
            <w:tcW w:type="dxa" w:w="6854"/>
            <w:vAlign w:val="center"/>
            <w:shd w:val="clear" w:color="auto" w:fill="1F3864"/>
          </w:tcPr>
          <w:p>
            <w:pPr>
              <w:spacing w:before="20" w:after="20"/>
              <w:ind w:left="72"/>
            </w:pPr>
            <w:r>
              <w:rPr>
                <w:b/>
                <w:i w:val="0"/>
                <w:color w:val="FFFFFF"/>
                <w:sz w:val="18"/>
              </w:rPr>
              <w:t>medium (filled_cited)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recent</w:t>
            </w:r>
            <w:r>
              <w:rPr>
                <w:b/>
                <w:i/>
                <w:color w:val="FFFFFF"/>
                <w:sz w:val="18"/>
              </w:rPr>
              <w:t>model</w:t>
            </w:r>
            <w:r>
              <w:rPr>
                <w:b/>
                <w:i w:val="0"/>
                <w:color w:val="FFFFFF"/>
                <w:sz w:val="18"/>
              </w:rPr>
              <w:t>changes is empty — no business model, pricing, GTM, or technology changes extracted. Check retrieval of timeline/MD&amp;A sections.</w:t>
            </w:r>
          </w:p>
        </w:tc>
        <w:tc>
          <w:tcPr>
            <w:tcW w:type="dxa" w:w="6854"/>
            <w:vAlign w:val="center"/>
            <w:shd w:val="clear" w:color="auto" w:fill="1F3864"/>
          </w:tcPr>
          <w:p>
            <w:pPr>
              <w:spacing w:before="20" w:after="20"/>
              <w:ind w:left="72"/>
            </w:pPr>
            <w:r>
              <w:rPr>
                <w:b/>
                <w:i w:val="0"/>
                <w:color w:val="FFFFFF"/>
                <w:sz w:val="18"/>
              </w:rPr>
              <w:t>medium (filled_cited)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key_dependencies is empty — vendor, platform, channel, and people dependencies not extracted. Check retrieval coverage.</w:t>
            </w:r>
          </w:p>
        </w:tc>
        <w:tc>
          <w:tcPr>
            <w:tcW w:type="dxa" w:w="6854"/>
            <w:vAlign w:val="center"/>
            <w:shd w:val="clear" w:color="auto" w:fill="1F3864"/>
          </w:tcPr>
          <w:p>
            <w:pPr>
              <w:spacing w:before="20" w:after="20"/>
              <w:ind w:left="72"/>
            </w:pPr>
            <w:r>
              <w:rPr>
                <w:b/>
                <w:i w:val="0"/>
                <w:color w:val="FFFFFF"/>
                <w:sz w:val="18"/>
              </w:rPr>
              <w:t>medium (filled_cited)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healthcare overlay: referral</w:t>
            </w:r>
            <w:r>
              <w:rPr>
                <w:b/>
                <w:i/>
                <w:color w:val="FFFFFF"/>
                <w:sz w:val="18"/>
              </w:rPr>
              <w:t>source</w:t>
            </w:r>
            <w:r>
              <w:rPr>
                <w:b/>
                <w:i w:val="0"/>
                <w:color w:val="FFFFFF"/>
                <w:sz w:val="18"/>
              </w:rPr>
              <w:t>breakdown is empty — customer acquisition channel mix not extracted. Referral source breakdown is a primary KPI for healthcare; check retrieval of sales sections.</w:t>
            </w:r>
          </w:p>
        </w:tc>
        <w:tc>
          <w:tcPr>
            <w:tcW w:type="dxa" w:w="6854"/>
            <w:vAlign w:val="center"/>
            <w:shd w:val="clear" w:color="auto" w:fill="1F3864"/>
          </w:tcPr>
          <w:p>
            <w:pPr>
              <w:spacing w:before="20" w:after="20"/>
              <w:ind w:left="72"/>
            </w:pPr>
            <w:r>
              <w:rPr>
                <w:b/>
                <w:i w:val="0"/>
                <w:color w:val="FFFFFF"/>
                <w:sz w:val="18"/>
              </w:rPr>
              <w:t>medium (filled_cited)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healthcare overlay: payor_mix is empty — payor/customer type breakdown not extracted. Required for government payor concentration threshold check.</w:t>
            </w:r>
          </w:p>
        </w:tc>
        <w:tc>
          <w:tcPr>
            <w:tcW w:type="dxa" w:w="6854"/>
            <w:vAlign w:val="center"/>
            <w:shd w:val="clear" w:color="auto" w:fill="1F3864"/>
          </w:tcPr>
          <w:p>
            <w:pPr>
              <w:spacing w:before="20" w:after="20"/>
              <w:ind w:left="72"/>
            </w:pPr>
            <w:r>
              <w:rPr>
                <w:b/>
                <w:i w:val="0"/>
                <w:color w:val="FFFFFF"/>
                <w:sz w:val="18"/>
              </w:rPr>
              <w:t>medium (filled_cited)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Budget vs. actual data was not found in retrieved documents. If the data room includes a management reporting package, board deck, monthly controller report, or rolling forecast, confirm those files are tagged with the FINANCIAL workstream and re-run the agent. Budget vs. actual is required to assess forecast credibility.</w:t>
            </w:r>
          </w:p>
        </w:tc>
        <w:tc>
          <w:tcPr>
            <w:tcW w:type="dxa" w:w="6854"/>
            <w:vAlign w:val="center"/>
            <w:shd w:val="clear" w:color="auto" w:fill="1F3864"/>
          </w:tcPr>
          <w:p>
            <w:pPr>
              <w:spacing w:before="20" w:after="20"/>
              <w:ind w:left="72"/>
            </w:pPr>
            <w:r>
              <w:rPr>
                <w:b/>
                <w:i w:val="0"/>
                <w:color w:val="FFFFFF"/>
                <w:sz w:val="18"/>
              </w:rPr>
              <w:t>medium (filled_cited)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Staff turnover rate not stated — required for healthcare services workforce risk assessment</w:t>
            </w:r>
          </w:p>
        </w:tc>
        <w:tc>
          <w:tcPr>
            <w:tcW w:type="dxa" w:w="6854"/>
            <w:vAlign w:val="center"/>
            <w:shd w:val="clear" w:color="auto" w:fill="1F3864"/>
          </w:tcPr>
          <w:p>
            <w:pPr>
              <w:spacing w:before="20" w:after="20"/>
              <w:ind w:left="72"/>
            </w:pPr>
            <w:r>
              <w:rPr>
                <w:b/>
                <w:i w:val="0"/>
                <w:color w:val="FFFFFF"/>
                <w:sz w:val="18"/>
              </w:rPr>
              <w:t>medium (filled_cited)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Missing KPI [census / active client count]: What is the current total active client census by market/region, and how has it trended monthly over the past 24 months?</w:t>
            </w:r>
          </w:p>
        </w:tc>
        <w:tc>
          <w:tcPr>
            <w:tcW w:type="dxa" w:w="6854"/>
            <w:vAlign w:val="center"/>
            <w:shd w:val="clear" w:color="auto" w:fill="1F3864"/>
          </w:tcPr>
          <w:p>
            <w:pPr>
              <w:spacing w:before="20" w:after="20"/>
              <w:ind w:left="72"/>
            </w:pPr>
            <w:r>
              <w:rPr>
                <w:b/>
                <w:i w:val="0"/>
                <w:color w:val="FFFFFF"/>
                <w:sz w:val="18"/>
              </w:rPr>
              <w:t>medium (filled_cited)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Missing KPI [caregiver turnover rate]: What is the annualized caregiver turnover rate (voluntary and involuntary) by market for the past two fiscal years, and how does it compare to industry benchmarks?</w:t>
            </w:r>
          </w:p>
        </w:tc>
        <w:tc>
          <w:tcPr>
            <w:tcW w:type="dxa" w:w="6854"/>
            <w:vAlign w:val="center"/>
            <w:shd w:val="clear" w:color="auto" w:fill="1F3864"/>
          </w:tcPr>
          <w:p>
            <w:pPr>
              <w:spacing w:before="20" w:after="20"/>
              <w:ind w:left="72"/>
            </w:pPr>
            <w:r>
              <w:rPr>
                <w:b/>
                <w:i w:val="0"/>
                <w:color w:val="FFFFFF"/>
                <w:sz w:val="18"/>
              </w:rPr>
              <w:t>medium (filled_cited)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Missing KPI [payor mix breakdown]: Can management provide a monthly payor mix breakdown by market for the TTM period, including any shifts in Medicaid Waiver or VA program concentration?</w:t>
            </w:r>
          </w:p>
        </w:tc>
        <w:tc>
          <w:tcPr>
            <w:tcW w:type="dxa" w:w="6854"/>
            <w:vAlign w:val="center"/>
            <w:shd w:val="clear" w:color="auto" w:fill="1F3864"/>
          </w:tcPr>
          <w:p>
            <w:pPr>
              <w:spacing w:before="20" w:after="20"/>
              <w:ind w:left="72"/>
            </w:pPr>
            <w:r>
              <w:rPr>
                <w:b/>
                <w:i w:val="0"/>
                <w:color w:val="FFFFFF"/>
                <w:sz w:val="18"/>
              </w:rPr>
              <w:t>medium (filled_cited)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Missing KPI [AR aging by payor]: Please provide an AR aging schedule segmented by payor class (Private Pay, Medicaid Waiver, LTC Insurance, VA) as of the most recent month-end, including DSO by payor.</w:t>
            </w:r>
          </w:p>
        </w:tc>
        <w:tc>
          <w:tcPr>
            <w:tcW w:type="dxa" w:w="6854"/>
            <w:vAlign w:val="center"/>
            <w:shd w:val="clear" w:color="auto" w:fill="1F3864"/>
          </w:tcPr>
          <w:p>
            <w:pPr>
              <w:spacing w:before="20" w:after="20"/>
              <w:ind w:left="72"/>
            </w:pPr>
            <w:r>
              <w:rPr>
                <w:b/>
                <w:i w:val="0"/>
                <w:color w:val="FFFFFF"/>
                <w:sz w:val="18"/>
              </w:rPr>
              <w:t>medium (filled_cited)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Missing KPI [referral source breakdown]: What percentage of new client starts are attributable to each referral source category (hospital/SNF discharge, ALF/senior community, physician, family/self-referral, other) over the past 12 months?</w:t>
            </w:r>
          </w:p>
        </w:tc>
        <w:tc>
          <w:tcPr>
            <w:tcW w:type="dxa" w:w="6854"/>
            <w:vAlign w:val="center"/>
            <w:shd w:val="clear" w:color="auto" w:fill="1F3864"/>
          </w:tcPr>
          <w:p>
            <w:pPr>
              <w:spacing w:before="20" w:after="20"/>
              <w:ind w:left="72"/>
            </w:pPr>
            <w:r>
              <w:rPr>
                <w:b/>
                <w:i w:val="0"/>
                <w:color w:val="FFFFFF"/>
                <w:sz w:val="18"/>
              </w:rPr>
              <w:t>medium (filled_cited)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Missing KPI [hours billed per active client (utilization/productivity)]: What is the average weekly hours billed per active client by service type (companion, personal care, skilled nursing) and by market for the TTM period?</w:t>
            </w:r>
          </w:p>
        </w:tc>
        <w:tc>
          <w:tcPr>
            <w:tcW w:type="dxa" w:w="6854"/>
            <w:vAlign w:val="center"/>
            <w:shd w:val="clear" w:color="auto" w:fill="1F3864"/>
          </w:tcPr>
          <w:p>
            <w:pPr>
              <w:spacing w:before="20" w:after="20"/>
              <w:ind w:left="72"/>
            </w:pPr>
            <w:r>
              <w:rPr>
                <w:b/>
                <w:i w:val="0"/>
                <w:color w:val="FFFFFF"/>
                <w:sz w:val="18"/>
              </w:rPr>
              <w:t>medium (filled_cited)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Missing KPI [compliance incidents (audits, adverse surveys, licensing, litigation, billing/coding)]: Has the company received any state or federal audit findings, adverse survey results, licensing actions, billing/coding inquiries, or litigation (including employment claims) in the past five years? Please provide documentation.</w:t>
            </w:r>
          </w:p>
        </w:tc>
        <w:tc>
          <w:tcPr>
            <w:tcW w:type="dxa" w:w="6854"/>
            <w:vAlign w:val="center"/>
            <w:shd w:val="clear" w:color="auto" w:fill="1F3864"/>
          </w:tcPr>
          <w:p>
            <w:pPr>
              <w:spacing w:before="20" w:after="20"/>
              <w:ind w:left="72"/>
            </w:pPr>
            <w:r>
              <w:rPr>
                <w:b/>
                <w:i w:val="0"/>
                <w:color w:val="FFFFFF"/>
                <w:sz w:val="18"/>
              </w:rPr>
              <w:t>medium (filled_cited)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Missing KPI [revenue per caregiver FTE]: What is the current total caregiver FTE count (W-2 hours basis) by market, and what is the implied revenue per caregiver FTE for the TTM period?</w:t>
            </w:r>
          </w:p>
        </w:tc>
        <w:tc>
          <w:tcPr>
            <w:tcW w:type="dxa" w:w="6854"/>
            <w:vAlign w:val="center"/>
            <w:shd w:val="clear" w:color="auto" w:fill="1F3864"/>
          </w:tcPr>
          <w:p>
            <w:pPr>
              <w:spacing w:before="20" w:after="20"/>
              <w:ind w:left="72"/>
            </w:pPr>
            <w:r>
              <w:rPr>
                <w:b/>
                <w:i w:val="0"/>
                <w:color w:val="FFFFFF"/>
                <w:sz w:val="18"/>
              </w:rPr>
              <w:t>medium (filled_cited)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contract</w:t>
            </w:r>
            <w:r>
              <w:rPr>
                <w:b/>
                <w:i/>
                <w:color w:val="FFFFFF"/>
                <w:sz w:val="18"/>
              </w:rPr>
              <w:t>trigger</w:t>
            </w:r>
            <w:r>
              <w:rPr>
                <w:b/>
                <w:i w:val="0"/>
                <w:color w:val="FFFFFF"/>
                <w:sz w:val="18"/>
              </w:rPr>
              <w:t>list not found — Customer Quality Agent has not run or returned no material customers. Legal Agent proceeding without triggered reviews.</w:t>
            </w:r>
          </w:p>
        </w:tc>
        <w:tc>
          <w:tcPr>
            <w:tcW w:type="dxa" w:w="6854"/>
            <w:vAlign w:val="center"/>
            <w:shd w:val="clear" w:color="auto" w:fill="1F3864"/>
          </w:tcPr>
          <w:p>
            <w:pPr>
              <w:spacing w:before="20" w:after="20"/>
              <w:ind w:left="72"/>
            </w:pPr>
            <w:r>
              <w:rPr>
                <w:b/>
                <w:i w:val="0"/>
                <w:color w:val="FFFFFF"/>
                <w:sz w:val="18"/>
              </w:rPr>
              <w:t>medium (filled_cited)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t4c: chunks retrieved but no extractable terms</w:t>
            </w:r>
          </w:p>
        </w:tc>
        <w:tc>
          <w:tcPr>
            <w:tcW w:type="dxa" w:w="6854"/>
            <w:vAlign w:val="center"/>
            <w:shd w:val="clear" w:color="auto" w:fill="1F3864"/>
          </w:tcPr>
          <w:p>
            <w:pPr>
              <w:spacing w:before="20" w:after="20"/>
              <w:ind w:left="72"/>
            </w:pPr>
            <w:r>
              <w:rPr>
                <w:b/>
                <w:i w:val="0"/>
                <w:color w:val="FFFFFF"/>
                <w:sz w:val="18"/>
              </w:rPr>
              <w:t>medium (filled_cited)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coc: chunks retrieved but no extractable terms</w:t>
            </w:r>
          </w:p>
        </w:tc>
        <w:tc>
          <w:tcPr>
            <w:tcW w:type="dxa" w:w="6854"/>
            <w:vAlign w:val="center"/>
            <w:shd w:val="clear" w:color="auto" w:fill="1F3864"/>
          </w:tcPr>
          <w:p>
            <w:pPr>
              <w:spacing w:before="20" w:after="20"/>
              <w:ind w:left="72"/>
            </w:pPr>
            <w:r>
              <w:rPr>
                <w:b/>
                <w:i w:val="0"/>
                <w:color w:val="FFFFFF"/>
                <w:sz w:val="18"/>
              </w:rPr>
              <w:t>medium (filled_cited)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platform: chunks retrieved but no extractable terms</w:t>
            </w:r>
          </w:p>
        </w:tc>
        <w:tc>
          <w:tcPr>
            <w:tcW w:type="dxa" w:w="6854"/>
            <w:vAlign w:val="center"/>
            <w:shd w:val="clear" w:color="auto" w:fill="1F3864"/>
          </w:tcPr>
          <w:p>
            <w:pPr>
              <w:spacing w:before="20" w:after="20"/>
              <w:ind w:left="72"/>
            </w:pPr>
            <w:r>
              <w:rPr>
                <w:b/>
                <w:i w:val="0"/>
                <w:color w:val="FFFFFF"/>
                <w:sz w:val="18"/>
              </w:rPr>
              <w:t>medium (filled_cited)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ip: chunks retrieved but no extractable terms</w:t>
            </w:r>
          </w:p>
        </w:tc>
        <w:tc>
          <w:tcPr>
            <w:tcW w:type="dxa" w:w="6854"/>
            <w:vAlign w:val="center"/>
            <w:shd w:val="clear" w:color="auto" w:fill="1F3864"/>
          </w:tcPr>
          <w:p>
            <w:pPr>
              <w:spacing w:before="20" w:after="20"/>
              <w:ind w:left="72"/>
            </w:pPr>
            <w:r>
              <w:rPr>
                <w:b/>
                <w:i w:val="0"/>
                <w:color w:val="FFFFFF"/>
                <w:sz w:val="18"/>
              </w:rPr>
              <w:t>medium (filled_cited)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Customer contracts — termination for convenience</w:t>
            </w:r>
          </w:p>
        </w:tc>
        <w:tc>
          <w:tcPr>
            <w:tcW w:type="dxa" w:w="6854"/>
            <w:vAlign w:val="center"/>
            <w:shd w:val="clear" w:color="auto" w:fill="1F3864"/>
          </w:tcPr>
          <w:p>
            <w:pPr>
              <w:spacing w:before="20" w:after="20"/>
              <w:ind w:left="72"/>
            </w:pPr>
            <w:r>
              <w:rPr>
                <w:b/>
                <w:i w:val="0"/>
                <w:color w:val="FFFFFF"/>
                <w:sz w:val="18"/>
              </w:rPr>
              <w:t>high (gap_correct)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Change-of-control clauses</w:t>
            </w:r>
          </w:p>
        </w:tc>
        <w:tc>
          <w:tcPr>
            <w:tcW w:type="dxa" w:w="6854"/>
            <w:vAlign w:val="center"/>
            <w:shd w:val="clear" w:color="auto" w:fill="1F3864"/>
          </w:tcPr>
          <w:p>
            <w:pPr>
              <w:spacing w:before="20" w:after="20"/>
              <w:ind w:left="72"/>
            </w:pPr>
            <w:r>
              <w:rPr>
                <w:b/>
                <w:i w:val="0"/>
                <w:color w:val="FFFFFF"/>
                <w:sz w:val="18"/>
              </w:rPr>
              <w:t>high (gap_correct)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Platform / reseller / channel dependencies</w:t>
            </w:r>
          </w:p>
        </w:tc>
        <w:tc>
          <w:tcPr>
            <w:tcW w:type="dxa" w:w="6854"/>
            <w:vAlign w:val="center"/>
            <w:shd w:val="clear" w:color="auto" w:fill="1F3864"/>
          </w:tcPr>
          <w:p>
            <w:pPr>
              <w:spacing w:before="20" w:after="20"/>
              <w:ind w:left="72"/>
            </w:pPr>
            <w:r>
              <w:rPr>
                <w:b/>
                <w:i w:val="0"/>
                <w:color w:val="FFFFFF"/>
                <w:sz w:val="18"/>
              </w:rPr>
              <w:t>high (gap_correct)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IP ownership, assignment, OSS</w:t>
            </w:r>
          </w:p>
        </w:tc>
        <w:tc>
          <w:tcPr>
            <w:tcW w:type="dxa" w:w="6854"/>
            <w:vAlign w:val="center"/>
            <w:shd w:val="clear" w:color="auto" w:fill="1F3864"/>
          </w:tcPr>
          <w:p>
            <w:pPr>
              <w:spacing w:before="20" w:after="20"/>
              <w:ind w:left="72"/>
            </w:pPr>
            <w:r>
              <w:rPr>
                <w:b/>
                <w:i w:val="0"/>
                <w:color w:val="FFFFFF"/>
                <w:sz w:val="18"/>
              </w:rPr>
              <w:t>high (gap_correct)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No QofE report found in VDR — flag as data room gap</w:t>
            </w:r>
          </w:p>
        </w:tc>
        <w:tc>
          <w:tcPr>
            <w:tcW w:type="dxa" w:w="6854"/>
            <w:vAlign w:val="center"/>
            <w:shd w:val="clear" w:color="auto" w:fill="1F3864"/>
          </w:tcPr>
          <w:p>
            <w:pPr>
              <w:spacing w:before="20" w:after="20"/>
              <w:ind w:left="72"/>
            </w:pPr>
            <w:r>
              <w:rPr>
                <w:b/>
                <w:i w:val="0"/>
                <w:color w:val="FFFFFF"/>
                <w:sz w:val="18"/>
              </w:rPr>
              <w:t>medium (filled_cited)</w:t>
            </w:r>
          </w:p>
        </w:tc>
      </w:tr>
    </w:tbl>
    <w:p>
      <w:pPr>
        <w:spacing w:before="40" w:after="40"/>
      </w:pPr>
    </w:p>
    <w:p>
      <w:pPr>
        <w:spacing w:before="80" w:after="80"/>
        <w:pBdr>
          <w:bottom w:val="single" w:sz="4" w:space="1" w:color="1F3864"/>
        </w:pBdr>
      </w:pPr>
    </w:p>
    <w:p>
      <w:pPr>
        <w:spacing w:before="0" w:after="80"/>
        <w:jc w:val="center"/>
      </w:pPr>
      <w:r>
        <w:rPr>
          <w:b/>
          <w:color w:val="1F3864"/>
          <w:sz w:val="40"/>
        </w:rPr>
        <w:t>3. Financial Trend Analysis</w:t>
      </w:r>
    </w:p>
    <w:p>
      <w:pPr>
        <w:spacing w:before="240" w:after="60"/>
        <w:pBdr>
          <w:bottom w:val="single" w:sz="8" w:space="1" w:color="1F3864"/>
        </w:pBdr>
      </w:pPr>
      <w:r>
        <w:rPr>
          <w:b/>
          <w:color w:val="1F3864"/>
          <w:sz w:val="26"/>
        </w:rPr>
        <w:t>Revenue &amp; EBITDA Trend</w:t>
      </w: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1680"/>
        <w:gridCol w:w="1680"/>
        <w:gridCol w:w="1680"/>
        <w:gridCol w:w="1680"/>
        <w:gridCol w:w="1680"/>
        <w:gridCol w:w="1680"/>
      </w:tblGrid>
      <w:tr>
        <w:trPr>
          <w:trHeight w:val="280"/>
        </w:trPr>
        <w:tc>
          <w:tcPr>
            <w:tcW w:type="dxa" w:w="3226"/>
            <w:vAlign w:val="center"/>
            <w:shd w:val="clear" w:color="auto" w:fill="1F3864"/>
          </w:tcPr>
          <w:p>
            <w:pPr>
              <w:spacing w:before="20" w:after="20"/>
              <w:ind w:left="72"/>
            </w:pPr>
            <w:r>
              <w:rPr>
                <w:b/>
                <w:i w:val="0"/>
                <w:color w:val="FFFFFF"/>
                <w:sz w:val="18"/>
              </w:rPr>
              <w:t>Year</w:t>
            </w:r>
          </w:p>
        </w:tc>
        <w:tc>
          <w:tcPr>
            <w:tcW w:type="dxa" w:w="1371"/>
            <w:vAlign w:val="center"/>
            <w:shd w:val="clear" w:color="auto" w:fill="1F3864"/>
          </w:tcPr>
          <w:p>
            <w:pPr>
              <w:spacing w:before="20" w:after="20"/>
              <w:ind w:left="72"/>
            </w:pPr>
            <w:r>
              <w:rPr>
                <w:b/>
                <w:i w:val="0"/>
                <w:color w:val="FFFFFF"/>
                <w:sz w:val="18"/>
              </w:rPr>
              <w:t>Revenue</w:t>
            </w:r>
          </w:p>
        </w:tc>
        <w:tc>
          <w:tcPr>
            <w:tcW w:type="dxa" w:w="1371"/>
            <w:vAlign w:val="center"/>
            <w:shd w:val="clear" w:color="auto" w:fill="1F3864"/>
          </w:tcPr>
          <w:p>
            <w:pPr>
              <w:spacing w:before="20" w:after="20"/>
              <w:ind w:left="72"/>
            </w:pPr>
            <w:r>
              <w:rPr>
                <w:b/>
                <w:i w:val="0"/>
                <w:color w:val="FFFFFF"/>
                <w:sz w:val="18"/>
              </w:rPr>
              <w:t>Gross Profit</w:t>
            </w:r>
          </w:p>
        </w:tc>
        <w:tc>
          <w:tcPr>
            <w:tcW w:type="dxa" w:w="1371"/>
            <w:vAlign w:val="center"/>
            <w:shd w:val="clear" w:color="auto" w:fill="1F3864"/>
          </w:tcPr>
          <w:p>
            <w:pPr>
              <w:spacing w:before="20" w:after="20"/>
              <w:ind w:left="72"/>
            </w:pPr>
            <w:r>
              <w:rPr>
                <w:b/>
                <w:i w:val="0"/>
                <w:color w:val="FFFFFF"/>
                <w:sz w:val="18"/>
              </w:rPr>
              <w:t>Gross Margin</w:t>
            </w:r>
          </w:p>
        </w:tc>
        <w:tc>
          <w:tcPr>
            <w:tcW w:type="dxa" w:w="1371"/>
            <w:vAlign w:val="center"/>
            <w:shd w:val="clear" w:color="auto" w:fill="1F3864"/>
          </w:tcPr>
          <w:p>
            <w:pPr>
              <w:spacing w:before="20" w:after="20"/>
              <w:ind w:left="72"/>
            </w:pPr>
            <w:r>
              <w:rPr>
                <w:b/>
                <w:i w:val="0"/>
                <w:color w:val="FFFFFF"/>
                <w:sz w:val="18"/>
              </w:rPr>
              <w:t>EBITDA</w:t>
            </w:r>
          </w:p>
        </w:tc>
        <w:tc>
          <w:tcPr>
            <w:tcW w:type="dxa" w:w="1371"/>
            <w:vAlign w:val="center"/>
            <w:shd w:val="clear" w:color="auto" w:fill="1F3864"/>
          </w:tcPr>
          <w:p>
            <w:pPr>
              <w:spacing w:before="20" w:after="20"/>
              <w:ind w:left="72"/>
            </w:pPr>
            <w:r>
              <w:rPr>
                <w:b/>
                <w:i w:val="0"/>
                <w:color w:val="FFFFFF"/>
                <w:sz w:val="18"/>
              </w:rPr>
              <w:t>EBITDA Margin</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1680"/>
        <w:gridCol w:w="1680"/>
        <w:gridCol w:w="1680"/>
        <w:gridCol w:w="1680"/>
        <w:gridCol w:w="1680"/>
        <w:gridCol w:w="1680"/>
      </w:tblGrid>
      <w:tr>
        <w:trPr>
          <w:trHeight w:val="280"/>
        </w:trPr>
        <w:tc>
          <w:tcPr>
            <w:tcW w:type="dxa" w:w="3226"/>
            <w:vAlign w:val="center"/>
            <w:shd w:val="clear" w:color="auto" w:fill="1F3864"/>
          </w:tcPr>
          <w:p>
            <w:pPr>
              <w:spacing w:before="20" w:after="20"/>
              <w:ind w:left="72"/>
            </w:pPr>
            <w:r>
              <w:rPr>
                <w:b/>
                <w:i w:val="0"/>
                <w:color w:val="FFFFFF"/>
                <w:sz w:val="18"/>
              </w:rPr>
              <w:t>2020A</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42.1%</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36.6%</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1680"/>
        <w:gridCol w:w="1680"/>
        <w:gridCol w:w="1680"/>
        <w:gridCol w:w="1680"/>
        <w:gridCol w:w="1680"/>
        <w:gridCol w:w="1680"/>
      </w:tblGrid>
      <w:tr>
        <w:trPr>
          <w:trHeight w:val="280"/>
        </w:trPr>
        <w:tc>
          <w:tcPr>
            <w:tcW w:type="dxa" w:w="3226"/>
            <w:vAlign w:val="center"/>
            <w:shd w:val="clear" w:color="auto" w:fill="1F3864"/>
          </w:tcPr>
          <w:p>
            <w:pPr>
              <w:spacing w:before="20" w:after="20"/>
              <w:ind w:left="72"/>
            </w:pPr>
            <w:r>
              <w:rPr>
                <w:b/>
                <w:i w:val="0"/>
                <w:color w:val="FFFFFF"/>
                <w:sz w:val="18"/>
              </w:rPr>
              <w:t>2021A</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44.3%</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33.4%</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1680"/>
        <w:gridCol w:w="1680"/>
        <w:gridCol w:w="1680"/>
        <w:gridCol w:w="1680"/>
        <w:gridCol w:w="1680"/>
        <w:gridCol w:w="1680"/>
      </w:tblGrid>
      <w:tr>
        <w:trPr>
          <w:trHeight w:val="280"/>
        </w:trPr>
        <w:tc>
          <w:tcPr>
            <w:tcW w:type="dxa" w:w="3226"/>
            <w:vAlign w:val="center"/>
            <w:shd w:val="clear" w:color="auto" w:fill="1F3864"/>
          </w:tcPr>
          <w:p>
            <w:pPr>
              <w:spacing w:before="20" w:after="20"/>
              <w:ind w:left="72"/>
            </w:pPr>
            <w:r>
              <w:rPr>
                <w:b/>
                <w:i w:val="0"/>
                <w:color w:val="FFFFFF"/>
                <w:sz w:val="18"/>
              </w:rPr>
              <w:t>2022A</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44.0%</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31.4%</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1680"/>
        <w:gridCol w:w="1680"/>
        <w:gridCol w:w="1680"/>
        <w:gridCol w:w="1680"/>
        <w:gridCol w:w="1680"/>
        <w:gridCol w:w="1680"/>
      </w:tblGrid>
      <w:tr>
        <w:trPr>
          <w:trHeight w:val="280"/>
        </w:trPr>
        <w:tc>
          <w:tcPr>
            <w:tcW w:type="dxa" w:w="3226"/>
            <w:vAlign w:val="center"/>
            <w:shd w:val="clear" w:color="auto" w:fill="1F3864"/>
          </w:tcPr>
          <w:p>
            <w:pPr>
              <w:spacing w:before="20" w:after="20"/>
              <w:ind w:left="72"/>
            </w:pPr>
            <w:r>
              <w:rPr>
                <w:b/>
                <w:i w:val="0"/>
                <w:color w:val="FFFFFF"/>
                <w:sz w:val="18"/>
              </w:rPr>
              <w:t>2023A</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42.6%</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30.3%</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1680"/>
        <w:gridCol w:w="1680"/>
        <w:gridCol w:w="1680"/>
        <w:gridCol w:w="1680"/>
        <w:gridCol w:w="1680"/>
        <w:gridCol w:w="1680"/>
      </w:tblGrid>
      <w:tr>
        <w:trPr>
          <w:trHeight w:val="280"/>
        </w:trPr>
        <w:tc>
          <w:tcPr>
            <w:tcW w:type="dxa" w:w="3226"/>
            <w:vAlign w:val="center"/>
            <w:shd w:val="clear" w:color="auto" w:fill="1F3864"/>
          </w:tcPr>
          <w:p>
            <w:pPr>
              <w:spacing w:before="20" w:after="20"/>
              <w:ind w:left="72"/>
            </w:pPr>
            <w:r>
              <w:rPr>
                <w:b/>
                <w:i w:val="0"/>
                <w:color w:val="FFFFFF"/>
                <w:sz w:val="18"/>
              </w:rPr>
              <w:t>TTM Aug-24</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41.4%</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30.0%</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1680"/>
        <w:gridCol w:w="1680"/>
        <w:gridCol w:w="1680"/>
        <w:gridCol w:w="1680"/>
        <w:gridCol w:w="1680"/>
        <w:gridCol w:w="1680"/>
      </w:tblGrid>
      <w:tr>
        <w:trPr>
          <w:trHeight w:val="280"/>
        </w:trPr>
        <w:tc>
          <w:tcPr>
            <w:tcW w:type="dxa" w:w="3226"/>
            <w:vAlign w:val="center"/>
            <w:shd w:val="clear" w:color="auto" w:fill="1F3864"/>
          </w:tcPr>
          <w:p>
            <w:pPr>
              <w:spacing w:before="20" w:after="20"/>
              <w:ind w:left="72"/>
            </w:pPr>
            <w:r>
              <w:rPr>
                <w:b/>
                <w:i w:val="0"/>
                <w:color w:val="FFFFFF"/>
                <w:sz w:val="18"/>
              </w:rPr>
              <w:t>2020A</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42.1%</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36.6%</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1680"/>
        <w:gridCol w:w="1680"/>
        <w:gridCol w:w="1680"/>
        <w:gridCol w:w="1680"/>
        <w:gridCol w:w="1680"/>
        <w:gridCol w:w="1680"/>
      </w:tblGrid>
      <w:tr>
        <w:trPr>
          <w:trHeight w:val="280"/>
        </w:trPr>
        <w:tc>
          <w:tcPr>
            <w:tcW w:type="dxa" w:w="3226"/>
            <w:vAlign w:val="center"/>
            <w:shd w:val="clear" w:color="auto" w:fill="1F3864"/>
          </w:tcPr>
          <w:p>
            <w:pPr>
              <w:spacing w:before="20" w:after="20"/>
              <w:ind w:left="72"/>
            </w:pPr>
            <w:r>
              <w:rPr>
                <w:b/>
                <w:i w:val="0"/>
                <w:color w:val="FFFFFF"/>
                <w:sz w:val="18"/>
              </w:rPr>
              <w:t>2021A</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44.3%</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33.4%</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1680"/>
        <w:gridCol w:w="1680"/>
        <w:gridCol w:w="1680"/>
        <w:gridCol w:w="1680"/>
        <w:gridCol w:w="1680"/>
        <w:gridCol w:w="1680"/>
      </w:tblGrid>
      <w:tr>
        <w:trPr>
          <w:trHeight w:val="280"/>
        </w:trPr>
        <w:tc>
          <w:tcPr>
            <w:tcW w:type="dxa" w:w="3226"/>
            <w:vAlign w:val="center"/>
            <w:shd w:val="clear" w:color="auto" w:fill="1F3864"/>
          </w:tcPr>
          <w:p>
            <w:pPr>
              <w:spacing w:before="20" w:after="20"/>
              <w:ind w:left="72"/>
            </w:pPr>
            <w:r>
              <w:rPr>
                <w:b/>
                <w:i w:val="0"/>
                <w:color w:val="FFFFFF"/>
                <w:sz w:val="18"/>
              </w:rPr>
              <w:t>2022A</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44.0%</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31.4%</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1680"/>
        <w:gridCol w:w="1680"/>
        <w:gridCol w:w="1680"/>
        <w:gridCol w:w="1680"/>
        <w:gridCol w:w="1680"/>
        <w:gridCol w:w="1680"/>
      </w:tblGrid>
      <w:tr>
        <w:trPr>
          <w:trHeight w:val="280"/>
        </w:trPr>
        <w:tc>
          <w:tcPr>
            <w:tcW w:type="dxa" w:w="3226"/>
            <w:vAlign w:val="center"/>
            <w:shd w:val="clear" w:color="auto" w:fill="1F3864"/>
          </w:tcPr>
          <w:p>
            <w:pPr>
              <w:spacing w:before="20" w:after="20"/>
              <w:ind w:left="72"/>
            </w:pPr>
            <w:r>
              <w:rPr>
                <w:b/>
                <w:i w:val="0"/>
                <w:color w:val="FFFFFF"/>
                <w:sz w:val="18"/>
              </w:rPr>
              <w:t>2023A</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42.6%</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30.3%</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1680"/>
        <w:gridCol w:w="1680"/>
        <w:gridCol w:w="1680"/>
        <w:gridCol w:w="1680"/>
        <w:gridCol w:w="1680"/>
        <w:gridCol w:w="1680"/>
      </w:tblGrid>
      <w:tr>
        <w:trPr>
          <w:trHeight w:val="280"/>
        </w:trPr>
        <w:tc>
          <w:tcPr>
            <w:tcW w:type="dxa" w:w="3226"/>
            <w:vAlign w:val="center"/>
            <w:shd w:val="clear" w:color="auto" w:fill="1F3864"/>
          </w:tcPr>
          <w:p>
            <w:pPr>
              <w:spacing w:before="20" w:after="20"/>
              <w:ind w:left="72"/>
            </w:pPr>
            <w:r>
              <w:rPr>
                <w:b/>
                <w:i w:val="0"/>
                <w:color w:val="FFFFFF"/>
                <w:sz w:val="18"/>
              </w:rPr>
              <w:t>TTM Aug-24</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41.4%</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30.0%</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1680"/>
        <w:gridCol w:w="1680"/>
        <w:gridCol w:w="1680"/>
        <w:gridCol w:w="1680"/>
        <w:gridCol w:w="1680"/>
        <w:gridCol w:w="1680"/>
      </w:tblGrid>
      <w:tr>
        <w:trPr>
          <w:trHeight w:val="280"/>
        </w:trPr>
        <w:tc>
          <w:tcPr>
            <w:tcW w:type="dxa" w:w="3226"/>
            <w:vAlign w:val="center"/>
            <w:shd w:val="clear" w:color="auto" w:fill="1F3864"/>
          </w:tcPr>
          <w:p>
            <w:pPr>
              <w:spacing w:before="20" w:after="20"/>
              <w:ind w:left="72"/>
            </w:pPr>
            <w:r>
              <w:rPr>
                <w:b/>
                <w:i w:val="0"/>
                <w:color w:val="FFFFFF"/>
                <w:sz w:val="18"/>
              </w:rPr>
              <w:t>2024E</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41.7%</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1680"/>
        <w:gridCol w:w="1680"/>
        <w:gridCol w:w="1680"/>
        <w:gridCol w:w="1680"/>
        <w:gridCol w:w="1680"/>
        <w:gridCol w:w="1680"/>
      </w:tblGrid>
      <w:tr>
        <w:trPr>
          <w:trHeight w:val="280"/>
        </w:trPr>
        <w:tc>
          <w:tcPr>
            <w:tcW w:type="dxa" w:w="3226"/>
            <w:vAlign w:val="center"/>
            <w:shd w:val="clear" w:color="auto" w:fill="1F3864"/>
          </w:tcPr>
          <w:p>
            <w:pPr>
              <w:spacing w:before="20" w:after="20"/>
              <w:ind w:left="72"/>
            </w:pPr>
            <w:r>
              <w:rPr>
                <w:b/>
                <w:i w:val="0"/>
                <w:color w:val="FFFFFF"/>
                <w:sz w:val="18"/>
              </w:rPr>
              <w:t>2023A</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42.6%</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30.3%</w:t>
            </w:r>
          </w:p>
        </w:tc>
      </w:tr>
    </w:tbl>
    <w:p>
      <w:pPr>
        <w:spacing w:before="40" w:after="40"/>
      </w:pPr>
    </w:p>
    <w:p>
      <w:pPr>
        <w:spacing w:before="80" w:after="80"/>
        <w:pBdr>
          <w:bottom w:val="single" w:sz="4" w:space="1" w:color="1F3864"/>
        </w:pBdr>
      </w:pPr>
    </w:p>
    <w:p>
      <w:pPr>
        <w:spacing w:before="240" w:after="60"/>
        <w:pBdr>
          <w:bottom w:val="single" w:sz="8" w:space="1" w:color="1F3864"/>
        </w:pBdr>
      </w:pPr>
      <w:r>
        <w:rPr>
          <w:b/>
          <w:color w:val="1F3864"/>
          <w:sz w:val="26"/>
        </w:rPr>
        <w:t>Observations</w:t>
      </w:r>
    </w:p>
    <w:p>
      <w:pPr>
        <w:spacing w:before="40" w:after="40"/>
      </w:pPr>
      <w:r>
        <w:rPr>
          <w:b w:val="0"/>
          <w:i/>
          <w:color w:val="000000"/>
          <w:sz w:val="19"/>
        </w:rPr>
        <w:t>No financial observations synthesized yet.</w:t>
      </w:r>
    </w:p>
    <w:p>
      <w:pPr>
        <w:spacing w:before="80" w:after="80"/>
        <w:pBdr>
          <w:bottom w:val="single" w:sz="4" w:space="1" w:color="1F3864"/>
        </w:pBdr>
      </w:pPr>
    </w:p>
    <w:p>
      <w:pPr>
        <w:spacing w:before="240" w:after="60"/>
        <w:pBdr>
          <w:bottom w:val="single" w:sz="8" w:space="1" w:color="1F3864"/>
        </w:pBdr>
      </w:pPr>
      <w:r>
        <w:rPr>
          <w:b/>
          <w:color w:val="1F3864"/>
          <w:sz w:val="26"/>
        </w:rPr>
        <w:t>Geographic Revenue Mix</w:t>
      </w: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Market</w:t>
            </w:r>
          </w:p>
        </w:tc>
        <w:tc>
          <w:tcPr>
            <w:tcW w:type="dxa" w:w="6854"/>
            <w:vAlign w:val="center"/>
            <w:shd w:val="clear" w:color="auto" w:fill="1F3864"/>
          </w:tcPr>
          <w:p>
            <w:pPr>
              <w:spacing w:before="20" w:after="20"/>
              <w:ind w:left="72"/>
            </w:pPr>
            <w:r>
              <w:rPr>
                <w:b/>
                <w:i w:val="0"/>
                <w:color w:val="FFFFFF"/>
                <w:sz w:val="18"/>
              </w:rPr>
              <w:t>Revenue</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w:t>
            </w:r>
          </w:p>
        </w:tc>
      </w:tr>
    </w:tbl>
    <w:p>
      <w:pPr>
        <w:spacing w:before="40" w:after="40"/>
      </w:pPr>
    </w:p>
    <w:p>
      <w:pPr>
        <w:spacing w:before="80" w:after="80"/>
        <w:pBdr>
          <w:bottom w:val="single" w:sz="4" w:space="1" w:color="1F3864"/>
        </w:pBdr>
      </w:pPr>
    </w:p>
    <w:p>
      <w:pPr>
        <w:spacing w:before="0" w:after="80"/>
        <w:jc w:val="center"/>
      </w:pPr>
      <w:r>
        <w:rPr>
          <w:b/>
          <w:color w:val="1F3864"/>
          <w:sz w:val="40"/>
        </w:rPr>
        <w:t>4. KPI Assessment</w:t>
      </w:r>
    </w:p>
    <w:p>
      <w:pPr>
        <w:spacing w:before="240" w:after="60"/>
        <w:pBdr>
          <w:bottom w:val="single" w:sz="8" w:space="1" w:color="1F3864"/>
        </w:pBdr>
      </w:pPr>
      <w:r>
        <w:rPr>
          <w:b/>
          <w:color w:val="1F3864"/>
          <w:sz w:val="26"/>
        </w:rPr>
        <w:t>Available KPIs</w:t>
      </w: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1680"/>
        <w:gridCol w:w="1680"/>
        <w:gridCol w:w="1680"/>
        <w:gridCol w:w="1680"/>
        <w:gridCol w:w="1680"/>
        <w:gridCol w:w="1680"/>
      </w:tblGrid>
      <w:tr>
        <w:trPr>
          <w:trHeight w:val="280"/>
        </w:trPr>
        <w:tc>
          <w:tcPr>
            <w:tcW w:type="dxa" w:w="3226"/>
            <w:vAlign w:val="center"/>
            <w:shd w:val="clear" w:color="auto" w:fill="1F3864"/>
          </w:tcPr>
          <w:p>
            <w:pPr>
              <w:spacing w:before="20" w:after="20"/>
              <w:ind w:left="72"/>
            </w:pPr>
            <w:r>
              <w:rPr>
                <w:b/>
                <w:i w:val="0"/>
                <w:color w:val="FFFFFF"/>
                <w:sz w:val="18"/>
              </w:rPr>
              <w:t>KPI</w:t>
            </w:r>
          </w:p>
        </w:tc>
        <w:tc>
          <w:tcPr>
            <w:tcW w:type="dxa" w:w="1371"/>
            <w:vAlign w:val="center"/>
            <w:shd w:val="clear" w:color="auto" w:fill="1F3864"/>
          </w:tcPr>
          <w:p>
            <w:pPr>
              <w:spacing w:before="20" w:after="20"/>
              <w:ind w:left="72"/>
            </w:pPr>
            <w:r>
              <w:rPr>
                <w:b/>
                <w:i w:val="0"/>
                <w:color w:val="FFFFFF"/>
                <w:sz w:val="18"/>
              </w:rPr>
              <w:t>Value</w:t>
            </w:r>
          </w:p>
        </w:tc>
        <w:tc>
          <w:tcPr>
            <w:tcW w:type="dxa" w:w="1371"/>
            <w:vAlign w:val="center"/>
            <w:shd w:val="clear" w:color="auto" w:fill="1F3864"/>
          </w:tcPr>
          <w:p>
            <w:pPr>
              <w:spacing w:before="20" w:after="20"/>
              <w:ind w:left="72"/>
            </w:pPr>
            <w:r>
              <w:rPr>
                <w:b/>
                <w:i w:val="0"/>
                <w:color w:val="FFFFFF"/>
                <w:sz w:val="18"/>
              </w:rPr>
              <w:t>Threshold</w:t>
            </w:r>
          </w:p>
        </w:tc>
        <w:tc>
          <w:tcPr>
            <w:tcW w:type="dxa" w:w="1371"/>
            <w:vAlign w:val="center"/>
            <w:shd w:val="clear" w:color="auto" w:fill="1F3864"/>
          </w:tcPr>
          <w:p>
            <w:pPr>
              <w:spacing w:before="20" w:after="20"/>
              <w:ind w:left="72"/>
            </w:pPr>
            <w:r>
              <w:rPr>
                <w:b/>
                <w:i w:val="0"/>
                <w:color w:val="FFFFFF"/>
                <w:sz w:val="18"/>
              </w:rPr>
              <w:t>Flag</w:t>
            </w:r>
          </w:p>
        </w:tc>
        <w:tc>
          <w:tcPr>
            <w:tcW w:type="dxa" w:w="1371"/>
            <w:vAlign w:val="center"/>
            <w:shd w:val="clear" w:color="auto" w:fill="1F3864"/>
          </w:tcPr>
          <w:p>
            <w:pPr>
              <w:spacing w:before="20" w:after="20"/>
              <w:ind w:left="72"/>
            </w:pPr>
            <w:r>
              <w:rPr>
                <w:b/>
                <w:i w:val="0"/>
                <w:color w:val="FFFFFF"/>
                <w:sz w:val="18"/>
              </w:rPr>
              <w:t>Confidence</w:t>
            </w:r>
          </w:p>
        </w:tc>
        <w:tc>
          <w:tcPr>
            <w:tcW w:type="dxa" w:w="1371"/>
            <w:vAlign w:val="center"/>
            <w:shd w:val="clear" w:color="auto" w:fill="1F3864"/>
          </w:tcPr>
          <w:p>
            <w:pPr>
              <w:spacing w:before="20" w:after="20"/>
              <w:ind w:left="72"/>
            </w:pPr>
            <w:r>
              <w:rPr>
                <w:b/>
                <w:i w:val="0"/>
                <w:color w:val="FFFFFF"/>
                <w:sz w:val="18"/>
              </w:rPr>
              <w:t>Fill State</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1680"/>
        <w:gridCol w:w="1680"/>
        <w:gridCol w:w="1680"/>
        <w:gridCol w:w="1680"/>
        <w:gridCol w:w="1680"/>
        <w:gridCol w:w="1680"/>
      </w:tblGrid>
      <w:tr>
        <w:trPr>
          <w:trHeight w:val="280"/>
        </w:trPr>
        <w:tc>
          <w:tcPr>
            <w:tcW w:type="dxa" w:w="3226"/>
            <w:vAlign w:val="center"/>
            <w:shd w:val="clear" w:color="auto" w:fill="1F3864"/>
          </w:tcPr>
          <w:p>
            <w:pPr>
              <w:spacing w:before="20" w:after="20"/>
              <w:ind w:left="72"/>
            </w:pPr>
            <w:r>
              <w:rPr>
                <w:b/>
                <w:i w:val="0"/>
                <w:color w:val="FFFFFF"/>
                <w:sz w:val="18"/>
              </w:rPr>
              <w:t>Census Or Patient Panel</w:t>
            </w:r>
          </w:p>
        </w:tc>
        <w:tc>
          <w:tcPr>
            <w:tcW w:type="dxa" w:w="1371"/>
            <w:vAlign w:val="center"/>
            <w:shd w:val="clear" w:color="auto" w:fill="1F3864"/>
          </w:tcPr>
          <w:p>
            <w:pPr>
              <w:spacing w:before="20" w:after="20"/>
              <w:ind w:left="72"/>
            </w:pPr>
            <w:r>
              <w:rPr>
                <w:b/>
                <w:i w:val="0"/>
                <w:color w:val="FFFFFF"/>
                <w:sz w:val="18"/>
              </w:rPr>
              <w:t>73 active CNA/HHA caregivers as of 12/30/23; active caregivers on shifts ranged from 69–76 over July–December 2023</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N/A</w:t>
            </w:r>
          </w:p>
        </w:tc>
        <w:tc>
          <w:tcPr>
            <w:tcW w:type="dxa" w:w="1371"/>
            <w:vAlign w:val="center"/>
            <w:shd w:val="clear" w:color="auto" w:fill="1F3864"/>
          </w:tcPr>
          <w:p>
            <w:pPr>
              <w:spacing w:before="20" w:after="20"/>
              <w:ind w:left="72"/>
            </w:pPr>
            <w:r>
              <w:rPr>
                <w:b/>
                <w:i w:val="0"/>
                <w:color w:val="FFFFFF"/>
                <w:sz w:val="18"/>
              </w:rPr>
              <w:t>low</w:t>
            </w:r>
          </w:p>
        </w:tc>
        <w:tc>
          <w:tcPr>
            <w:tcW w:type="dxa" w:w="1371"/>
            <w:vAlign w:val="center"/>
            <w:shd w:val="clear" w:color="auto" w:fill="1F3864"/>
          </w:tcPr>
          <w:p>
            <w:pPr>
              <w:spacing w:before="20" w:after="20"/>
              <w:ind w:left="72"/>
            </w:pPr>
            <w:r>
              <w:rPr>
                <w:b/>
                <w:i w:val="0"/>
                <w:color w:val="FFFFFF"/>
                <w:sz w:val="18"/>
              </w:rPr>
              <w:t>gap_correct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1680"/>
        <w:gridCol w:w="1680"/>
        <w:gridCol w:w="1680"/>
        <w:gridCol w:w="1680"/>
        <w:gridCol w:w="1680"/>
        <w:gridCol w:w="1680"/>
      </w:tblGrid>
      <w:tr>
        <w:trPr>
          <w:trHeight w:val="280"/>
        </w:trPr>
        <w:tc>
          <w:tcPr>
            <w:tcW w:type="dxa" w:w="3226"/>
            <w:vAlign w:val="center"/>
            <w:shd w:val="clear" w:color="auto" w:fill="1F3864"/>
          </w:tcPr>
          <w:p>
            <w:pPr>
              <w:spacing w:before="20" w:after="20"/>
              <w:ind w:left="72"/>
            </w:pPr>
            <w:r>
              <w:rPr>
                <w:b/>
                <w:i w:val="0"/>
                <w:color w:val="FFFFFF"/>
                <w:sz w:val="18"/>
              </w:rPr>
              <w:t>Caregiver Headcount</w:t>
            </w:r>
          </w:p>
        </w:tc>
        <w:tc>
          <w:tcPr>
            <w:tcW w:type="dxa" w:w="1371"/>
            <w:vAlign w:val="center"/>
            <w:shd w:val="clear" w:color="auto" w:fill="1F3864"/>
          </w:tcPr>
          <w:p>
            <w:pPr>
              <w:spacing w:before="20" w:after="20"/>
              <w:ind w:left="72"/>
            </w:pPr>
            <w:r>
              <w:rPr>
                <w:b/>
                <w:i w:val="0"/>
                <w:color w:val="FFFFFF"/>
                <w:sz w:val="18"/>
              </w:rPr>
              <w:t>73 active CNA/HHA caregivers as of 12/30/23</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N/A</w:t>
            </w:r>
          </w:p>
        </w:tc>
        <w:tc>
          <w:tcPr>
            <w:tcW w:type="dxa" w:w="1371"/>
            <w:vAlign w:val="center"/>
            <w:shd w:val="clear" w:color="auto" w:fill="1F3864"/>
          </w:tcPr>
          <w:p>
            <w:pPr>
              <w:spacing w:before="20" w:after="20"/>
              <w:ind w:left="72"/>
            </w:pPr>
            <w:r>
              <w:rPr>
                <w:b/>
                <w:i w:val="0"/>
                <w:color w:val="FFFFFF"/>
                <w:sz w:val="18"/>
              </w:rPr>
              <w:t>low</w:t>
            </w:r>
          </w:p>
        </w:tc>
        <w:tc>
          <w:tcPr>
            <w:tcW w:type="dxa" w:w="1371"/>
            <w:vAlign w:val="center"/>
            <w:shd w:val="clear" w:color="auto" w:fill="1F3864"/>
          </w:tcPr>
          <w:p>
            <w:pPr>
              <w:spacing w:before="20" w:after="20"/>
              <w:ind w:left="72"/>
            </w:pPr>
            <w:r>
              <w:rPr>
                <w:b/>
                <w:i w:val="0"/>
                <w:color w:val="FFFFFF"/>
                <w:sz w:val="18"/>
              </w:rPr>
              <w:t>gap_correct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1680"/>
        <w:gridCol w:w="1680"/>
        <w:gridCol w:w="1680"/>
        <w:gridCol w:w="1680"/>
        <w:gridCol w:w="1680"/>
        <w:gridCol w:w="1680"/>
      </w:tblGrid>
      <w:tr>
        <w:trPr>
          <w:trHeight w:val="280"/>
        </w:trPr>
        <w:tc>
          <w:tcPr>
            <w:tcW w:type="dxa" w:w="3226"/>
            <w:vAlign w:val="center"/>
            <w:shd w:val="clear" w:color="auto" w:fill="1F3864"/>
          </w:tcPr>
          <w:p>
            <w:pPr>
              <w:spacing w:before="20" w:after="20"/>
              <w:ind w:left="72"/>
            </w:pPr>
            <w:r>
              <w:rPr>
                <w:b/>
                <w:i w:val="0"/>
                <w:color w:val="FFFFFF"/>
                <w:sz w:val="18"/>
              </w:rPr>
              <w:t>Utilization Or Productivity Note</w:t>
            </w:r>
          </w:p>
        </w:tc>
        <w:tc>
          <w:tcPr>
            <w:tcW w:type="dxa" w:w="1371"/>
            <w:vAlign w:val="center"/>
            <w:shd w:val="clear" w:color="auto" w:fill="1F3864"/>
          </w:tcPr>
          <w:p>
            <w:pPr>
              <w:spacing w:before="20" w:after="20"/>
              <w:ind w:left="72"/>
            </w:pPr>
            <w:r>
              <w:rPr>
                <w:b/>
                <w:i w:val="0"/>
                <w:color w:val="FFFFFF"/>
                <w:sz w:val="18"/>
              </w:rPr>
              <w:t>KPI dashboard tracks caregivers hired per week by market/region; also tracks % of new hires with no shift by end of first and second month post-hire. Company-wide avg weekly hires: Q1 2025 = 27.6, Q2 2025 = 25.4, Q4 2024 = 22.2. Nursing hires tracked separately across NY, NJ, MA markets.</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N/A</w:t>
            </w:r>
          </w:p>
        </w:tc>
        <w:tc>
          <w:tcPr>
            <w:tcW w:type="dxa" w:w="1371"/>
            <w:vAlign w:val="center"/>
            <w:shd w:val="clear" w:color="auto" w:fill="1F3864"/>
          </w:tcPr>
          <w:p>
            <w:pPr>
              <w:spacing w:before="20" w:after="20"/>
              <w:ind w:left="72"/>
            </w:pPr>
            <w:r>
              <w:rPr>
                <w:b/>
                <w:i w:val="0"/>
                <w:color w:val="FFFFFF"/>
                <w:sz w:val="18"/>
              </w:rPr>
              <w:t>low</w:t>
            </w:r>
          </w:p>
        </w:tc>
        <w:tc>
          <w:tcPr>
            <w:tcW w:type="dxa" w:w="1371"/>
            <w:vAlign w:val="center"/>
            <w:shd w:val="clear" w:color="auto" w:fill="1F3864"/>
          </w:tcPr>
          <w:p>
            <w:pPr>
              <w:spacing w:before="20" w:after="20"/>
              <w:ind w:left="72"/>
            </w:pPr>
            <w:r>
              <w:rPr>
                <w:b/>
                <w:i w:val="0"/>
                <w:color w:val="FFFFFF"/>
                <w:sz w:val="18"/>
              </w:rPr>
              <w:t>gap_correct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1680"/>
        <w:gridCol w:w="1680"/>
        <w:gridCol w:w="1680"/>
        <w:gridCol w:w="1680"/>
        <w:gridCol w:w="1680"/>
        <w:gridCol w:w="1680"/>
      </w:tblGrid>
      <w:tr>
        <w:trPr>
          <w:trHeight w:val="280"/>
        </w:trPr>
        <w:tc>
          <w:tcPr>
            <w:tcW w:type="dxa" w:w="3226"/>
            <w:vAlign w:val="center"/>
            <w:shd w:val="clear" w:color="auto" w:fill="1F3864"/>
          </w:tcPr>
          <w:p>
            <w:pPr>
              <w:spacing w:before="20" w:after="20"/>
              <w:ind w:left="72"/>
            </w:pPr>
            <w:r>
              <w:rPr>
                <w:b/>
                <w:i w:val="0"/>
                <w:color w:val="FFFFFF"/>
                <w:sz w:val="18"/>
              </w:rPr>
              <w:t>Credentialing Status Note</w:t>
            </w:r>
          </w:p>
        </w:tc>
        <w:tc>
          <w:tcPr>
            <w:tcW w:type="dxa" w:w="1371"/>
            <w:vAlign w:val="center"/>
            <w:shd w:val="clear" w:color="auto" w:fill="1F3864"/>
          </w:tcPr>
          <w:p>
            <w:pPr>
              <w:spacing w:before="20" w:after="20"/>
              <w:ind w:left="72"/>
            </w:pPr>
            <w:r>
              <w:rPr>
                <w:b/>
                <w:i w:val="0"/>
                <w:color w:val="FFFFFF"/>
                <w:sz w:val="18"/>
              </w:rPr>
              <w:t>Company only hires CNA or HHA credentialed caregivers with a minimum of one year hands-on care experience. Drug tests administered during onboarding; no marijuana. All staff are 100% W-2 employees.</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N/A</w:t>
            </w:r>
          </w:p>
        </w:tc>
        <w:tc>
          <w:tcPr>
            <w:tcW w:type="dxa" w:w="1371"/>
            <w:vAlign w:val="center"/>
            <w:shd w:val="clear" w:color="auto" w:fill="1F3864"/>
          </w:tcPr>
          <w:p>
            <w:pPr>
              <w:spacing w:before="20" w:after="20"/>
              <w:ind w:left="72"/>
            </w:pPr>
            <w:r>
              <w:rPr>
                <w:b/>
                <w:i w:val="0"/>
                <w:color w:val="FFFFFF"/>
                <w:sz w:val="18"/>
              </w:rPr>
              <w:t>low</w:t>
            </w:r>
          </w:p>
        </w:tc>
        <w:tc>
          <w:tcPr>
            <w:tcW w:type="dxa" w:w="1371"/>
            <w:vAlign w:val="center"/>
            <w:shd w:val="clear" w:color="auto" w:fill="1F3864"/>
          </w:tcPr>
          <w:p>
            <w:pPr>
              <w:spacing w:before="20" w:after="20"/>
              <w:ind w:left="72"/>
            </w:pPr>
            <w:r>
              <w:rPr>
                <w:b/>
                <w:i w:val="0"/>
                <w:color w:val="FFFFFF"/>
                <w:sz w:val="18"/>
              </w:rPr>
              <w:t>gap_correct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1680"/>
        <w:gridCol w:w="1680"/>
        <w:gridCol w:w="1680"/>
        <w:gridCol w:w="1680"/>
        <w:gridCol w:w="1680"/>
        <w:gridCol w:w="1680"/>
      </w:tblGrid>
      <w:tr>
        <w:trPr>
          <w:trHeight w:val="280"/>
        </w:trPr>
        <w:tc>
          <w:tcPr>
            <w:tcW w:type="dxa" w:w="3226"/>
            <w:vAlign w:val="center"/>
            <w:shd w:val="clear" w:color="auto" w:fill="1F3864"/>
          </w:tcPr>
          <w:p>
            <w:pPr>
              <w:spacing w:before="20" w:after="20"/>
              <w:ind w:left="72"/>
            </w:pPr>
            <w:r>
              <w:rPr>
                <w:b/>
                <w:i w:val="0"/>
                <w:color w:val="FFFFFF"/>
                <w:sz w:val="18"/>
              </w:rPr>
              <w:t>Site Level Visibility</w:t>
            </w:r>
          </w:p>
        </w:tc>
        <w:tc>
          <w:tcPr>
            <w:tcW w:type="dxa" w:w="1371"/>
            <w:vAlign w:val="center"/>
            <w:shd w:val="clear" w:color="auto" w:fill="1F3864"/>
          </w:tcPr>
          <w:p>
            <w:pPr>
              <w:spacing w:before="20" w:after="20"/>
              <w:ind w:left="72"/>
            </w:pPr>
            <w:r>
              <w:rPr>
                <w:b/>
                <w:i w:val="0"/>
                <w:color w:val="FFFFFF"/>
                <w:sz w:val="18"/>
              </w:rPr>
              <w:t>partial</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N/A</w:t>
            </w:r>
          </w:p>
        </w:tc>
        <w:tc>
          <w:tcPr>
            <w:tcW w:type="dxa" w:w="1371"/>
            <w:vAlign w:val="center"/>
            <w:shd w:val="clear" w:color="auto" w:fill="1F3864"/>
          </w:tcPr>
          <w:p>
            <w:pPr>
              <w:spacing w:before="20" w:after="20"/>
              <w:ind w:left="72"/>
            </w:pPr>
            <w:r>
              <w:rPr>
                <w:b/>
                <w:i w:val="0"/>
                <w:color w:val="FFFFFF"/>
                <w:sz w:val="18"/>
              </w:rPr>
              <w:t>low</w:t>
            </w:r>
          </w:p>
        </w:tc>
        <w:tc>
          <w:tcPr>
            <w:tcW w:type="dxa" w:w="1371"/>
            <w:vAlign w:val="center"/>
            <w:shd w:val="clear" w:color="auto" w:fill="1F3864"/>
          </w:tcPr>
          <w:p>
            <w:pPr>
              <w:spacing w:before="20" w:after="20"/>
              <w:ind w:left="72"/>
            </w:pPr>
            <w:r>
              <w:rPr>
                <w:b/>
                <w:i w:val="0"/>
                <w:color w:val="FFFFFF"/>
                <w:sz w:val="18"/>
              </w:rPr>
              <w:t>gap_correct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1680"/>
        <w:gridCol w:w="1680"/>
        <w:gridCol w:w="1680"/>
        <w:gridCol w:w="1680"/>
        <w:gridCol w:w="1680"/>
        <w:gridCol w:w="1680"/>
      </w:tblGrid>
      <w:tr>
        <w:trPr>
          <w:trHeight w:val="280"/>
        </w:trPr>
        <w:tc>
          <w:tcPr>
            <w:tcW w:type="dxa" w:w="3226"/>
            <w:vAlign w:val="center"/>
            <w:shd w:val="clear" w:color="auto" w:fill="1F3864"/>
          </w:tcPr>
          <w:p>
            <w:pPr>
              <w:spacing w:before="20" w:after="20"/>
              <w:ind w:left="72"/>
            </w:pPr>
            <w:r>
              <w:rPr>
                <w:b/>
                <w:i w:val="0"/>
                <w:color w:val="FFFFFF"/>
                <w:sz w:val="18"/>
              </w:rPr>
              <w:t>Site Level Visibility Note</w:t>
            </w:r>
          </w:p>
        </w:tc>
        <w:tc>
          <w:tcPr>
            <w:tcW w:type="dxa" w:w="1371"/>
            <w:vAlign w:val="center"/>
            <w:shd w:val="clear" w:color="auto" w:fill="1F3864"/>
          </w:tcPr>
          <w:p>
            <w:pPr>
              <w:spacing w:before="20" w:after="20"/>
              <w:ind w:left="72"/>
            </w:pPr>
            <w:r>
              <w:rPr>
                <w:b/>
                <w:i w:val="0"/>
                <w:color w:val="FFFFFF"/>
                <w:sz w:val="18"/>
              </w:rPr>
              <w:t>Recruiting and hiring data available by market/region (Manhattan, Brooklyn/Staten Island, Queens, Nassau, Suffolk, Westchester, CT, NJ, MA). Active caregiver counts on shifts available monthly for July–December 2023. Shift-level billing data available in EC_0125-0325.xlsx by client and caregiver. No site-level census, payor mix, or AR aging by location explicitly stated.</w:t>
            </w:r>
          </w:p>
        </w:tc>
        <w:tc>
          <w:tcPr>
            <w:tcW w:type="dxa" w:w="1371"/>
            <w:vAlign w:val="center"/>
            <w:shd w:val="clear" w:color="auto" w:fill="1F3864"/>
          </w:tcPr>
          <w:p>
            <w:pPr>
              <w:spacing w:before="20" w:after="20"/>
              <w:ind w:left="72"/>
            </w:pPr>
          </w:p>
        </w:tc>
        <w:tc>
          <w:tcPr>
            <w:tcW w:type="dxa" w:w="1371"/>
            <w:vAlign w:val="center"/>
            <w:shd w:val="clear" w:color="auto" w:fill="1F3864"/>
          </w:tcPr>
          <w:p>
            <w:pPr>
              <w:spacing w:before="20" w:after="20"/>
              <w:ind w:left="72"/>
            </w:pPr>
            <w:r>
              <w:rPr>
                <w:b/>
                <w:i w:val="0"/>
                <w:color w:val="FFFFFF"/>
                <w:sz w:val="18"/>
              </w:rPr>
              <w:t>N/A</w:t>
            </w:r>
          </w:p>
        </w:tc>
        <w:tc>
          <w:tcPr>
            <w:tcW w:type="dxa" w:w="1371"/>
            <w:vAlign w:val="center"/>
            <w:shd w:val="clear" w:color="auto" w:fill="1F3864"/>
          </w:tcPr>
          <w:p>
            <w:pPr>
              <w:spacing w:before="20" w:after="20"/>
              <w:ind w:left="72"/>
            </w:pPr>
            <w:r>
              <w:rPr>
                <w:b/>
                <w:i w:val="0"/>
                <w:color w:val="FFFFFF"/>
                <w:sz w:val="18"/>
              </w:rPr>
              <w:t>low</w:t>
            </w:r>
          </w:p>
        </w:tc>
        <w:tc>
          <w:tcPr>
            <w:tcW w:type="dxa" w:w="1371"/>
            <w:vAlign w:val="center"/>
            <w:shd w:val="clear" w:color="auto" w:fill="1F3864"/>
          </w:tcPr>
          <w:p>
            <w:pPr>
              <w:spacing w:before="20" w:after="20"/>
              <w:ind w:left="72"/>
            </w:pPr>
            <w:r>
              <w:rPr>
                <w:b/>
                <w:i w:val="0"/>
                <w:color w:val="FFFFFF"/>
                <w:sz w:val="18"/>
              </w:rPr>
              <w:t>gap_correct</w:t>
            </w:r>
          </w:p>
        </w:tc>
      </w:tr>
    </w:tbl>
    <w:p>
      <w:pPr>
        <w:spacing w:before="40" w:after="40"/>
      </w:pPr>
    </w:p>
    <w:p>
      <w:pPr>
        <w:spacing w:before="80" w:after="80"/>
        <w:pBdr>
          <w:bottom w:val="single" w:sz="4" w:space="1" w:color="1F3864"/>
        </w:pBdr>
      </w:pPr>
    </w:p>
    <w:p>
      <w:pPr>
        <w:spacing w:before="0" w:after="80"/>
        <w:jc w:val="center"/>
      </w:pPr>
      <w:r>
        <w:rPr>
          <w:b/>
          <w:color w:val="1F3864"/>
          <w:sz w:val="40"/>
        </w:rPr>
        <w:t>5. Legal &amp; Contract Risk Review</w:t>
      </w:r>
    </w:p>
    <w:p>
      <w:pPr>
        <w:spacing w:before="80" w:after="160"/>
        <w:ind w:left="173" w:right="173"/>
        <w:shd w:val="clear" w:color="auto" w:fill="F2F4F7"/>
      </w:pPr>
      <w:r>
        <w:rPr>
          <w:b w:val="0"/>
          <w:i/>
          <w:color w:val="595959"/>
          <w:sz w:val="19"/>
        </w:rPr>
        <w:t>[!CAUTION]</w:t>
      </w:r>
    </w:p>
    <w:p>
      <w:pPr>
        <w:spacing w:before="80" w:after="160"/>
        <w:ind w:left="173" w:right="173"/>
        <w:shd w:val="clear" w:color="auto" w:fill="F2F4F7"/>
      </w:pPr>
      <w:r>
        <w:rPr>
          <w:b w:val="0"/>
          <w:i/>
          <w:color w:val="595959"/>
          <w:sz w:val="19"/>
        </w:rPr>
        <w:t>Confidence: High</w:t>
      </w:r>
    </w:p>
    <w:p>
      <w:pPr>
        <w:spacing w:before="40" w:after="40"/>
      </w:pPr>
      <w:r>
        <w:rPr>
          <w:b w:val="0"/>
          <w:i w:val="0"/>
          <w:color w:val="000000"/>
          <w:sz w:val="19"/>
        </w:rPr>
        <w:t>&gt;</w:t>
      </w:r>
    </w:p>
    <w:p>
      <w:pPr>
        <w:spacing w:before="80" w:after="160"/>
        <w:ind w:left="173" w:right="173"/>
        <w:shd w:val="clear" w:color="auto" w:fill="F2F4F7"/>
      </w:pPr>
      <w:r>
        <w:rPr>
          <w:b w:val="0"/>
          <w:i/>
          <w:color w:val="595959"/>
          <w:sz w:val="19"/>
        </w:rPr>
        <w:t>Assessed 7 of 11 checklist items.</w:t>
      </w:r>
    </w:p>
    <w:p>
      <w:pPr>
        <w:spacing w:before="80" w:after="80"/>
        <w:pBdr>
          <w:bottom w:val="single" w:sz="4" w:space="1" w:color="1F3864"/>
        </w:pBdr>
      </w:pPr>
    </w:p>
    <w:p>
      <w:pPr>
        <w:spacing w:before="240" w:after="60"/>
        <w:pBdr>
          <w:bottom w:val="single" w:sz="8" w:space="1" w:color="1F3864"/>
        </w:pBdr>
      </w:pPr>
      <w:r>
        <w:rPr>
          <w:b/>
          <w:color w:val="1F3864"/>
          <w:sz w:val="26"/>
        </w:rPr>
        <w:t>Top Flags</w:t>
      </w:r>
    </w:p>
    <w:p>
      <w:pPr>
        <w:spacing w:before="20" w:after="20"/>
        <w:ind w:left="360" w:hanging="259"/>
      </w:pPr>
      <w:r>
        <w:rPr>
          <w:color w:val="000000"/>
          <w:sz w:val="19"/>
        </w:rPr>
        <w:t xml:space="preserve">• </w:t>
      </w:r>
      <w:r>
        <w:rPr>
          <w:b w:val="0"/>
          <w:i w:val="0"/>
          <w:color w:val="000000"/>
          <w:sz w:val="19"/>
        </w:rPr>
        <w:t>{'metric': 'open</w:t>
      </w:r>
      <w:r>
        <w:rPr>
          <w:b w:val="0"/>
          <w:i/>
          <w:color w:val="000000"/>
          <w:sz w:val="19"/>
        </w:rPr>
        <w:t>legal</w:t>
      </w:r>
      <w:r>
        <w:rPr>
          <w:b w:val="0"/>
          <w:i w:val="0"/>
          <w:color w:val="000000"/>
          <w:sz w:val="19"/>
        </w:rPr>
        <w:t>matter</w:t>
      </w:r>
      <w:r>
        <w:rPr>
          <w:b w:val="0"/>
          <w:i/>
          <w:color w:val="000000"/>
          <w:sz w:val="19"/>
        </w:rPr>
        <w:t>other', 'value': 'other: Engagement of outside counsel (Peter Ackerman Esq.) for collection of patient re', 'threshold': 'Any open legal matter', 'severity': 'Red', 'note': 'Open legal matter (other): Engagement of outside counsel (Peter Ackerman Esq.) for collection of patient receivables on behalf of Eldercare Homecare, Inc.. Source: April 30 2025 Fully Executed Retainer Agreement for Collection Efforts by Peter Ackerman Esq.pdf.', 'source</w:t>
      </w:r>
      <w:r>
        <w:rPr>
          <w:b w:val="0"/>
          <w:i w:val="0"/>
          <w:color w:val="000000"/>
          <w:sz w:val="19"/>
        </w:rPr>
        <w:t>doc': 'April 30 2025 Fully Executed Retainer Agreement for Collection Efforts by Peter Ackerman Esq.pdf', 'confidence': 'high'}</w:t>
      </w:r>
    </w:p>
    <w:p>
      <w:pPr>
        <w:spacing w:before="20" w:after="20"/>
        <w:ind w:left="360" w:hanging="259"/>
      </w:pPr>
      <w:r>
        <w:rPr>
          <w:color w:val="000000"/>
          <w:sz w:val="19"/>
        </w:rPr>
        <w:t xml:space="preserve">• </w:t>
      </w:r>
      <w:r>
        <w:rPr>
          <w:b w:val="0"/>
          <w:i w:val="0"/>
          <w:color w:val="000000"/>
          <w:sz w:val="19"/>
        </w:rPr>
        <w:t>{'metric': 'restrictive</w:t>
      </w:r>
      <w:r>
        <w:rPr>
          <w:b w:val="0"/>
          <w:i/>
          <w:color w:val="000000"/>
          <w:sz w:val="19"/>
        </w:rPr>
        <w:t>covenant', 'value': 'Consultant (unnamed): Consultant must comply with all mandatory rules and regulations, obtain and maintain all necessary permits and licenses, comply with all applicable laws, and not violate public conventions or standards of decency.', 'threshold': 'Restrictive covenant present', 'severity': 'Yellow', 'note': 'Restrictive covenant (Consultant must comply with all mandatory rules and regulations, obtain and maintain all necessary permits and licenses, comply with all applicable laws, and not violate public conventions or standards of decency.) in Consultant (unnamed) contract. May limit add-on M&amp;A options. Source: Guided Living - Asset Purchase Agreement - 02.07.24 - Execution Version with Exhibits, Lease, and BOS - signed (1).pdf.', 'source</w:t>
      </w:r>
      <w:r>
        <w:rPr>
          <w:b w:val="0"/>
          <w:i w:val="0"/>
          <w:color w:val="000000"/>
          <w:sz w:val="19"/>
        </w:rPr>
        <w:t>doc': 'Guided Living - Asset Purchase Agreement - 02.07.24 - Execution Version with Exhibits, Lease, and BOS - signed (1).pdf', 'confidence': 'high'}</w:t>
      </w:r>
    </w:p>
    <w:p>
      <w:pPr>
        <w:spacing w:before="20" w:after="20"/>
        <w:ind w:left="360" w:hanging="259"/>
      </w:pPr>
      <w:r>
        <w:rPr>
          <w:color w:val="000000"/>
          <w:sz w:val="19"/>
        </w:rPr>
        <w:t xml:space="preserve">• </w:t>
      </w:r>
      <w:r>
        <w:rPr>
          <w:b w:val="0"/>
          <w:i w:val="0"/>
          <w:color w:val="000000"/>
          <w:sz w:val="19"/>
        </w:rPr>
        <w:t>{'metric': 'restrictive</w:t>
      </w:r>
      <w:r>
        <w:rPr>
          <w:b w:val="0"/>
          <w:i/>
          <w:color w:val="000000"/>
          <w:sz w:val="19"/>
        </w:rPr>
        <w:t>covenant', 'value': 'Licensor (unnamed — Manhattan): Licensor has not made and is not making any warranties, representations, promises or statements except as expressly set forth in the License Agreement or other written agreements made concurrently.', 'threshold': 'Restrictive covenant present', 'severity': 'Yellow', 'note': 'Restrictive covenant (Licensor has not made and is not making any warranties, representations, promises or statements except as expressly set forth in the License Agreement or other written agreements made concurrently.) in Licensor (unnamed — Manhattan) contract. May limit add-on M&amp;A options. Source: Manhattan</w:t>
      </w:r>
      <w:r>
        <w:rPr>
          <w:b w:val="0"/>
          <w:i w:val="0"/>
          <w:color w:val="000000"/>
          <w:sz w:val="19"/>
        </w:rPr>
        <w:t>Lease</w:t>
      </w:r>
      <w:r>
        <w:rPr>
          <w:b w:val="0"/>
          <w:i/>
          <w:color w:val="000000"/>
          <w:sz w:val="19"/>
        </w:rPr>
        <w:t>0121.pdf.', 'source</w:t>
      </w:r>
      <w:r>
        <w:rPr>
          <w:b w:val="0"/>
          <w:i w:val="0"/>
          <w:color w:val="000000"/>
          <w:sz w:val="19"/>
        </w:rPr>
        <w:t>doc': 'Manhattan</w:t>
      </w:r>
      <w:r>
        <w:rPr>
          <w:b w:val="0"/>
          <w:i/>
          <w:color w:val="000000"/>
          <w:sz w:val="19"/>
        </w:rPr>
        <w:t>Lease</w:t>
      </w:r>
      <w:r>
        <w:rPr>
          <w:b w:val="0"/>
          <w:i w:val="0"/>
          <w:color w:val="000000"/>
          <w:sz w:val="19"/>
        </w:rPr>
        <w:t>0121.pdf', 'confidence': 'high'}</w:t>
      </w:r>
    </w:p>
    <w:p>
      <w:pPr>
        <w:spacing w:before="20" w:after="20"/>
        <w:ind w:left="360" w:hanging="259"/>
      </w:pPr>
      <w:r>
        <w:rPr>
          <w:color w:val="000000"/>
          <w:sz w:val="19"/>
        </w:rPr>
        <w:t xml:space="preserve">• </w:t>
      </w:r>
      <w:r>
        <w:rPr>
          <w:b w:val="0"/>
          <w:i w:val="0"/>
          <w:color w:val="000000"/>
          <w:sz w:val="19"/>
        </w:rPr>
        <w:t>{'metric': 'restrictive</w:t>
      </w:r>
      <w:r>
        <w:rPr>
          <w:b w:val="0"/>
          <w:i/>
          <w:color w:val="000000"/>
          <w:sz w:val="19"/>
        </w:rPr>
        <w:t>covenant', 'value': "Guided Living (Seller): Seller's Owner as Guarantor irrevocably guarantees obligations; Seller covenants no unscheduled changes to working capital; no changes to operations without Buyer written consent.", 'threshold': 'Restrictive covenant present', 'severity': 'Yellow', 'note': "Restrictive covenant (Seller's Owner as Guarantor irrevocably guarantees obligations; Seller covenants no unscheduled changes to working capital; no changes to operations without Buyer written consent.) in Guided Living (Seller) contract. May limit add-on M&amp;A options. Source: Guided Living - Asset Purchase Agreement - 02.07.24 - Execution Version with Exhibits, Lease, and BOS - signed (1).pdf.", 'source</w:t>
      </w:r>
      <w:r>
        <w:rPr>
          <w:b w:val="0"/>
          <w:i w:val="0"/>
          <w:color w:val="000000"/>
          <w:sz w:val="19"/>
        </w:rPr>
        <w:t>doc': 'Guided Living - Asset Purchase Agreement - 02.07.24 - Execution Version with Exhibits, Lease, and BOS - signed (1).pdf', 'confidence': 'high'}</w:t>
      </w:r>
    </w:p>
    <w:p>
      <w:pPr>
        <w:spacing w:before="20" w:after="20"/>
        <w:ind w:left="360" w:hanging="259"/>
      </w:pPr>
      <w:r>
        <w:rPr>
          <w:color w:val="000000"/>
          <w:sz w:val="19"/>
        </w:rPr>
        <w:t xml:space="preserve">• </w:t>
      </w:r>
      <w:r>
        <w:rPr>
          <w:b w:val="0"/>
          <w:i w:val="0"/>
          <w:color w:val="000000"/>
          <w:sz w:val="19"/>
        </w:rPr>
        <w:t>{'metric': 'restrictive</w:t>
      </w:r>
      <w:r>
        <w:rPr>
          <w:b w:val="0"/>
          <w:i/>
          <w:color w:val="000000"/>
          <w:sz w:val="19"/>
        </w:rPr>
        <w:t>covenant', 'value': 'Landlord (unnamed — Manhattan): Tenant shall not transfer or assign its interest in the Lease, mortgage, pledge or encumber the Lease or Demised Premises without compliance with Article 11 provisions.', 'threshold': 'Restrictive covenant present', 'severity': 'Yellow', 'note': 'Restrictive covenant (Tenant shall not transfer or assign its interest in the Lease, mortgage, pledge or encumber the Lease or Demised Premises without compliance with Article 11 provisions.) in Landlord (unnamed — Manhattan) contract. May limit add-on M&amp;A options. Source: Manhattan</w:t>
      </w:r>
      <w:r>
        <w:rPr>
          <w:b w:val="0"/>
          <w:i w:val="0"/>
          <w:color w:val="000000"/>
          <w:sz w:val="19"/>
        </w:rPr>
        <w:t>Lease</w:t>
      </w:r>
      <w:r>
        <w:rPr>
          <w:b w:val="0"/>
          <w:i/>
          <w:color w:val="000000"/>
          <w:sz w:val="19"/>
        </w:rPr>
        <w:t>0424.pdf.', 'source</w:t>
      </w:r>
      <w:r>
        <w:rPr>
          <w:b w:val="0"/>
          <w:i w:val="0"/>
          <w:color w:val="000000"/>
          <w:sz w:val="19"/>
        </w:rPr>
        <w:t>doc': 'Manhattan</w:t>
      </w:r>
      <w:r>
        <w:rPr>
          <w:b w:val="0"/>
          <w:i/>
          <w:color w:val="000000"/>
          <w:sz w:val="19"/>
        </w:rPr>
        <w:t>Lease</w:t>
      </w:r>
      <w:r>
        <w:rPr>
          <w:b w:val="0"/>
          <w:i w:val="0"/>
          <w:color w:val="000000"/>
          <w:sz w:val="19"/>
        </w:rPr>
        <w:t>0424.pdf', 'confidence': 'high'}</w:t>
      </w:r>
    </w:p>
    <w:p>
      <w:pPr>
        <w:spacing w:before="80" w:after="80"/>
        <w:pBdr>
          <w:bottom w:val="single" w:sz="4" w:space="1" w:color="1F3864"/>
        </w:pBdr>
      </w:pPr>
    </w:p>
    <w:p>
      <w:pPr>
        <w:spacing w:before="240" w:after="60"/>
        <w:pBdr>
          <w:bottom w:val="single" w:sz="8" w:space="1" w:color="1F3864"/>
        </w:pBdr>
      </w:pPr>
      <w:r>
        <w:rPr>
          <w:b/>
          <w:color w:val="1F3864"/>
          <w:sz w:val="26"/>
        </w:rPr>
        <w:t>Coverage Gaps</w:t>
      </w:r>
    </w:p>
    <w:p>
      <w:pPr>
        <w:spacing w:before="20" w:after="20"/>
        <w:ind w:left="360" w:hanging="259"/>
      </w:pPr>
      <w:r>
        <w:rPr>
          <w:color w:val="000000"/>
          <w:sz w:val="19"/>
        </w:rPr>
        <w:t xml:space="preserve">• </w:t>
      </w:r>
      <w:r>
        <w:rPr>
          <w:b w:val="0"/>
          <w:i w:val="0"/>
          <w:color w:val="000000"/>
          <w:sz w:val="19"/>
        </w:rPr>
        <w:t>Customer contracts — termination for convenience</w:t>
      </w:r>
    </w:p>
    <w:p>
      <w:pPr>
        <w:spacing w:before="20" w:after="20"/>
        <w:ind w:left="360" w:hanging="259"/>
      </w:pPr>
      <w:r>
        <w:rPr>
          <w:color w:val="000000"/>
          <w:sz w:val="19"/>
        </w:rPr>
        <w:t xml:space="preserve">• </w:t>
      </w:r>
      <w:r>
        <w:rPr>
          <w:b w:val="0"/>
          <w:i w:val="0"/>
          <w:color w:val="000000"/>
          <w:sz w:val="19"/>
        </w:rPr>
        <w:t>Change-of-control clauses</w:t>
      </w:r>
    </w:p>
    <w:p>
      <w:pPr>
        <w:spacing w:before="20" w:after="20"/>
        <w:ind w:left="360" w:hanging="259"/>
      </w:pPr>
      <w:r>
        <w:rPr>
          <w:color w:val="000000"/>
          <w:sz w:val="19"/>
        </w:rPr>
        <w:t xml:space="preserve">• </w:t>
      </w:r>
      <w:r>
        <w:rPr>
          <w:b w:val="0"/>
          <w:i w:val="0"/>
          <w:color w:val="000000"/>
          <w:sz w:val="19"/>
        </w:rPr>
        <w:t>Platform / reseller / channel dependencies</w:t>
      </w:r>
    </w:p>
    <w:p>
      <w:pPr>
        <w:spacing w:before="20" w:after="20"/>
        <w:ind w:left="360" w:hanging="259"/>
      </w:pPr>
      <w:r>
        <w:rPr>
          <w:color w:val="000000"/>
          <w:sz w:val="19"/>
        </w:rPr>
        <w:t xml:space="preserve">• </w:t>
      </w:r>
      <w:r>
        <w:rPr>
          <w:b w:val="0"/>
          <w:i w:val="0"/>
          <w:color w:val="000000"/>
          <w:sz w:val="19"/>
        </w:rPr>
        <w:t>IP ownership, assignment, OSS</w:t>
      </w:r>
    </w:p>
    <w:p>
      <w:pPr>
        <w:spacing w:before="80" w:after="80"/>
        <w:pBdr>
          <w:bottom w:val="single" w:sz="4" w:space="1" w:color="1F3864"/>
        </w:pBdr>
      </w:pPr>
    </w:p>
    <w:p>
      <w:pPr>
        <w:spacing w:before="240" w:after="60"/>
        <w:pBdr>
          <w:bottom w:val="single" w:sz="8" w:space="1" w:color="1F3864"/>
        </w:pBdr>
      </w:pPr>
      <w:r>
        <w:rPr>
          <w:b/>
          <w:color w:val="1F3864"/>
          <w:sz w:val="26"/>
        </w:rPr>
        <w:t>Recommended Legal Diligence</w:t>
      </w: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Document</w:t>
            </w:r>
          </w:p>
        </w:tc>
        <w:tc>
          <w:tcPr>
            <w:tcW w:type="dxa" w:w="6854"/>
            <w:vAlign w:val="center"/>
            <w:shd w:val="clear" w:color="auto" w:fill="1F3864"/>
          </w:tcPr>
          <w:p>
            <w:pPr>
              <w:spacing w:before="20" w:after="20"/>
              <w:ind w:left="72"/>
            </w:pPr>
            <w:r>
              <w:rPr>
                <w:b/>
                <w:i w:val="0"/>
                <w:color w:val="FFFFFF"/>
                <w:sz w:val="18"/>
              </w:rPr>
              <w:t>Priority</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w:t>
            </w:r>
          </w:p>
        </w:tc>
        <w:tc>
          <w:tcPr>
            <w:tcW w:type="dxa" w:w="6854"/>
            <w:vAlign w:val="center"/>
            <w:shd w:val="clear" w:color="auto" w:fill="1F3864"/>
          </w:tcPr>
          <w:p>
            <w:pPr>
              <w:spacing w:before="20" w:after="20"/>
              <w:ind w:left="72"/>
            </w:pPr>
            <w:r>
              <w:rPr>
                <w:b/>
                <w:i w:val="0"/>
                <w:color w:val="FFFFFF"/>
                <w:sz w:val="18"/>
              </w:rPr>
              <w:t>High</w:t>
            </w:r>
          </w:p>
        </w:tc>
      </w:tr>
    </w:tbl>
    <w:p>
      <w:pPr>
        <w:spacing w:before="40" w:after="40"/>
      </w:pPr>
    </w:p>
    <w:p>
      <w:pPr>
        <w:spacing w:before="80" w:after="80"/>
        <w:pBdr>
          <w:bottom w:val="single" w:sz="4" w:space="1" w:color="1F3864"/>
        </w:pBdr>
      </w:pPr>
    </w:p>
    <w:p>
      <w:pPr>
        <w:spacing w:before="0" w:after="80"/>
        <w:jc w:val="center"/>
      </w:pPr>
      <w:r>
        <w:rPr>
          <w:b/>
          <w:color w:val="1F3864"/>
          <w:sz w:val="40"/>
        </w:rPr>
        <w:t>6. Quality of Revenue &amp; Earnings</w:t>
      </w:r>
    </w:p>
    <w:p>
      <w:pPr>
        <w:spacing w:before="240" w:after="60"/>
        <w:pBdr>
          <w:bottom w:val="single" w:sz="8" w:space="1" w:color="1F3864"/>
        </w:pBdr>
      </w:pPr>
      <w:r>
        <w:rPr>
          <w:b/>
          <w:color w:val="1F3864"/>
          <w:sz w:val="26"/>
        </w:rPr>
        <w:t>Summary</w:t>
      </w: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Metric</w:t>
            </w:r>
          </w:p>
        </w:tc>
        <w:tc>
          <w:tcPr>
            <w:tcW w:type="dxa" w:w="6854"/>
            <w:vAlign w:val="center"/>
            <w:shd w:val="clear" w:color="auto" w:fill="1F3864"/>
          </w:tcPr>
          <w:p>
            <w:pPr>
              <w:spacing w:before="20" w:after="20"/>
              <w:ind w:left="72"/>
            </w:pPr>
            <w:r>
              <w:rPr>
                <w:b/>
                <w:i w:val="0"/>
                <w:color w:val="FFFFFF"/>
                <w:sz w:val="18"/>
              </w:rPr>
              <w:t>Value</w:t>
            </w:r>
          </w:p>
        </w:tc>
      </w:tr>
      <w:tr>
        <w:trPr>
          <w:trHeight w:val="260"/>
        </w:trPr>
        <w:tc>
          <w:tcPr>
            <w:tcW w:type="dxa" w:w="3226"/>
            <w:vAlign w:val="center"/>
          </w:tcPr>
          <w:p>
            <w:pPr>
              <w:spacing w:before="20" w:after="20"/>
              <w:ind w:left="72"/>
            </w:pPr>
            <w:r>
              <w:rPr>
                <w:b w:val="0"/>
                <w:i w:val="0"/>
                <w:color w:val="000000"/>
                <w:sz w:val="18"/>
              </w:rPr>
              <w:t>Addback % of EBITDA</w:t>
            </w:r>
          </w:p>
        </w:tc>
        <w:tc>
          <w:tcPr>
            <w:tcW w:type="dxa" w:w="6854"/>
            <w:vAlign w:val="center"/>
          </w:tcPr>
          <w:p>
            <w:pPr>
              <w:spacing w:before="20" w:after="20"/>
              <w:ind w:left="72"/>
            </w:pPr>
            <w:r>
              <w:rPr>
                <w:b w:val="0"/>
                <w:i w:val="0"/>
                <w:color w:val="000000"/>
                <w:sz w:val="18"/>
              </w:rPr>
              <w:t>246.9</w:t>
            </w:r>
          </w:p>
        </w:tc>
      </w:tr>
      <w:tr>
        <w:trPr>
          <w:trHeight w:val="260"/>
        </w:trPr>
        <w:tc>
          <w:tcPr>
            <w:tcW w:type="dxa" w:w="3226"/>
            <w:vAlign w:val="center"/>
            <w:shd w:val="clear" w:color="auto" w:fill="EEF3FA"/>
          </w:tcPr>
          <w:p>
            <w:pPr>
              <w:spacing w:before="20" w:after="20"/>
              <w:ind w:left="72"/>
            </w:pPr>
            <w:r>
              <w:rPr>
                <w:b w:val="0"/>
                <w:i w:val="0"/>
                <w:color w:val="000000"/>
                <w:sz w:val="18"/>
              </w:rPr>
              <w:t>Tier Summary</w:t>
            </w:r>
          </w:p>
        </w:tc>
        <w:tc>
          <w:tcPr>
            <w:tcW w:type="dxa" w:w="6854"/>
            <w:vAlign w:val="center"/>
            <w:shd w:val="clear" w:color="auto" w:fill="EEF3FA"/>
          </w:tcPr>
          <w:p>
            <w:pPr>
              <w:spacing w:before="20" w:after="20"/>
              <w:ind w:left="72"/>
            </w:pPr>
            <w:r>
              <w:rPr>
                <w:b w:val="0"/>
                <w:i w:val="0"/>
                <w:color w:val="000000"/>
                <w:sz w:val="18"/>
              </w:rPr>
              <w:t>The Elder Care TTM Aug-24 adjusted EBITDA bridge contains 17 addback line items totaling a gross positive adjustment substantially in excess of the $2,773K reported EBITDA, with all 17 items classified Tier 4 due to the absence of any supporting document references across the entire addback schedule. The most material concerns are the $1,454K of unverified pre-acquisition earnings for Guided Living and Unicity (addbacks J and K), the $1,529K of speculative pro-forma maturity and synergy adjustments (addbacks N, O, P), and the $665K cash-to-accrual revenue conversion (addback D) which indicates the historical books were maintained on a cash basis — a finding corroborated by Guided Living's Schedule M-1 accrual-to-cash adjustments in its 2022 tax return. Revenue quality is further pressured by the addback quantum exceeding reported EBITDA by approximately 2.7x and the multi-payor mix including Medicaid Waiver and VA programs subject to reimbursement and eligibility risk.</w:t>
            </w:r>
          </w:p>
        </w:tc>
      </w:tr>
    </w:tbl>
    <w:p>
      <w:pPr>
        <w:spacing w:before="40" w:after="40"/>
      </w:pPr>
    </w:p>
    <w:p>
      <w:pPr>
        <w:spacing w:before="80" w:after="80"/>
        <w:pBdr>
          <w:bottom w:val="single" w:sz="4" w:space="1" w:color="1F3864"/>
        </w:pBdr>
      </w:pPr>
    </w:p>
    <w:p>
      <w:pPr>
        <w:spacing w:before="240" w:after="60"/>
        <w:pBdr>
          <w:bottom w:val="single" w:sz="8" w:space="1" w:color="1F3864"/>
        </w:pBdr>
      </w:pPr>
      <w:r>
        <w:rPr>
          <w:b/>
          <w:color w:val="1F3864"/>
          <w:sz w:val="26"/>
        </w:rPr>
        <w:t>Flags</w:t>
      </w:r>
    </w:p>
    <w:p>
      <w:pPr>
        <w:spacing w:before="20" w:after="20"/>
        <w:ind w:left="360" w:hanging="259"/>
      </w:pPr>
      <w:r>
        <w:rPr>
          <w:color w:val="000000"/>
          <w:sz w:val="19"/>
        </w:rPr>
        <w:t xml:space="preserve">• </w:t>
      </w:r>
      <w:r>
        <w:rPr>
          <w:b w:val="0"/>
          <w:i w:val="0"/>
          <w:color w:val="000000"/>
          <w:sz w:val="19"/>
        </w:rPr>
        <w:t>{'metric': 'tier4</w:t>
      </w:r>
      <w:r>
        <w:rPr>
          <w:b w:val="0"/>
          <w:i/>
          <w:color w:val="000000"/>
          <w:sz w:val="19"/>
        </w:rPr>
        <w:t>addback', 'value': '[A] Credit card expense allocation ($(0))', 'threshold': 'Tier 4 classification', 'severity': 'Red', 'note': 'Tier 4 addback: [A] Credit card expense allocation ($(0)) — unlikely to survive buyer QofE. Source: 2024 Elder Care - CIM</w:t>
      </w:r>
      <w:r>
        <w:rPr>
          <w:b w:val="0"/>
          <w:i w:val="0"/>
          <w:color w:val="000000"/>
          <w:sz w:val="19"/>
        </w:rPr>
        <w:t>vF.pdf.', 'source</w:t>
      </w:r>
      <w:r>
        <w:rPr>
          <w:b w:val="0"/>
          <w:i/>
          <w:color w:val="000000"/>
          <w:sz w:val="19"/>
        </w:rPr>
        <w:t>doc': '2024 Elder Care - CIM</w:t>
      </w:r>
      <w:r>
        <w:rPr>
          <w:b w:val="0"/>
          <w:i w:val="0"/>
          <w:color w:val="000000"/>
          <w:sz w:val="19"/>
        </w:rPr>
        <w:t>vF.pdf', 'confidence': 'high'}</w:t>
      </w:r>
    </w:p>
    <w:p>
      <w:pPr>
        <w:spacing w:before="20" w:after="20"/>
        <w:ind w:left="360" w:hanging="259"/>
      </w:pPr>
      <w:r>
        <w:rPr>
          <w:color w:val="000000"/>
          <w:sz w:val="19"/>
        </w:rPr>
        <w:t xml:space="preserve">• </w:t>
      </w:r>
      <w:r>
        <w:rPr>
          <w:b w:val="0"/>
          <w:i w:val="0"/>
          <w:color w:val="000000"/>
          <w:sz w:val="19"/>
        </w:rPr>
        <w:t>{'metric': 'tier4</w:t>
      </w:r>
      <w:r>
        <w:rPr>
          <w:b w:val="0"/>
          <w:i/>
          <w:color w:val="000000"/>
          <w:sz w:val="19"/>
        </w:rPr>
        <w:t>addback', 'value': '[B] Non-recurring transactions ($182)', 'threshold': 'Tier 4 classification', 'severity': 'Red', 'note': 'Tier 4 addback: [B] Non-recurring transactions ($182) — unlikely to survive buyer QofE. Source: 2024 Elder Care - CIM</w:t>
      </w:r>
      <w:r>
        <w:rPr>
          <w:b w:val="0"/>
          <w:i w:val="0"/>
          <w:color w:val="000000"/>
          <w:sz w:val="19"/>
        </w:rPr>
        <w:t>vF.pdf.', 'source</w:t>
      </w:r>
      <w:r>
        <w:rPr>
          <w:b w:val="0"/>
          <w:i/>
          <w:color w:val="000000"/>
          <w:sz w:val="19"/>
        </w:rPr>
        <w:t>doc': '2024 Elder Care - CIM</w:t>
      </w:r>
      <w:r>
        <w:rPr>
          <w:b w:val="0"/>
          <w:i w:val="0"/>
          <w:color w:val="000000"/>
          <w:sz w:val="19"/>
        </w:rPr>
        <w:t>vF.pdf', 'confidence': 'high'}</w:t>
      </w:r>
    </w:p>
    <w:p>
      <w:pPr>
        <w:spacing w:before="20" w:after="20"/>
        <w:ind w:left="360" w:hanging="259"/>
      </w:pPr>
      <w:r>
        <w:rPr>
          <w:color w:val="000000"/>
          <w:sz w:val="19"/>
        </w:rPr>
        <w:t xml:space="preserve">• </w:t>
      </w:r>
      <w:r>
        <w:rPr>
          <w:b w:val="0"/>
          <w:i w:val="0"/>
          <w:color w:val="000000"/>
          <w:sz w:val="19"/>
        </w:rPr>
        <w:t>{'metric': 'tier4</w:t>
      </w:r>
      <w:r>
        <w:rPr>
          <w:b w:val="0"/>
          <w:i/>
          <w:color w:val="000000"/>
          <w:sz w:val="19"/>
        </w:rPr>
        <w:t>addback', 'value': '[C] Non-operating transactions ($53)', 'threshold': 'Tier 4 classification', 'severity': 'Red', 'note': 'Tier 4 addback: [C] Non-operating transactions ($53) — unlikely to survive buyer QofE. Source: 2024 Elder Care - CIM</w:t>
      </w:r>
      <w:r>
        <w:rPr>
          <w:b w:val="0"/>
          <w:i w:val="0"/>
          <w:color w:val="000000"/>
          <w:sz w:val="19"/>
        </w:rPr>
        <w:t>vF.pdf.', 'source</w:t>
      </w:r>
      <w:r>
        <w:rPr>
          <w:b w:val="0"/>
          <w:i/>
          <w:color w:val="000000"/>
          <w:sz w:val="19"/>
        </w:rPr>
        <w:t>doc': '2024 Elder Care - CIM</w:t>
      </w:r>
      <w:r>
        <w:rPr>
          <w:b w:val="0"/>
          <w:i w:val="0"/>
          <w:color w:val="000000"/>
          <w:sz w:val="19"/>
        </w:rPr>
        <w:t>vF.pdf', 'confidence': 'high'}</w:t>
      </w:r>
    </w:p>
    <w:p>
      <w:pPr>
        <w:spacing w:before="20" w:after="20"/>
        <w:ind w:left="360" w:hanging="259"/>
      </w:pPr>
      <w:r>
        <w:rPr>
          <w:color w:val="000000"/>
          <w:sz w:val="19"/>
        </w:rPr>
        <w:t xml:space="preserve">• </w:t>
      </w:r>
      <w:r>
        <w:rPr>
          <w:b w:val="0"/>
          <w:i w:val="0"/>
          <w:color w:val="000000"/>
          <w:sz w:val="19"/>
        </w:rPr>
        <w:t>{'metric': 'tier4</w:t>
      </w:r>
      <w:r>
        <w:rPr>
          <w:b w:val="0"/>
          <w:i/>
          <w:color w:val="000000"/>
          <w:sz w:val="19"/>
        </w:rPr>
        <w:t>addback', 'value': '[D] Cash-to-accrual revenue adjustment ($665)', 'threshold': 'Tier 4 classification', 'severity': 'Red', 'note': 'Tier 4 addback: [D] Cash-to-accrual revenue adjustment ($665) — unlikely to survive buyer QofE. Source: 2024 Elder Care - CIM</w:t>
      </w:r>
      <w:r>
        <w:rPr>
          <w:b w:val="0"/>
          <w:i w:val="0"/>
          <w:color w:val="000000"/>
          <w:sz w:val="19"/>
        </w:rPr>
        <w:t>vF.pdf.', 'source</w:t>
      </w:r>
      <w:r>
        <w:rPr>
          <w:b w:val="0"/>
          <w:i/>
          <w:color w:val="000000"/>
          <w:sz w:val="19"/>
        </w:rPr>
        <w:t>doc': '2024 Elder Care - CIM</w:t>
      </w:r>
      <w:r>
        <w:rPr>
          <w:b w:val="0"/>
          <w:i w:val="0"/>
          <w:color w:val="000000"/>
          <w:sz w:val="19"/>
        </w:rPr>
        <w:t>vF.pdf', 'confidence': 'high'}</w:t>
      </w:r>
    </w:p>
    <w:p>
      <w:pPr>
        <w:spacing w:before="20" w:after="20"/>
        <w:ind w:left="360" w:hanging="259"/>
      </w:pPr>
      <w:r>
        <w:rPr>
          <w:color w:val="000000"/>
          <w:sz w:val="19"/>
        </w:rPr>
        <w:t xml:space="preserve">• </w:t>
      </w:r>
      <w:r>
        <w:rPr>
          <w:b w:val="0"/>
          <w:i w:val="0"/>
          <w:color w:val="000000"/>
          <w:sz w:val="19"/>
        </w:rPr>
        <w:t>{'metric': 'tier4</w:t>
      </w:r>
      <w:r>
        <w:rPr>
          <w:b w:val="0"/>
          <w:i/>
          <w:color w:val="000000"/>
          <w:sz w:val="19"/>
        </w:rPr>
        <w:t>addback', 'value': '[E] Payroll accrual ($(158))', 'threshold': 'Tier 4 classification', 'severity': 'Red', 'note': 'Tier 4 addback: [E] Payroll accrual ($(158)) — unlikely to survive buyer QofE. Source: 2024 Elder Care - CIM</w:t>
      </w:r>
      <w:r>
        <w:rPr>
          <w:b w:val="0"/>
          <w:i w:val="0"/>
          <w:color w:val="000000"/>
          <w:sz w:val="19"/>
        </w:rPr>
        <w:t>vF.pdf.', 'source</w:t>
      </w:r>
      <w:r>
        <w:rPr>
          <w:b w:val="0"/>
          <w:i/>
          <w:color w:val="000000"/>
          <w:sz w:val="19"/>
        </w:rPr>
        <w:t>doc': '2024 Elder Care - CIM</w:t>
      </w:r>
      <w:r>
        <w:rPr>
          <w:b w:val="0"/>
          <w:i w:val="0"/>
          <w:color w:val="000000"/>
          <w:sz w:val="19"/>
        </w:rPr>
        <w:t>vF.pdf', 'confidence': 'high'}</w:t>
      </w:r>
    </w:p>
    <w:p>
      <w:pPr>
        <w:spacing w:before="20" w:after="20"/>
        <w:ind w:left="360" w:hanging="259"/>
      </w:pPr>
      <w:r>
        <w:rPr>
          <w:color w:val="000000"/>
          <w:sz w:val="19"/>
        </w:rPr>
        <w:t xml:space="preserve">• </w:t>
      </w:r>
      <w:r>
        <w:rPr>
          <w:b w:val="0"/>
          <w:i w:val="0"/>
          <w:color w:val="000000"/>
          <w:sz w:val="19"/>
        </w:rPr>
        <w:t>{'metric': 'tier4</w:t>
      </w:r>
      <w:r>
        <w:rPr>
          <w:b w:val="0"/>
          <w:i/>
          <w:color w:val="000000"/>
          <w:sz w:val="19"/>
        </w:rPr>
        <w:t>addback', 'value': '[F] Straight-line rent expense ($(33))', 'threshold': 'Tier 4 classification', 'severity': 'Red', 'note': 'Tier 4 addback: [F] Straight-line rent expense ($(33)) — unlikely to survive buyer QofE. Source: 2024 Elder Care - CIM</w:t>
      </w:r>
      <w:r>
        <w:rPr>
          <w:b w:val="0"/>
          <w:i w:val="0"/>
          <w:color w:val="000000"/>
          <w:sz w:val="19"/>
        </w:rPr>
        <w:t>vF.pdf.', 'source</w:t>
      </w:r>
      <w:r>
        <w:rPr>
          <w:b w:val="0"/>
          <w:i/>
          <w:color w:val="000000"/>
          <w:sz w:val="19"/>
        </w:rPr>
        <w:t>doc': '2024 Elder Care - CIM</w:t>
      </w:r>
      <w:r>
        <w:rPr>
          <w:b w:val="0"/>
          <w:i w:val="0"/>
          <w:color w:val="000000"/>
          <w:sz w:val="19"/>
        </w:rPr>
        <w:t>vF.pdf', 'confidence': 'high'}</w:t>
      </w:r>
    </w:p>
    <w:p>
      <w:pPr>
        <w:spacing w:before="20" w:after="20"/>
        <w:ind w:left="360" w:hanging="259"/>
      </w:pPr>
      <w:r>
        <w:rPr>
          <w:color w:val="000000"/>
          <w:sz w:val="19"/>
        </w:rPr>
        <w:t xml:space="preserve">• </w:t>
      </w:r>
      <w:r>
        <w:rPr>
          <w:b w:val="0"/>
          <w:i w:val="0"/>
          <w:color w:val="000000"/>
          <w:sz w:val="19"/>
        </w:rPr>
        <w:t>{'metric': 'tier4</w:t>
      </w:r>
      <w:r>
        <w:rPr>
          <w:b w:val="0"/>
          <w:i/>
          <w:color w:val="000000"/>
          <w:sz w:val="19"/>
        </w:rPr>
        <w:t>addback', 'value': '[G] Run-rate executive compensation ($2,490)', 'threshold': 'Tier 4 classification', 'severity': 'Red', 'note': 'Tier 4 addback: [G] Run-rate executive compensation ($2,490) — unlikely to survive buyer QofE. Source: 2024 Elder Care - CIM</w:t>
      </w:r>
      <w:r>
        <w:rPr>
          <w:b w:val="0"/>
          <w:i w:val="0"/>
          <w:color w:val="000000"/>
          <w:sz w:val="19"/>
        </w:rPr>
        <w:t>vF.pdf.', 'source</w:t>
      </w:r>
      <w:r>
        <w:rPr>
          <w:b w:val="0"/>
          <w:i/>
          <w:color w:val="000000"/>
          <w:sz w:val="19"/>
        </w:rPr>
        <w:t>doc': '2024 Elder Care - CIM</w:t>
      </w:r>
      <w:r>
        <w:rPr>
          <w:b w:val="0"/>
          <w:i w:val="0"/>
          <w:color w:val="000000"/>
          <w:sz w:val="19"/>
        </w:rPr>
        <w:t>vF.pdf', 'confidence': 'high'}</w:t>
      </w:r>
    </w:p>
    <w:p>
      <w:pPr>
        <w:spacing w:before="20" w:after="20"/>
        <w:ind w:left="360" w:hanging="259"/>
      </w:pPr>
      <w:r>
        <w:rPr>
          <w:color w:val="000000"/>
          <w:sz w:val="19"/>
        </w:rPr>
        <w:t xml:space="preserve">• </w:t>
      </w:r>
      <w:r>
        <w:rPr>
          <w:b w:val="0"/>
          <w:i w:val="0"/>
          <w:color w:val="000000"/>
          <w:sz w:val="19"/>
        </w:rPr>
        <w:t>{'metric': 'tier4</w:t>
      </w:r>
      <w:r>
        <w:rPr>
          <w:b w:val="0"/>
          <w:i/>
          <w:color w:val="000000"/>
          <w:sz w:val="19"/>
        </w:rPr>
        <w:t>addback', 'value': '[H] Normalized expenses ($94)', 'threshold': 'Tier 4 classification', 'severity': 'Red', 'note': 'Tier 4 addback: [H] Normalized expenses ($94) — unlikely to survive buyer QofE. Source: 2024 Elder Care - CIM</w:t>
      </w:r>
      <w:r>
        <w:rPr>
          <w:b w:val="0"/>
          <w:i w:val="0"/>
          <w:color w:val="000000"/>
          <w:sz w:val="19"/>
        </w:rPr>
        <w:t>vF.pdf.', 'source</w:t>
      </w:r>
      <w:r>
        <w:rPr>
          <w:b w:val="0"/>
          <w:i/>
          <w:color w:val="000000"/>
          <w:sz w:val="19"/>
        </w:rPr>
        <w:t>doc': '2024 Elder Care - CIM</w:t>
      </w:r>
      <w:r>
        <w:rPr>
          <w:b w:val="0"/>
          <w:i w:val="0"/>
          <w:color w:val="000000"/>
          <w:sz w:val="19"/>
        </w:rPr>
        <w:t>vF.pdf', 'confidence': 'high'}</w:t>
      </w:r>
    </w:p>
    <w:p>
      <w:pPr>
        <w:spacing w:before="20" w:after="20"/>
        <w:ind w:left="360" w:hanging="259"/>
      </w:pPr>
      <w:r>
        <w:rPr>
          <w:color w:val="000000"/>
          <w:sz w:val="19"/>
        </w:rPr>
        <w:t xml:space="preserve">• </w:t>
      </w:r>
      <w:r>
        <w:rPr>
          <w:b w:val="0"/>
          <w:i w:val="0"/>
          <w:color w:val="000000"/>
          <w:sz w:val="19"/>
        </w:rPr>
        <w:t>{'metric': 'tier4</w:t>
      </w:r>
      <w:r>
        <w:rPr>
          <w:b w:val="0"/>
          <w:i/>
          <w:color w:val="000000"/>
          <w:sz w:val="19"/>
        </w:rPr>
        <w:t>addback', 'value': '[I] De novo start-up losses (ECHC) ($189)', 'threshold': 'Tier 4 classification', 'severity': 'Red', 'note': 'Tier 4 addback: [I] De novo start-up losses (ECHC) ($189) — unlikely to survive buyer QofE. Source: 2024 Elder Care - CIM</w:t>
      </w:r>
      <w:r>
        <w:rPr>
          <w:b w:val="0"/>
          <w:i w:val="0"/>
          <w:color w:val="000000"/>
          <w:sz w:val="19"/>
        </w:rPr>
        <w:t>vF.pdf.', 'source</w:t>
      </w:r>
      <w:r>
        <w:rPr>
          <w:b w:val="0"/>
          <w:i/>
          <w:color w:val="000000"/>
          <w:sz w:val="19"/>
        </w:rPr>
        <w:t>doc': '2024 Elder Care - CIM</w:t>
      </w:r>
      <w:r>
        <w:rPr>
          <w:b w:val="0"/>
          <w:i w:val="0"/>
          <w:color w:val="000000"/>
          <w:sz w:val="19"/>
        </w:rPr>
        <w:t>vF.pdf', 'confidence': 'high'}</w:t>
      </w:r>
    </w:p>
    <w:p>
      <w:pPr>
        <w:spacing w:before="20" w:after="20"/>
        <w:ind w:left="360" w:hanging="259"/>
      </w:pPr>
      <w:r>
        <w:rPr>
          <w:color w:val="000000"/>
          <w:sz w:val="19"/>
        </w:rPr>
        <w:t xml:space="preserve">• </w:t>
      </w:r>
      <w:r>
        <w:rPr>
          <w:b w:val="0"/>
          <w:i w:val="0"/>
          <w:color w:val="000000"/>
          <w:sz w:val="19"/>
        </w:rPr>
        <w:t>{'metric': 'tier4</w:t>
      </w:r>
      <w:r>
        <w:rPr>
          <w:b w:val="0"/>
          <w:i/>
          <w:color w:val="000000"/>
          <w:sz w:val="19"/>
        </w:rPr>
        <w:t>addback', 'value': '[J] Guided Living pre-acquisition results ($377)', 'threshold': 'Tier 4 classification', 'severity': 'Red', 'note': 'Tier 4 addback: [J] Guided Living pre-acquisition results ($377) — unlikely to survive buyer QofE. Source: 2024 Elder Care - CIM</w:t>
      </w:r>
      <w:r>
        <w:rPr>
          <w:b w:val="0"/>
          <w:i w:val="0"/>
          <w:color w:val="000000"/>
          <w:sz w:val="19"/>
        </w:rPr>
        <w:t>vF.pdf.', 'source</w:t>
      </w:r>
      <w:r>
        <w:rPr>
          <w:b w:val="0"/>
          <w:i/>
          <w:color w:val="000000"/>
          <w:sz w:val="19"/>
        </w:rPr>
        <w:t>doc': '2024 Elder Care - CIM</w:t>
      </w:r>
      <w:r>
        <w:rPr>
          <w:b w:val="0"/>
          <w:i w:val="0"/>
          <w:color w:val="000000"/>
          <w:sz w:val="19"/>
        </w:rPr>
        <w:t>vF.pdf', 'confidence': 'high'}</w:t>
      </w:r>
    </w:p>
    <w:p>
      <w:pPr>
        <w:spacing w:before="20" w:after="20"/>
        <w:ind w:left="360" w:hanging="259"/>
      </w:pPr>
      <w:r>
        <w:rPr>
          <w:color w:val="000000"/>
          <w:sz w:val="19"/>
        </w:rPr>
        <w:t xml:space="preserve">• </w:t>
      </w:r>
      <w:r>
        <w:rPr>
          <w:b w:val="0"/>
          <w:i w:val="0"/>
          <w:color w:val="000000"/>
          <w:sz w:val="19"/>
        </w:rPr>
        <w:t>{'metric': 'tier4</w:t>
      </w:r>
      <w:r>
        <w:rPr>
          <w:b w:val="0"/>
          <w:i/>
          <w:color w:val="000000"/>
          <w:sz w:val="19"/>
        </w:rPr>
        <w:t>addback', 'value': '[K] Unicity pre-acquisition results ($1,077)', 'threshold': 'Tier 4 classification', 'severity': 'Red', 'note': 'Tier 4 addback: [K] Unicity pre-acquisition results ($1,077) — unlikely to survive buyer QofE. Source: 2024 Elder Care - CIM</w:t>
      </w:r>
      <w:r>
        <w:rPr>
          <w:b w:val="0"/>
          <w:i w:val="0"/>
          <w:color w:val="000000"/>
          <w:sz w:val="19"/>
        </w:rPr>
        <w:t>vF.pdf.', 'source</w:t>
      </w:r>
      <w:r>
        <w:rPr>
          <w:b w:val="0"/>
          <w:i/>
          <w:color w:val="000000"/>
          <w:sz w:val="19"/>
        </w:rPr>
        <w:t>doc': '2024 Elder Care - CIM</w:t>
      </w:r>
      <w:r>
        <w:rPr>
          <w:b w:val="0"/>
          <w:i w:val="0"/>
          <w:color w:val="000000"/>
          <w:sz w:val="19"/>
        </w:rPr>
        <w:t>vF.pdf', 'confidence': 'high'}</w:t>
      </w:r>
    </w:p>
    <w:p>
      <w:pPr>
        <w:spacing w:before="20" w:after="20"/>
        <w:ind w:left="360" w:hanging="259"/>
      </w:pPr>
      <w:r>
        <w:rPr>
          <w:color w:val="000000"/>
          <w:sz w:val="19"/>
        </w:rPr>
        <w:t xml:space="preserve">• </w:t>
      </w:r>
      <w:r>
        <w:rPr>
          <w:b w:val="0"/>
          <w:i w:val="0"/>
          <w:color w:val="000000"/>
          <w:sz w:val="19"/>
        </w:rPr>
        <w:t>{'metric': 'tier4</w:t>
      </w:r>
      <w:r>
        <w:rPr>
          <w:b w:val="0"/>
          <w:i/>
          <w:color w:val="000000"/>
          <w:sz w:val="19"/>
        </w:rPr>
        <w:t>addback', 'value': '[L] Reclass adjustments ($0)', 'threshold': 'Tier 4 classification', 'severity': 'Red', 'note': 'Tier 4 addback: [L] Reclass adjustments ($0) — unlikely to survive buyer QofE. Source: 2024 Elder Care - CIM</w:t>
      </w:r>
      <w:r>
        <w:rPr>
          <w:b w:val="0"/>
          <w:i w:val="0"/>
          <w:color w:val="000000"/>
          <w:sz w:val="19"/>
        </w:rPr>
        <w:t>vF.pdf.', 'source</w:t>
      </w:r>
      <w:r>
        <w:rPr>
          <w:b w:val="0"/>
          <w:i/>
          <w:color w:val="000000"/>
          <w:sz w:val="19"/>
        </w:rPr>
        <w:t>doc': '2024 Elder Care - CIM</w:t>
      </w:r>
      <w:r>
        <w:rPr>
          <w:b w:val="0"/>
          <w:i w:val="0"/>
          <w:color w:val="000000"/>
          <w:sz w:val="19"/>
        </w:rPr>
        <w:t>vF.pdf', 'confidence': 'high'}</w:t>
      </w:r>
    </w:p>
    <w:p>
      <w:pPr>
        <w:spacing w:before="20" w:after="20"/>
        <w:ind w:left="360" w:hanging="259"/>
      </w:pPr>
      <w:r>
        <w:rPr>
          <w:color w:val="000000"/>
          <w:sz w:val="19"/>
        </w:rPr>
        <w:t xml:space="preserve">• </w:t>
      </w:r>
      <w:r>
        <w:rPr>
          <w:b w:val="0"/>
          <w:i w:val="0"/>
          <w:color w:val="000000"/>
          <w:sz w:val="19"/>
        </w:rPr>
        <w:t>{'metric': 'tier4</w:t>
      </w:r>
      <w:r>
        <w:rPr>
          <w:b w:val="0"/>
          <w:i/>
          <w:color w:val="000000"/>
          <w:sz w:val="19"/>
        </w:rPr>
        <w:t>addback', 'value': '[M] Corporate overhead allocation ($0)', 'threshold': 'Tier 4 classification', 'severity': 'Red', 'note': 'Tier 4 addback: [M] Corporate overhead allocation ($0) — unlikely to survive buyer QofE. Source: 2024 Elder Care - CIM</w:t>
      </w:r>
      <w:r>
        <w:rPr>
          <w:b w:val="0"/>
          <w:i w:val="0"/>
          <w:color w:val="000000"/>
          <w:sz w:val="19"/>
        </w:rPr>
        <w:t>vF.pdf.', 'source</w:t>
      </w:r>
      <w:r>
        <w:rPr>
          <w:b w:val="0"/>
          <w:i/>
          <w:color w:val="000000"/>
          <w:sz w:val="19"/>
        </w:rPr>
        <w:t>doc': '2024 Elder Care - CIM</w:t>
      </w:r>
      <w:r>
        <w:rPr>
          <w:b w:val="0"/>
          <w:i w:val="0"/>
          <w:color w:val="000000"/>
          <w:sz w:val="19"/>
        </w:rPr>
        <w:t>vF.pdf', 'confidence': 'high'}</w:t>
      </w:r>
    </w:p>
    <w:p>
      <w:pPr>
        <w:spacing w:before="20" w:after="20"/>
        <w:ind w:left="360" w:hanging="259"/>
      </w:pPr>
      <w:r>
        <w:rPr>
          <w:color w:val="000000"/>
          <w:sz w:val="19"/>
        </w:rPr>
        <w:t xml:space="preserve">• </w:t>
      </w:r>
      <w:r>
        <w:rPr>
          <w:b w:val="0"/>
          <w:i w:val="0"/>
          <w:color w:val="000000"/>
          <w:sz w:val="19"/>
        </w:rPr>
        <w:t>{'metric': 'tier4</w:t>
      </w:r>
      <w:r>
        <w:rPr>
          <w:b w:val="0"/>
          <w:i/>
          <w:color w:val="000000"/>
          <w:sz w:val="19"/>
        </w:rPr>
        <w:t>addback', 'value': '[N] Guided Living ramp-up/maturity adjustment ($430)', 'threshold': 'Tier 4 classification', 'severity': 'Red', 'note': 'Tier 4 addback: [N] Guided Living ramp-up/maturity adjustment ($430) — unlikely to survive buyer QofE. Source: 2024 Elder Care - CIM</w:t>
      </w:r>
      <w:r>
        <w:rPr>
          <w:b w:val="0"/>
          <w:i w:val="0"/>
          <w:color w:val="000000"/>
          <w:sz w:val="19"/>
        </w:rPr>
        <w:t>vF.pdf.', 'source</w:t>
      </w:r>
      <w:r>
        <w:rPr>
          <w:b w:val="0"/>
          <w:i/>
          <w:color w:val="000000"/>
          <w:sz w:val="19"/>
        </w:rPr>
        <w:t>doc': '2024 Elder Care - CIM</w:t>
      </w:r>
      <w:r>
        <w:rPr>
          <w:b w:val="0"/>
          <w:i w:val="0"/>
          <w:color w:val="000000"/>
          <w:sz w:val="19"/>
        </w:rPr>
        <w:t>vF.pdf', 'confidence': 'high'}</w:t>
      </w:r>
    </w:p>
    <w:p>
      <w:pPr>
        <w:spacing w:before="20" w:after="20"/>
        <w:ind w:left="360" w:hanging="259"/>
      </w:pPr>
      <w:r>
        <w:rPr>
          <w:color w:val="000000"/>
          <w:sz w:val="19"/>
        </w:rPr>
        <w:t xml:space="preserve">• </w:t>
      </w:r>
      <w:r>
        <w:rPr>
          <w:b w:val="0"/>
          <w:i w:val="0"/>
          <w:color w:val="000000"/>
          <w:sz w:val="19"/>
        </w:rPr>
        <w:t>{'metric': 'tier4</w:t>
      </w:r>
      <w:r>
        <w:rPr>
          <w:b w:val="0"/>
          <w:i/>
          <w:color w:val="000000"/>
          <w:sz w:val="19"/>
        </w:rPr>
        <w:t>addback', 'value': '[O] Unicity incremental earnings from synergies ($909)', 'threshold': 'Tier 4 classification', 'severity': 'Red', 'note': 'Tier 4 addback: [O] Unicity incremental earnings from synergies ($909) — unlikely to survive buyer QofE. Source: 2024 Elder Care - CIM</w:t>
      </w:r>
      <w:r>
        <w:rPr>
          <w:b w:val="0"/>
          <w:i w:val="0"/>
          <w:color w:val="000000"/>
          <w:sz w:val="19"/>
        </w:rPr>
        <w:t>vF.pdf.', 'source</w:t>
      </w:r>
      <w:r>
        <w:rPr>
          <w:b w:val="0"/>
          <w:i/>
          <w:color w:val="000000"/>
          <w:sz w:val="19"/>
        </w:rPr>
        <w:t>doc': '2024 Elder Care - CIM</w:t>
      </w:r>
      <w:r>
        <w:rPr>
          <w:b w:val="0"/>
          <w:i w:val="0"/>
          <w:color w:val="000000"/>
          <w:sz w:val="19"/>
        </w:rPr>
        <w:t>vF.pdf', 'confidence': 'high'}</w:t>
      </w:r>
    </w:p>
    <w:p>
      <w:pPr>
        <w:spacing w:before="20" w:after="20"/>
        <w:ind w:left="360" w:hanging="259"/>
      </w:pPr>
      <w:r>
        <w:rPr>
          <w:color w:val="000000"/>
          <w:sz w:val="19"/>
        </w:rPr>
        <w:t xml:space="preserve">• </w:t>
      </w:r>
      <w:r>
        <w:rPr>
          <w:b w:val="0"/>
          <w:i w:val="0"/>
          <w:color w:val="000000"/>
          <w:sz w:val="19"/>
        </w:rPr>
        <w:t>{'metric': 'tier4</w:t>
      </w:r>
      <w:r>
        <w:rPr>
          <w:b w:val="0"/>
          <w:i/>
          <w:color w:val="000000"/>
          <w:sz w:val="19"/>
        </w:rPr>
        <w:t>addback', 'value': '[P] De novo ramp-up/maturity adjustment (ECHC) ($190)', 'threshold': 'Tier 4 classification', 'severity': 'Red', 'note': 'Tier 4 addback: [P] De novo ramp-up/maturity adjustment (ECHC) ($190) — unlikely to survive buyer QofE. Source: 2024 Elder Care - CIM</w:t>
      </w:r>
      <w:r>
        <w:rPr>
          <w:b w:val="0"/>
          <w:i w:val="0"/>
          <w:color w:val="000000"/>
          <w:sz w:val="19"/>
        </w:rPr>
        <w:t>vF.pdf.', 'source</w:t>
      </w:r>
      <w:r>
        <w:rPr>
          <w:b w:val="0"/>
          <w:i/>
          <w:color w:val="000000"/>
          <w:sz w:val="19"/>
        </w:rPr>
        <w:t>doc': '2024 Elder Care - CIM</w:t>
      </w:r>
      <w:r>
        <w:rPr>
          <w:b w:val="0"/>
          <w:i w:val="0"/>
          <w:color w:val="000000"/>
          <w:sz w:val="19"/>
        </w:rPr>
        <w:t>vF.pdf', 'confidence': 'high'}</w:t>
      </w:r>
    </w:p>
    <w:p>
      <w:pPr>
        <w:spacing w:before="20" w:after="20"/>
        <w:ind w:left="360" w:hanging="259"/>
      </w:pPr>
      <w:r>
        <w:rPr>
          <w:color w:val="000000"/>
          <w:sz w:val="19"/>
        </w:rPr>
        <w:t xml:space="preserve">• </w:t>
      </w:r>
      <w:r>
        <w:rPr>
          <w:b w:val="0"/>
          <w:i w:val="0"/>
          <w:color w:val="000000"/>
          <w:sz w:val="19"/>
        </w:rPr>
        <w:t>{'metric': 'tier4</w:t>
      </w:r>
      <w:r>
        <w:rPr>
          <w:b w:val="0"/>
          <w:i/>
          <w:color w:val="000000"/>
          <w:sz w:val="19"/>
        </w:rPr>
        <w:t>addback', 'value': '[Q] Corporate overhead allocation ($-)', 'threshold': 'Tier 4 classification', 'severity': 'Red', 'note': 'Tier 4 addback: [Q] Corporate overhead allocation ($-) — unlikely to survive buyer QofE. Source: 2024 Elder Care - CIM</w:t>
      </w:r>
      <w:r>
        <w:rPr>
          <w:b w:val="0"/>
          <w:i w:val="0"/>
          <w:color w:val="000000"/>
          <w:sz w:val="19"/>
        </w:rPr>
        <w:t>vF.pdf.', 'source</w:t>
      </w:r>
      <w:r>
        <w:rPr>
          <w:b w:val="0"/>
          <w:i/>
          <w:color w:val="000000"/>
          <w:sz w:val="19"/>
        </w:rPr>
        <w:t>doc': '2024 Elder Care - CIM</w:t>
      </w:r>
      <w:r>
        <w:rPr>
          <w:b w:val="0"/>
          <w:i w:val="0"/>
          <w:color w:val="000000"/>
          <w:sz w:val="19"/>
        </w:rPr>
        <w:t>vF.pdf', 'confidence': 'high'}</w:t>
      </w:r>
    </w:p>
    <w:p>
      <w:pPr>
        <w:spacing w:before="20" w:after="20"/>
        <w:ind w:left="360" w:hanging="259"/>
      </w:pPr>
      <w:r>
        <w:rPr>
          <w:color w:val="000000"/>
          <w:sz w:val="19"/>
        </w:rPr>
        <w:t xml:space="preserve">• </w:t>
      </w:r>
      <w:r>
        <w:rPr>
          <w:b w:val="0"/>
          <w:i w:val="0"/>
          <w:color w:val="000000"/>
          <w:sz w:val="19"/>
        </w:rPr>
        <w:t>{'metric': 'large</w:t>
      </w:r>
      <w:r>
        <w:rPr>
          <w:b w:val="0"/>
          <w:i/>
          <w:color w:val="000000"/>
          <w:sz w:val="19"/>
        </w:rPr>
        <w:t>unsupported</w:t>
      </w:r>
      <w:r>
        <w:rPr>
          <w:b w:val="0"/>
          <w:i w:val="0"/>
          <w:color w:val="000000"/>
          <w:sz w:val="19"/>
        </w:rPr>
        <w:t>addback', 'value': '[B] Non-recurring transactions ($182, 6.6% of EBITDA)', 'threshold': '&gt;5% of EBITDA with no VDR support', 'severity': 'Red', 'note': 'Addback &gt;5% of EBITDA (6.6%) with no VDR document support: [B] Non-recurring transactions. Source: 2024 Elder Care - CIM</w:t>
      </w:r>
      <w:r>
        <w:rPr>
          <w:b w:val="0"/>
          <w:i/>
          <w:color w:val="000000"/>
          <w:sz w:val="19"/>
        </w:rPr>
        <w:t>vF.pdf.', 'source</w:t>
      </w:r>
      <w:r>
        <w:rPr>
          <w:b w:val="0"/>
          <w:i w:val="0"/>
          <w:color w:val="000000"/>
          <w:sz w:val="19"/>
        </w:rPr>
        <w:t>doc': '2024 Elder Care - CIM_vF.pdf', 'confidence': 'high'}</w:t>
      </w:r>
    </w:p>
    <w:p>
      <w:pPr>
        <w:spacing w:before="20" w:after="20"/>
        <w:ind w:left="360" w:hanging="259"/>
      </w:pPr>
      <w:r>
        <w:rPr>
          <w:color w:val="000000"/>
          <w:sz w:val="19"/>
        </w:rPr>
        <w:t xml:space="preserve">• </w:t>
      </w:r>
      <w:r>
        <w:rPr>
          <w:b w:val="0"/>
          <w:i w:val="0"/>
          <w:color w:val="000000"/>
          <w:sz w:val="19"/>
        </w:rPr>
        <w:t>{'metric': 'large</w:t>
      </w:r>
      <w:r>
        <w:rPr>
          <w:b w:val="0"/>
          <w:i/>
          <w:color w:val="000000"/>
          <w:sz w:val="19"/>
        </w:rPr>
        <w:t>unsupported</w:t>
      </w:r>
      <w:r>
        <w:rPr>
          <w:b w:val="0"/>
          <w:i w:val="0"/>
          <w:color w:val="000000"/>
          <w:sz w:val="19"/>
        </w:rPr>
        <w:t>addback', 'value': '[D] Cash-to-accrual revenue adjustment ($665, 24.0% of EBITDA)', 'threshold': '&gt;5% of EBITDA with no VDR support', 'severity': 'Red', 'note': 'Addback &gt;5% of EBITDA (24.0%) with no VDR document support: [D] Cash-to-accrual revenue adjustment. Source: 2024 Elder Care - CIM</w:t>
      </w:r>
      <w:r>
        <w:rPr>
          <w:b w:val="0"/>
          <w:i/>
          <w:color w:val="000000"/>
          <w:sz w:val="19"/>
        </w:rPr>
        <w:t>vF.pdf.', 'source</w:t>
      </w:r>
      <w:r>
        <w:rPr>
          <w:b w:val="0"/>
          <w:i w:val="0"/>
          <w:color w:val="000000"/>
          <w:sz w:val="19"/>
        </w:rPr>
        <w:t>doc': '2024 Elder Care - CIM_vF.pdf', 'confidence': 'high'}</w:t>
      </w:r>
    </w:p>
    <w:p>
      <w:pPr>
        <w:spacing w:before="20" w:after="20"/>
        <w:ind w:left="360" w:hanging="259"/>
      </w:pPr>
      <w:r>
        <w:rPr>
          <w:color w:val="000000"/>
          <w:sz w:val="19"/>
        </w:rPr>
        <w:t xml:space="preserve">• </w:t>
      </w:r>
      <w:r>
        <w:rPr>
          <w:b w:val="0"/>
          <w:i w:val="0"/>
          <w:color w:val="000000"/>
          <w:sz w:val="19"/>
        </w:rPr>
        <w:t>{'metric': 'large</w:t>
      </w:r>
      <w:r>
        <w:rPr>
          <w:b w:val="0"/>
          <w:i/>
          <w:color w:val="000000"/>
          <w:sz w:val="19"/>
        </w:rPr>
        <w:t>unsupported</w:t>
      </w:r>
      <w:r>
        <w:rPr>
          <w:b w:val="0"/>
          <w:i w:val="0"/>
          <w:color w:val="000000"/>
          <w:sz w:val="19"/>
        </w:rPr>
        <w:t>addback', 'value': '[E] Payroll accrual ($(158), 5.7% of EBITDA)', 'threshold': '&gt;5% of EBITDA with no VDR support', 'severity': 'Red', 'note': 'Addback &gt;5% of EBITDA (5.7%) with no VDR document support: [E] Payroll accrual. Source: 2024 Elder Care - CIM</w:t>
      </w:r>
      <w:r>
        <w:rPr>
          <w:b w:val="0"/>
          <w:i/>
          <w:color w:val="000000"/>
          <w:sz w:val="19"/>
        </w:rPr>
        <w:t>vF.pdf.', 'source</w:t>
      </w:r>
      <w:r>
        <w:rPr>
          <w:b w:val="0"/>
          <w:i w:val="0"/>
          <w:color w:val="000000"/>
          <w:sz w:val="19"/>
        </w:rPr>
        <w:t>doc': '2024 Elder Care - CIM_vF.pdf', 'confidence': 'high'}</w:t>
      </w:r>
    </w:p>
    <w:p>
      <w:pPr>
        <w:spacing w:before="20" w:after="20"/>
        <w:ind w:left="360" w:hanging="259"/>
      </w:pPr>
      <w:r>
        <w:rPr>
          <w:color w:val="000000"/>
          <w:sz w:val="19"/>
        </w:rPr>
        <w:t xml:space="preserve">• </w:t>
      </w:r>
      <w:r>
        <w:rPr>
          <w:b w:val="0"/>
          <w:i w:val="0"/>
          <w:color w:val="000000"/>
          <w:sz w:val="19"/>
        </w:rPr>
        <w:t>{'metric': 'large</w:t>
      </w:r>
      <w:r>
        <w:rPr>
          <w:b w:val="0"/>
          <w:i/>
          <w:color w:val="000000"/>
          <w:sz w:val="19"/>
        </w:rPr>
        <w:t>unsupported</w:t>
      </w:r>
      <w:r>
        <w:rPr>
          <w:b w:val="0"/>
          <w:i w:val="0"/>
          <w:color w:val="000000"/>
          <w:sz w:val="19"/>
        </w:rPr>
        <w:t>addback', 'value': '[G] Run-rate executive compensation ($2,490, 89.8% of EBITDA)', 'threshold': '&gt;5% of EBITDA with no VDR support', 'severity': 'Red', 'note': 'Addback &gt;5% of EBITDA (89.8%) with no VDR document support: [G] Run-rate executive compensation. Source: 2024 Elder Care - CIM</w:t>
      </w:r>
      <w:r>
        <w:rPr>
          <w:b w:val="0"/>
          <w:i/>
          <w:color w:val="000000"/>
          <w:sz w:val="19"/>
        </w:rPr>
        <w:t>vF.pdf.', 'source</w:t>
      </w:r>
      <w:r>
        <w:rPr>
          <w:b w:val="0"/>
          <w:i w:val="0"/>
          <w:color w:val="000000"/>
          <w:sz w:val="19"/>
        </w:rPr>
        <w:t>doc': '2024 Elder Care - CIM_vF.pdf', 'confidence': 'high'}</w:t>
      </w:r>
    </w:p>
    <w:p>
      <w:pPr>
        <w:spacing w:before="20" w:after="20"/>
        <w:ind w:left="360" w:hanging="259"/>
      </w:pPr>
      <w:r>
        <w:rPr>
          <w:color w:val="000000"/>
          <w:sz w:val="19"/>
        </w:rPr>
        <w:t xml:space="preserve">• </w:t>
      </w:r>
      <w:r>
        <w:rPr>
          <w:b w:val="0"/>
          <w:i w:val="0"/>
          <w:color w:val="000000"/>
          <w:sz w:val="19"/>
        </w:rPr>
        <w:t>{'metric': 'large</w:t>
      </w:r>
      <w:r>
        <w:rPr>
          <w:b w:val="0"/>
          <w:i/>
          <w:color w:val="000000"/>
          <w:sz w:val="19"/>
        </w:rPr>
        <w:t>unsupported</w:t>
      </w:r>
      <w:r>
        <w:rPr>
          <w:b w:val="0"/>
          <w:i w:val="0"/>
          <w:color w:val="000000"/>
          <w:sz w:val="19"/>
        </w:rPr>
        <w:t>addback', 'value': '[I] De novo start-up losses (ECHC) ($189, 6.8% of EBITDA)', 'threshold': '&gt;5% of EBITDA with no VDR support', 'severity': 'Red', 'note': 'Addback &gt;5% of EBITDA (6.8%) with no VDR document support: [I] De novo start-up losses (ECHC). Source: 2024 Elder Care - CIM</w:t>
      </w:r>
      <w:r>
        <w:rPr>
          <w:b w:val="0"/>
          <w:i/>
          <w:color w:val="000000"/>
          <w:sz w:val="19"/>
        </w:rPr>
        <w:t>vF.pdf.', 'source</w:t>
      </w:r>
      <w:r>
        <w:rPr>
          <w:b w:val="0"/>
          <w:i w:val="0"/>
          <w:color w:val="000000"/>
          <w:sz w:val="19"/>
        </w:rPr>
        <w:t>doc': '2024 Elder Care - CIM_vF.pdf', 'confidence': 'high'}</w:t>
      </w:r>
    </w:p>
    <w:p>
      <w:pPr>
        <w:spacing w:before="20" w:after="20"/>
        <w:ind w:left="360" w:hanging="259"/>
      </w:pPr>
      <w:r>
        <w:rPr>
          <w:color w:val="000000"/>
          <w:sz w:val="19"/>
        </w:rPr>
        <w:t xml:space="preserve">• </w:t>
      </w:r>
      <w:r>
        <w:rPr>
          <w:b w:val="0"/>
          <w:i w:val="0"/>
          <w:color w:val="000000"/>
          <w:sz w:val="19"/>
        </w:rPr>
        <w:t>{'metric': 'large</w:t>
      </w:r>
      <w:r>
        <w:rPr>
          <w:b w:val="0"/>
          <w:i/>
          <w:color w:val="000000"/>
          <w:sz w:val="19"/>
        </w:rPr>
        <w:t>unsupported</w:t>
      </w:r>
      <w:r>
        <w:rPr>
          <w:b w:val="0"/>
          <w:i w:val="0"/>
          <w:color w:val="000000"/>
          <w:sz w:val="19"/>
        </w:rPr>
        <w:t>addback', 'value': '[J] Guided Living pre-acquisition results ($377, 13.6% of EBITDA)', 'threshold': '&gt;5% of EBITDA with no VDR support', 'severity': 'Red', 'note': 'Addback &gt;5% of EBITDA (13.6%) with no VDR document support: [J] Guided Living pre-acquisition results. Source: 2024 Elder Care - CIM</w:t>
      </w:r>
      <w:r>
        <w:rPr>
          <w:b w:val="0"/>
          <w:i/>
          <w:color w:val="000000"/>
          <w:sz w:val="19"/>
        </w:rPr>
        <w:t>vF.pdf.', 'source</w:t>
      </w:r>
      <w:r>
        <w:rPr>
          <w:b w:val="0"/>
          <w:i w:val="0"/>
          <w:color w:val="000000"/>
          <w:sz w:val="19"/>
        </w:rPr>
        <w:t>doc': '2024 Elder Care - CIM_vF.pdf', 'confidence': 'high'}</w:t>
      </w:r>
    </w:p>
    <w:p>
      <w:pPr>
        <w:spacing w:before="20" w:after="20"/>
        <w:ind w:left="360" w:hanging="259"/>
      </w:pPr>
      <w:r>
        <w:rPr>
          <w:color w:val="000000"/>
          <w:sz w:val="19"/>
        </w:rPr>
        <w:t xml:space="preserve">• </w:t>
      </w:r>
      <w:r>
        <w:rPr>
          <w:b w:val="0"/>
          <w:i w:val="0"/>
          <w:color w:val="000000"/>
          <w:sz w:val="19"/>
        </w:rPr>
        <w:t>{'metric': 'large</w:t>
      </w:r>
      <w:r>
        <w:rPr>
          <w:b w:val="0"/>
          <w:i/>
          <w:color w:val="000000"/>
          <w:sz w:val="19"/>
        </w:rPr>
        <w:t>unsupported</w:t>
      </w:r>
      <w:r>
        <w:rPr>
          <w:b w:val="0"/>
          <w:i w:val="0"/>
          <w:color w:val="000000"/>
          <w:sz w:val="19"/>
        </w:rPr>
        <w:t>addback', 'value': '[K] Unicity pre-acquisition results ($1,077, 38.8% of EBITDA)', 'threshold': '&gt;5% of EBITDA with no VDR support', 'severity': 'Red', 'note': 'Addback &gt;5% of EBITDA (38.8%) with no VDR document support: [K] Unicity pre-acquisition results. Source: 2024 Elder Care - CIM</w:t>
      </w:r>
      <w:r>
        <w:rPr>
          <w:b w:val="0"/>
          <w:i/>
          <w:color w:val="000000"/>
          <w:sz w:val="19"/>
        </w:rPr>
        <w:t>vF.pdf.', 'source</w:t>
      </w:r>
      <w:r>
        <w:rPr>
          <w:b w:val="0"/>
          <w:i w:val="0"/>
          <w:color w:val="000000"/>
          <w:sz w:val="19"/>
        </w:rPr>
        <w:t>doc': '2024 Elder Care - CIM_vF.pdf', 'confidence': 'high'}</w:t>
      </w:r>
    </w:p>
    <w:p>
      <w:pPr>
        <w:spacing w:before="20" w:after="20"/>
        <w:ind w:left="360" w:hanging="259"/>
      </w:pPr>
      <w:r>
        <w:rPr>
          <w:color w:val="000000"/>
          <w:sz w:val="19"/>
        </w:rPr>
        <w:t xml:space="preserve">• </w:t>
      </w:r>
      <w:r>
        <w:rPr>
          <w:b w:val="0"/>
          <w:i w:val="0"/>
          <w:color w:val="000000"/>
          <w:sz w:val="19"/>
        </w:rPr>
        <w:t>{'metric': 'large</w:t>
      </w:r>
      <w:r>
        <w:rPr>
          <w:b w:val="0"/>
          <w:i/>
          <w:color w:val="000000"/>
          <w:sz w:val="19"/>
        </w:rPr>
        <w:t>unsupported</w:t>
      </w:r>
      <w:r>
        <w:rPr>
          <w:b w:val="0"/>
          <w:i w:val="0"/>
          <w:color w:val="000000"/>
          <w:sz w:val="19"/>
        </w:rPr>
        <w:t>addback', 'value': '[N] Guided Living ramp-up/maturity adjustment ($430, 15.5% of EBITDA)', 'threshold': '&gt;5% of EBITDA with no VDR support', 'severity': 'Red', 'note': 'Addback &gt;5% of EBITDA (15.5%) with no VDR document support: [N] Guided Living ramp-up/maturity adjustment. Source: 2024 Elder Care - CIM</w:t>
      </w:r>
      <w:r>
        <w:rPr>
          <w:b w:val="0"/>
          <w:i/>
          <w:color w:val="000000"/>
          <w:sz w:val="19"/>
        </w:rPr>
        <w:t>vF.pdf.', 'source</w:t>
      </w:r>
      <w:r>
        <w:rPr>
          <w:b w:val="0"/>
          <w:i w:val="0"/>
          <w:color w:val="000000"/>
          <w:sz w:val="19"/>
        </w:rPr>
        <w:t>doc': '2024 Elder Care - CIM_vF.pdf', 'confidence': 'high'}</w:t>
      </w:r>
    </w:p>
    <w:p>
      <w:pPr>
        <w:spacing w:before="20" w:after="20"/>
        <w:ind w:left="360" w:hanging="259"/>
      </w:pPr>
      <w:r>
        <w:rPr>
          <w:color w:val="000000"/>
          <w:sz w:val="19"/>
        </w:rPr>
        <w:t xml:space="preserve">• </w:t>
      </w:r>
      <w:r>
        <w:rPr>
          <w:b w:val="0"/>
          <w:i w:val="0"/>
          <w:color w:val="000000"/>
          <w:sz w:val="19"/>
        </w:rPr>
        <w:t>{'metric': 'large</w:t>
      </w:r>
      <w:r>
        <w:rPr>
          <w:b w:val="0"/>
          <w:i/>
          <w:color w:val="000000"/>
          <w:sz w:val="19"/>
        </w:rPr>
        <w:t>unsupported</w:t>
      </w:r>
      <w:r>
        <w:rPr>
          <w:b w:val="0"/>
          <w:i w:val="0"/>
          <w:color w:val="000000"/>
          <w:sz w:val="19"/>
        </w:rPr>
        <w:t>addback', 'value': '[O] Unicity incremental earnings from synergies ($909, 32.8% of EBITDA)', 'threshold': '&gt;5% of EBITDA with no VDR support', 'severity': 'Red', 'note': 'Addback &gt;5% of EBITDA (32.8%) with no VDR document support: [O] Unicity incremental earnings from synergies. Source: 2024 Elder Care - CIM</w:t>
      </w:r>
      <w:r>
        <w:rPr>
          <w:b w:val="0"/>
          <w:i/>
          <w:color w:val="000000"/>
          <w:sz w:val="19"/>
        </w:rPr>
        <w:t>vF.pdf.', 'source</w:t>
      </w:r>
      <w:r>
        <w:rPr>
          <w:b w:val="0"/>
          <w:i w:val="0"/>
          <w:color w:val="000000"/>
          <w:sz w:val="19"/>
        </w:rPr>
        <w:t>doc': '2024 Elder Care - CIM_vF.pdf', 'confidence': 'high'}</w:t>
      </w:r>
    </w:p>
    <w:p>
      <w:pPr>
        <w:spacing w:before="20" w:after="20"/>
        <w:ind w:left="360" w:hanging="259"/>
      </w:pPr>
      <w:r>
        <w:rPr>
          <w:color w:val="000000"/>
          <w:sz w:val="19"/>
        </w:rPr>
        <w:t xml:space="preserve">• </w:t>
      </w:r>
      <w:r>
        <w:rPr>
          <w:b w:val="0"/>
          <w:i w:val="0"/>
          <w:color w:val="000000"/>
          <w:sz w:val="19"/>
        </w:rPr>
        <w:t>{'metric': 'large</w:t>
      </w:r>
      <w:r>
        <w:rPr>
          <w:b w:val="0"/>
          <w:i/>
          <w:color w:val="000000"/>
          <w:sz w:val="19"/>
        </w:rPr>
        <w:t>unsupported</w:t>
      </w:r>
      <w:r>
        <w:rPr>
          <w:b w:val="0"/>
          <w:i w:val="0"/>
          <w:color w:val="000000"/>
          <w:sz w:val="19"/>
        </w:rPr>
        <w:t>addback', 'value': '[P] De novo ramp-up/maturity adjustment (ECHC) ($190, 6.9% of EBITDA)', 'threshold': '&gt;5% of EBITDA with no VDR support', 'severity': 'Red', 'note': 'Addback &gt;5% of EBITDA (6.9%) with no VDR document support: [P] De novo ramp-up/maturity adjustment (ECHC). Source: 2024 Elder Care - CIM</w:t>
      </w:r>
      <w:r>
        <w:rPr>
          <w:b w:val="0"/>
          <w:i/>
          <w:color w:val="000000"/>
          <w:sz w:val="19"/>
        </w:rPr>
        <w:t>vF.pdf.', 'source</w:t>
      </w:r>
      <w:r>
        <w:rPr>
          <w:b w:val="0"/>
          <w:i w:val="0"/>
          <w:color w:val="000000"/>
          <w:sz w:val="19"/>
        </w:rPr>
        <w:t>doc': '2024 Elder Care - CIM_vF.pdf', 'confidence': 'high'}</w:t>
      </w:r>
    </w:p>
    <w:p>
      <w:pPr>
        <w:spacing w:before="20" w:after="20"/>
        <w:ind w:left="360" w:hanging="259"/>
      </w:pPr>
      <w:r>
        <w:rPr>
          <w:color w:val="000000"/>
          <w:sz w:val="19"/>
        </w:rPr>
        <w:t xml:space="preserve">• </w:t>
      </w:r>
      <w:r>
        <w:rPr>
          <w:b w:val="0"/>
          <w:i w:val="0"/>
          <w:color w:val="000000"/>
          <w:sz w:val="19"/>
        </w:rPr>
        <w:t>{'metric': 'total</w:t>
      </w:r>
      <w:r>
        <w:rPr>
          <w:b w:val="0"/>
          <w:i/>
          <w:color w:val="000000"/>
          <w:sz w:val="19"/>
        </w:rPr>
        <w:t>addbacks</w:t>
      </w:r>
      <w:r>
        <w:rPr>
          <w:b w:val="0"/>
          <w:i w:val="0"/>
          <w:color w:val="000000"/>
          <w:sz w:val="19"/>
        </w:rPr>
        <w:t>pct</w:t>
      </w:r>
      <w:r>
        <w:rPr>
          <w:b w:val="0"/>
          <w:i/>
          <w:color w:val="000000"/>
          <w:sz w:val="19"/>
        </w:rPr>
        <w:t>of</w:t>
      </w:r>
      <w:r>
        <w:rPr>
          <w:b w:val="0"/>
          <w:i w:val="0"/>
          <w:color w:val="000000"/>
          <w:sz w:val="19"/>
        </w:rPr>
        <w:t>ebitda', 'value': '246.9%', 'threshold': '&gt;20% of reported EBITDA', 'severity': 'Yellow', 'note': 'Total addbacks represent 246.9% of reported EBITDA — QofE review high priority. Heavy reliance on addbacks increases deal risk.', 'source</w:t>
      </w:r>
      <w:r>
        <w:rPr>
          <w:b w:val="0"/>
          <w:i/>
          <w:color w:val="000000"/>
          <w:sz w:val="19"/>
        </w:rPr>
        <w:t>doc': '2024 Elder Care - CIM</w:t>
      </w:r>
      <w:r>
        <w:rPr>
          <w:b w:val="0"/>
          <w:i w:val="0"/>
          <w:color w:val="000000"/>
          <w:sz w:val="19"/>
        </w:rPr>
        <w:t>vF.pdf', 'confidence': 'high'}</w:t>
      </w:r>
    </w:p>
    <w:p>
      <w:pPr>
        <w:spacing w:before="20" w:after="20"/>
        <w:ind w:left="360" w:hanging="259"/>
      </w:pPr>
      <w:r>
        <w:rPr>
          <w:color w:val="000000"/>
          <w:sz w:val="19"/>
        </w:rPr>
        <w:t xml:space="preserve">• </w:t>
      </w:r>
      <w:r>
        <w:rPr>
          <w:b w:val="0"/>
          <w:i w:val="0"/>
          <w:color w:val="000000"/>
          <w:sz w:val="19"/>
        </w:rPr>
        <w:t>{'metric': 'revenue</w:t>
      </w:r>
      <w:r>
        <w:rPr>
          <w:b w:val="0"/>
          <w:i/>
          <w:color w:val="000000"/>
          <w:sz w:val="19"/>
        </w:rPr>
        <w:t>quality</w:t>
      </w:r>
      <w:r>
        <w:rPr>
          <w:b w:val="0"/>
          <w:i w:val="0"/>
          <w:color w:val="000000"/>
          <w:sz w:val="19"/>
        </w:rPr>
        <w:t>revenue</w:t>
      </w:r>
      <w:r>
        <w:rPr>
          <w:b w:val="0"/>
          <w:i/>
          <w:color w:val="000000"/>
          <w:sz w:val="19"/>
        </w:rPr>
        <w:t>recognition</w:t>
      </w:r>
      <w:r>
        <w:rPr>
          <w:b w:val="0"/>
          <w:i w:val="0"/>
          <w:color w:val="000000"/>
          <w:sz w:val="19"/>
        </w:rPr>
        <w:t>change', 'value': 'Addback [D] explicitly converts revenue from cash to accrual basis ($665K), indicating the historica', 'threshold': 'Revenue quality pattern: revenue</w:t>
      </w:r>
      <w:r>
        <w:rPr>
          <w:b w:val="0"/>
          <w:i/>
          <w:color w:val="000000"/>
          <w:sz w:val="19"/>
        </w:rPr>
        <w:t>recognition</w:t>
      </w:r>
      <w:r>
        <w:rPr>
          <w:b w:val="0"/>
          <w:i w:val="0"/>
          <w:color w:val="000000"/>
          <w:sz w:val="19"/>
        </w:rPr>
        <w:t>change', 'severity': 'Red', 'note': 'Revenue quality concern (revenue</w:t>
      </w:r>
      <w:r>
        <w:rPr>
          <w:b w:val="0"/>
          <w:i/>
          <w:color w:val="000000"/>
          <w:sz w:val="19"/>
        </w:rPr>
        <w:t>recognition</w:t>
      </w:r>
      <w:r>
        <w:rPr>
          <w:b w:val="0"/>
          <w:i w:val="0"/>
          <w:color w:val="000000"/>
          <w:sz w:val="19"/>
        </w:rPr>
        <w:t>change): Addback [D] explicitly converts revenue from cash to accrual basis ($665K), indicating the historical books were maintained on a cash basis. This is a revenue recognition methodology change embedded i. Source: 2024 Elder Care - CIM</w:t>
      </w:r>
      <w:r>
        <w:rPr>
          <w:b w:val="0"/>
          <w:i/>
          <w:color w:val="000000"/>
          <w:sz w:val="19"/>
        </w:rPr>
        <w:t>vF.pdf.', 'source</w:t>
      </w:r>
      <w:r>
        <w:rPr>
          <w:b w:val="0"/>
          <w:i w:val="0"/>
          <w:color w:val="000000"/>
          <w:sz w:val="19"/>
        </w:rPr>
        <w:t>doc': '2024 Elder Care - CIM_vF.pdf', 'confidence': 'medium'}</w:t>
      </w:r>
    </w:p>
    <w:p>
      <w:pPr>
        <w:spacing w:before="20" w:after="20"/>
        <w:ind w:left="360" w:hanging="259"/>
      </w:pPr>
      <w:r>
        <w:rPr>
          <w:color w:val="000000"/>
          <w:sz w:val="19"/>
        </w:rPr>
        <w:t xml:space="preserve">• </w:t>
      </w:r>
      <w:r>
        <w:rPr>
          <w:b w:val="0"/>
          <w:i w:val="0"/>
          <w:color w:val="000000"/>
          <w:sz w:val="19"/>
        </w:rPr>
        <w:t>{'metric': 'revenue</w:t>
      </w:r>
      <w:r>
        <w:rPr>
          <w:b w:val="0"/>
          <w:i/>
          <w:color w:val="000000"/>
          <w:sz w:val="19"/>
        </w:rPr>
        <w:t>quality</w:t>
      </w:r>
      <w:r>
        <w:rPr>
          <w:b w:val="0"/>
          <w:i w:val="0"/>
          <w:color w:val="000000"/>
          <w:sz w:val="19"/>
        </w:rPr>
        <w:t>non</w:t>
      </w:r>
      <w:r>
        <w:rPr>
          <w:b w:val="0"/>
          <w:i/>
          <w:color w:val="000000"/>
          <w:sz w:val="19"/>
        </w:rPr>
        <w:t>recurring</w:t>
      </w:r>
      <w:r>
        <w:rPr>
          <w:b w:val="0"/>
          <w:i w:val="0"/>
          <w:color w:val="000000"/>
          <w:sz w:val="19"/>
        </w:rPr>
        <w:t>in</w:t>
      </w:r>
      <w:r>
        <w:rPr>
          <w:b w:val="0"/>
          <w:i/>
          <w:color w:val="000000"/>
          <w:sz w:val="19"/>
        </w:rPr>
        <w:t>run</w:t>
      </w:r>
      <w:r>
        <w:rPr>
          <w:b w:val="0"/>
          <w:i w:val="0"/>
          <w:color w:val="000000"/>
          <w:sz w:val="19"/>
        </w:rPr>
        <w:t>rate', 'value': 'Addbacks [J] Guided Living pre-acquisition results ($377K) and [K] Unicity pre-acquisition results (', 'threshold': 'Revenue quality pattern: non</w:t>
      </w:r>
      <w:r>
        <w:rPr>
          <w:b w:val="0"/>
          <w:i/>
          <w:color w:val="000000"/>
          <w:sz w:val="19"/>
        </w:rPr>
        <w:t>recurring</w:t>
      </w:r>
      <w:r>
        <w:rPr>
          <w:b w:val="0"/>
          <w:i w:val="0"/>
          <w:color w:val="000000"/>
          <w:sz w:val="19"/>
        </w:rPr>
        <w:t>in</w:t>
      </w:r>
      <w:r>
        <w:rPr>
          <w:b w:val="0"/>
          <w:i/>
          <w:color w:val="000000"/>
          <w:sz w:val="19"/>
        </w:rPr>
        <w:t>run</w:t>
      </w:r>
      <w:r>
        <w:rPr>
          <w:b w:val="0"/>
          <w:i w:val="0"/>
          <w:color w:val="000000"/>
          <w:sz w:val="19"/>
        </w:rPr>
        <w:t>rate', 'severity': 'Red', 'note': 'Revenue quality concern (non</w:t>
      </w:r>
      <w:r>
        <w:rPr>
          <w:b w:val="0"/>
          <w:i/>
          <w:color w:val="000000"/>
          <w:sz w:val="19"/>
        </w:rPr>
        <w:t>recurring</w:t>
      </w:r>
      <w:r>
        <w:rPr>
          <w:b w:val="0"/>
          <w:i w:val="0"/>
          <w:color w:val="000000"/>
          <w:sz w:val="19"/>
        </w:rPr>
        <w:t>in</w:t>
      </w:r>
      <w:r>
        <w:rPr>
          <w:b w:val="0"/>
          <w:i/>
          <w:color w:val="000000"/>
          <w:sz w:val="19"/>
        </w:rPr>
        <w:t>run</w:t>
      </w:r>
      <w:r>
        <w:rPr>
          <w:b w:val="0"/>
          <w:i w:val="0"/>
          <w:color w:val="000000"/>
          <w:sz w:val="19"/>
        </w:rPr>
        <w:t>rate): Addbacks [J] Guided Living pre-acquisition results ($377K) and [K] Unicity pre-acquisition results ($1,077K) incorporate pre-close earnings of acquired entities into the TTM run-rate without audited s. Source: 2024 Elder Care - CIM</w:t>
      </w:r>
      <w:r>
        <w:rPr>
          <w:b w:val="0"/>
          <w:i/>
          <w:color w:val="000000"/>
          <w:sz w:val="19"/>
        </w:rPr>
        <w:t>vF.pdf.', 'source</w:t>
      </w:r>
      <w:r>
        <w:rPr>
          <w:b w:val="0"/>
          <w:i w:val="0"/>
          <w:color w:val="000000"/>
          <w:sz w:val="19"/>
        </w:rPr>
        <w:t>doc': '2024 Elder Care - CIM_vF.pdf', 'confidence': 'medium'}</w:t>
      </w:r>
    </w:p>
    <w:p>
      <w:pPr>
        <w:spacing w:before="20" w:after="20"/>
        <w:ind w:left="360" w:hanging="259"/>
      </w:pPr>
      <w:r>
        <w:rPr>
          <w:color w:val="000000"/>
          <w:sz w:val="19"/>
        </w:rPr>
        <w:t xml:space="preserve">• </w:t>
      </w:r>
      <w:r>
        <w:rPr>
          <w:b w:val="0"/>
          <w:i w:val="0"/>
          <w:color w:val="000000"/>
          <w:sz w:val="19"/>
        </w:rPr>
        <w:t>{'metric': 'revenue</w:t>
      </w:r>
      <w:r>
        <w:rPr>
          <w:b w:val="0"/>
          <w:i/>
          <w:color w:val="000000"/>
          <w:sz w:val="19"/>
        </w:rPr>
        <w:t>quality</w:t>
      </w:r>
      <w:r>
        <w:rPr>
          <w:b w:val="0"/>
          <w:i w:val="0"/>
          <w:color w:val="000000"/>
          <w:sz w:val="19"/>
        </w:rPr>
        <w:t>addbacks</w:t>
      </w:r>
      <w:r>
        <w:rPr>
          <w:b w:val="0"/>
          <w:i/>
          <w:color w:val="000000"/>
          <w:sz w:val="19"/>
        </w:rPr>
        <w:t>growing</w:t>
      </w:r>
      <w:r>
        <w:rPr>
          <w:b w:val="0"/>
          <w:i w:val="0"/>
          <w:color w:val="000000"/>
          <w:sz w:val="19"/>
        </w:rPr>
        <w:t>faster', 'value': 'Reported EBITDA was $(870) in FY2023 and $2,773 in TTM Aug-24 (reported). Total addbacks in the CIM ', 'threshold': 'Revenue quality pattern: addbacks</w:t>
      </w:r>
      <w:r>
        <w:rPr>
          <w:b w:val="0"/>
          <w:i/>
          <w:color w:val="000000"/>
          <w:sz w:val="19"/>
        </w:rPr>
        <w:t>growing</w:t>
      </w:r>
      <w:r>
        <w:rPr>
          <w:b w:val="0"/>
          <w:i w:val="0"/>
          <w:color w:val="000000"/>
          <w:sz w:val="19"/>
        </w:rPr>
        <w:t>faster', 'severity': 'Red', 'note': 'Revenue quality concern (addbacks</w:t>
      </w:r>
      <w:r>
        <w:rPr>
          <w:b w:val="0"/>
          <w:i/>
          <w:color w:val="000000"/>
          <w:sz w:val="19"/>
        </w:rPr>
        <w:t>growing</w:t>
      </w:r>
      <w:r>
        <w:rPr>
          <w:b w:val="0"/>
          <w:i w:val="0"/>
          <w:color w:val="000000"/>
          <w:sz w:val="19"/>
        </w:rPr>
        <w:t>faster): Reported EBITDA was $(870) in FY2023 and $2,773 in TTM Aug-24 (reported). Total addbacks in the CIM schedule include $1,529K of pro-forma/synergy items ([N], [O], [P]) layered on top of $1,454K of pre. Source: 2024 Elder Care - CIM</w:t>
      </w:r>
      <w:r>
        <w:rPr>
          <w:b w:val="0"/>
          <w:i/>
          <w:color w:val="000000"/>
          <w:sz w:val="19"/>
        </w:rPr>
        <w:t>vF.pdf.', 'source</w:t>
      </w:r>
      <w:r>
        <w:rPr>
          <w:b w:val="0"/>
          <w:i w:val="0"/>
          <w:color w:val="000000"/>
          <w:sz w:val="19"/>
        </w:rPr>
        <w:t>doc': '2024 Elder Care - CIM_vF.pdf', 'confidence': 'medium'}</w:t>
      </w:r>
    </w:p>
    <w:p>
      <w:pPr>
        <w:spacing w:before="20" w:after="20"/>
        <w:ind w:left="360" w:hanging="259"/>
      </w:pPr>
      <w:r>
        <w:rPr>
          <w:color w:val="000000"/>
          <w:sz w:val="19"/>
        </w:rPr>
        <w:t xml:space="preserve">• </w:t>
      </w:r>
      <w:r>
        <w:rPr>
          <w:b w:val="0"/>
          <w:i w:val="0"/>
          <w:color w:val="000000"/>
          <w:sz w:val="19"/>
        </w:rPr>
        <w:t>{'metric': 'revenue</w:t>
      </w:r>
      <w:r>
        <w:rPr>
          <w:b w:val="0"/>
          <w:i/>
          <w:color w:val="000000"/>
          <w:sz w:val="19"/>
        </w:rPr>
        <w:t>quality</w:t>
      </w:r>
      <w:r>
        <w:rPr>
          <w:b w:val="0"/>
          <w:i w:val="0"/>
          <w:color w:val="000000"/>
          <w:sz w:val="19"/>
        </w:rPr>
        <w:t>episodic</w:t>
      </w:r>
      <w:r>
        <w:rPr>
          <w:b w:val="0"/>
          <w:i/>
          <w:color w:val="000000"/>
          <w:sz w:val="19"/>
        </w:rPr>
        <w:t>revenue', 'value': 'Revenue mix includes Medicaid Waiver (11%), Veterans Administrative Programs (7%), and Long Term Car', 'threshold': 'Revenue quality pattern: episodic</w:t>
      </w:r>
      <w:r>
        <w:rPr>
          <w:b w:val="0"/>
          <w:i w:val="0"/>
          <w:color w:val="000000"/>
          <w:sz w:val="19"/>
        </w:rPr>
        <w:t>revenue', 'severity': 'Yellow', 'note': 'Revenue quality concern (episodic</w:t>
      </w:r>
      <w:r>
        <w:rPr>
          <w:b w:val="0"/>
          <w:i/>
          <w:color w:val="000000"/>
          <w:sz w:val="19"/>
        </w:rPr>
        <w:t>revenue): Revenue mix includes Medicaid Waiver (11%), Veterans Administrative Programs (7%), and Long Term Care Insurance (11%), all of which are subject to program eligibility changes, reimbursement rate risk,. Source: 2024 Elder Care - CIM</w:t>
      </w:r>
      <w:r>
        <w:rPr>
          <w:b w:val="0"/>
          <w:i w:val="0"/>
          <w:color w:val="000000"/>
          <w:sz w:val="19"/>
        </w:rPr>
        <w:t>vF.pdf.', 'source</w:t>
      </w:r>
      <w:r>
        <w:rPr>
          <w:b w:val="0"/>
          <w:i/>
          <w:color w:val="000000"/>
          <w:sz w:val="19"/>
        </w:rPr>
        <w:t>doc': '2024 Elder Care - CIM</w:t>
      </w:r>
      <w:r>
        <w:rPr>
          <w:b w:val="0"/>
          <w:i w:val="0"/>
          <w:color w:val="000000"/>
          <w:sz w:val="19"/>
        </w:rPr>
        <w:t>vF.pdf', 'confidence': 'medium'}</w:t>
      </w:r>
    </w:p>
    <w:p>
      <w:pPr>
        <w:spacing w:before="20" w:after="20"/>
        <w:ind w:left="360" w:hanging="259"/>
      </w:pPr>
      <w:r>
        <w:rPr>
          <w:color w:val="000000"/>
          <w:sz w:val="19"/>
        </w:rPr>
        <w:t xml:space="preserve">• </w:t>
      </w:r>
      <w:r>
        <w:rPr>
          <w:b w:val="0"/>
          <w:i w:val="0"/>
          <w:color w:val="000000"/>
          <w:sz w:val="19"/>
        </w:rPr>
        <w:t>{'metric': 'revenue</w:t>
      </w:r>
      <w:r>
        <w:rPr>
          <w:b w:val="0"/>
          <w:i/>
          <w:color w:val="000000"/>
          <w:sz w:val="19"/>
        </w:rPr>
        <w:t>quality</w:t>
      </w:r>
      <w:r>
        <w:rPr>
          <w:b w:val="0"/>
          <w:i w:val="0"/>
          <w:color w:val="000000"/>
          <w:sz w:val="19"/>
        </w:rPr>
        <w:t>non</w:t>
      </w:r>
      <w:r>
        <w:rPr>
          <w:b w:val="0"/>
          <w:i/>
          <w:color w:val="000000"/>
          <w:sz w:val="19"/>
        </w:rPr>
        <w:t>recurring</w:t>
      </w:r>
      <w:r>
        <w:rPr>
          <w:b w:val="0"/>
          <w:i w:val="0"/>
          <w:color w:val="000000"/>
          <w:sz w:val="19"/>
        </w:rPr>
        <w:t>in</w:t>
      </w:r>
      <w:r>
        <w:rPr>
          <w:b w:val="0"/>
          <w:i/>
          <w:color w:val="000000"/>
          <w:sz w:val="19"/>
        </w:rPr>
        <w:t>run</w:t>
      </w:r>
      <w:r>
        <w:rPr>
          <w:b w:val="0"/>
          <w:i w:val="0"/>
          <w:color w:val="000000"/>
          <w:sz w:val="19"/>
        </w:rPr>
        <w:t>rate', 'value': "Guided Living's Schedule M-1 (2022 tax return) shows an AR adjustment (accrual-to-cash) of $2,960 an", 'threshold': 'Revenue quality pattern: non</w:t>
      </w:r>
      <w:r>
        <w:rPr>
          <w:b w:val="0"/>
          <w:i/>
          <w:color w:val="000000"/>
          <w:sz w:val="19"/>
        </w:rPr>
        <w:t>recurring</w:t>
      </w:r>
      <w:r>
        <w:rPr>
          <w:b w:val="0"/>
          <w:i w:val="0"/>
          <w:color w:val="000000"/>
          <w:sz w:val="19"/>
        </w:rPr>
        <w:t>in</w:t>
      </w:r>
      <w:r>
        <w:rPr>
          <w:b w:val="0"/>
          <w:i/>
          <w:color w:val="000000"/>
          <w:sz w:val="19"/>
        </w:rPr>
        <w:t>run</w:t>
      </w:r>
      <w:r>
        <w:rPr>
          <w:b w:val="0"/>
          <w:i w:val="0"/>
          <w:color w:val="000000"/>
          <w:sz w:val="19"/>
        </w:rPr>
        <w:t>rate', 'severity': 'Yellow', 'note': "Revenue quality concern (non</w:t>
      </w:r>
      <w:r>
        <w:rPr>
          <w:b w:val="0"/>
          <w:i/>
          <w:color w:val="000000"/>
          <w:sz w:val="19"/>
        </w:rPr>
        <w:t>recurring</w:t>
      </w:r>
      <w:r>
        <w:rPr>
          <w:b w:val="0"/>
          <w:i w:val="0"/>
          <w:color w:val="000000"/>
          <w:sz w:val="19"/>
        </w:rPr>
        <w:t>in</w:t>
      </w:r>
      <w:r>
        <w:rPr>
          <w:b w:val="0"/>
          <w:i/>
          <w:color w:val="000000"/>
          <w:sz w:val="19"/>
        </w:rPr>
        <w:t>run</w:t>
      </w:r>
      <w:r>
        <w:rPr>
          <w:b w:val="0"/>
          <w:i w:val="0"/>
          <w:color w:val="000000"/>
          <w:sz w:val="19"/>
        </w:rPr>
        <w:t>rate): Guided Living's Schedule M-1 (2022 tax return) shows an AR adjustment (accrual-to-cash) of $2,960 and payroll liabilities accrual-to-cash of $8,415, indicating Guided Living also maintained cash-basis. Source: GUIDED LIVING SENIOR HOME CARE LLC</w:t>
      </w:r>
      <w:r>
        <w:rPr>
          <w:b w:val="0"/>
          <w:i/>
          <w:color w:val="000000"/>
          <w:sz w:val="19"/>
        </w:rPr>
        <w:t>2022</w:t>
      </w:r>
      <w:r>
        <w:rPr>
          <w:b w:val="0"/>
          <w:i w:val="0"/>
          <w:color w:val="000000"/>
          <w:sz w:val="19"/>
        </w:rPr>
        <w:t>1120S</w:t>
      </w:r>
      <w:r>
        <w:rPr>
          <w:b w:val="0"/>
          <w:i/>
          <w:color w:val="000000"/>
          <w:sz w:val="19"/>
        </w:rPr>
        <w:t>Tax Returns.pdf.", 'source</w:t>
      </w:r>
      <w:r>
        <w:rPr>
          <w:b w:val="0"/>
          <w:i w:val="0"/>
          <w:color w:val="000000"/>
          <w:sz w:val="19"/>
        </w:rPr>
        <w:t>doc': 'GUIDED LIVING SENIOR HOME CARE LLC</w:t>
      </w:r>
      <w:r>
        <w:rPr>
          <w:b w:val="0"/>
          <w:i/>
          <w:color w:val="000000"/>
          <w:sz w:val="19"/>
        </w:rPr>
        <w:t>2022</w:t>
      </w:r>
      <w:r>
        <w:rPr>
          <w:b w:val="0"/>
          <w:i w:val="0"/>
          <w:color w:val="000000"/>
          <w:sz w:val="19"/>
        </w:rPr>
        <w:t>1120S_Tax Returns.pdf', 'confidence': 'medium'}</w:t>
      </w:r>
    </w:p>
    <w:p>
      <w:pPr>
        <w:spacing w:before="80" w:after="80"/>
        <w:pBdr>
          <w:bottom w:val="single" w:sz="4" w:space="1" w:color="1F3864"/>
        </w:pBdr>
      </w:pPr>
    </w:p>
    <w:p>
      <w:pPr>
        <w:spacing w:before="0" w:after="80"/>
        <w:jc w:val="center"/>
      </w:pPr>
      <w:r>
        <w:rPr>
          <w:b/>
          <w:color w:val="1F3864"/>
          <w:sz w:val="40"/>
        </w:rPr>
        <w:t>7. Forecast &amp; Underwriting Support</w:t>
      </w:r>
    </w:p>
    <w:p>
      <w:pPr>
        <w:spacing w:before="240" w:after="60"/>
        <w:pBdr>
          <w:bottom w:val="single" w:sz="8" w:space="1" w:color="1F3864"/>
        </w:pBdr>
      </w:pPr>
      <w:r>
        <w:rPr>
          <w:b/>
          <w:color w:val="1F3864"/>
          <w:sz w:val="26"/>
        </w:rPr>
        <w:t>Preliminary Investment View</w:t>
      </w:r>
    </w:p>
    <w:p>
      <w:pPr>
        <w:spacing w:before="40" w:after="40"/>
      </w:pPr>
      <w:r>
        <w:rPr>
          <w:b w:val="0"/>
          <w:i/>
          <w:color w:val="000000"/>
          <w:sz w:val="19"/>
        </w:rPr>
        <w:t>Forecast thesis bullets not yet attempted — see company_framing.thesis fill_state.</w:t>
      </w:r>
    </w:p>
    <w:p>
      <w:pPr>
        <w:spacing w:before="80" w:after="80"/>
        <w:pBdr>
          <w:bottom w:val="single" w:sz="4" w:space="1" w:color="1F3864"/>
        </w:pBdr>
      </w:pPr>
    </w:p>
    <w:p>
      <w:pPr>
        <w:spacing w:before="240" w:after="60"/>
        <w:pBdr>
          <w:bottom w:val="single" w:sz="8" w:space="1" w:color="1F3864"/>
        </w:pBdr>
      </w:pPr>
      <w:r>
        <w:rPr>
          <w:b/>
          <w:color w:val="1F3864"/>
          <w:sz w:val="26"/>
        </w:rPr>
        <w:t>Key Value Creation Levers</w:t>
      </w:r>
    </w:p>
    <w:p>
      <w:pPr>
        <w:spacing w:before="40" w:after="40"/>
      </w:pPr>
      <w:r>
        <w:rPr>
          <w:b w:val="0"/>
          <w:i/>
          <w:color w:val="000000"/>
          <w:sz w:val="19"/>
        </w:rPr>
        <w:t>Value creation levers not yet synthesized.</w:t>
      </w:r>
    </w:p>
    <w:p>
      <w:pPr>
        <w:spacing w:before="80" w:after="80"/>
        <w:pBdr>
          <w:bottom w:val="single" w:sz="4" w:space="1" w:color="1F3864"/>
        </w:pBdr>
      </w:pPr>
    </w:p>
    <w:p>
      <w:pPr>
        <w:spacing w:before="240" w:after="60"/>
        <w:pBdr>
          <w:bottom w:val="single" w:sz="8" w:space="1" w:color="1F3864"/>
        </w:pBdr>
      </w:pPr>
      <w:r>
        <w:rPr>
          <w:b/>
          <w:color w:val="1F3864"/>
          <w:sz w:val="26"/>
        </w:rPr>
        <w:t>Forecast Confidence</w:t>
      </w:r>
    </w:p>
    <w:p>
      <w:pPr>
        <w:spacing w:before="40" w:after="40"/>
      </w:pPr>
      <w:r>
        <w:rPr>
          <w:b w:val="0"/>
          <w:i w:val="0"/>
          <w:color w:val="000000"/>
          <w:sz w:val="19"/>
        </w:rPr>
        <w:t xml:space="preserve">Area confidence for forecast support: </w:t>
      </w:r>
      <w:r>
        <w:rPr>
          <w:b/>
          <w:i w:val="0"/>
          <w:color w:val="000000"/>
          <w:sz w:val="19"/>
        </w:rPr>
        <w:t>Low</w:t>
      </w:r>
    </w:p>
    <w:p>
      <w:pPr>
        <w:spacing w:before="80" w:after="80"/>
        <w:pBdr>
          <w:bottom w:val="single" w:sz="4" w:space="1" w:color="1F3864"/>
        </w:pBdr>
      </w:pPr>
    </w:p>
    <w:p>
      <w:pPr>
        <w:spacing w:before="0" w:after="80"/>
        <w:jc w:val="center"/>
      </w:pPr>
      <w:r>
        <w:rPr>
          <w:b/>
          <w:color w:val="1F3864"/>
          <w:sz w:val="40"/>
        </w:rPr>
        <w:t>8. Red Flags &amp; Diligence Questions</w:t>
      </w:r>
    </w:p>
    <w:p>
      <w:pPr>
        <w:spacing w:before="240" w:after="60"/>
        <w:pBdr>
          <w:bottom w:val="single" w:sz="8" w:space="1" w:color="1F3864"/>
        </w:pBdr>
      </w:pPr>
      <w:r>
        <w:rPr>
          <w:b/>
          <w:color w:val="1F3864"/>
          <w:sz w:val="26"/>
        </w:rPr>
        <w:t>Top Risks</w:t>
      </w: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2016"/>
        <w:gridCol w:w="2016"/>
        <w:gridCol w:w="2016"/>
        <w:gridCol w:w="2016"/>
        <w:gridCol w:w="2016"/>
      </w:tblGrid>
      <w:tr>
        <w:trPr>
          <w:trHeight w:val="280"/>
        </w:trPr>
        <w:tc>
          <w:tcPr>
            <w:tcW w:type="dxa" w:w="3226"/>
            <w:vAlign w:val="center"/>
            <w:shd w:val="clear" w:color="auto" w:fill="1F3864"/>
          </w:tcPr>
          <w:p>
            <w:pPr>
              <w:spacing w:before="20" w:after="20"/>
              <w:ind w:left="72"/>
            </w:pPr>
            <w:r>
              <w:rPr>
                <w:b/>
                <w:i w:val="0"/>
                <w:color w:val="FFFFFF"/>
                <w:sz w:val="18"/>
              </w:rPr>
              <w:t>Priority</w:t>
            </w:r>
          </w:p>
        </w:tc>
        <w:tc>
          <w:tcPr>
            <w:tcW w:type="dxa" w:w="1714"/>
            <w:vAlign w:val="center"/>
            <w:shd w:val="clear" w:color="auto" w:fill="1F3864"/>
          </w:tcPr>
          <w:p>
            <w:pPr>
              <w:spacing w:before="20" w:after="20"/>
              <w:ind w:left="72"/>
            </w:pPr>
            <w:r>
              <w:rPr>
                <w:b/>
                <w:i w:val="0"/>
                <w:color w:val="FFFFFF"/>
                <w:sz w:val="18"/>
              </w:rPr>
              <w:t>Risk</w:t>
            </w:r>
          </w:p>
        </w:tc>
        <w:tc>
          <w:tcPr>
            <w:tcW w:type="dxa" w:w="1714"/>
            <w:vAlign w:val="center"/>
            <w:shd w:val="clear" w:color="auto" w:fill="1F3864"/>
          </w:tcPr>
          <w:p>
            <w:pPr>
              <w:spacing w:before="20" w:after="20"/>
              <w:ind w:left="72"/>
            </w:pPr>
            <w:r>
              <w:rPr>
                <w:b/>
                <w:i w:val="0"/>
                <w:color w:val="FFFFFF"/>
                <w:sz w:val="18"/>
              </w:rPr>
              <w:t>Severity</w:t>
            </w:r>
          </w:p>
        </w:tc>
        <w:tc>
          <w:tcPr>
            <w:tcW w:type="dxa" w:w="1714"/>
            <w:vAlign w:val="center"/>
            <w:shd w:val="clear" w:color="auto" w:fill="1F3864"/>
          </w:tcPr>
          <w:p>
            <w:pPr>
              <w:spacing w:before="20" w:after="20"/>
              <w:ind w:left="72"/>
            </w:pPr>
            <w:r>
              <w:rPr>
                <w:b/>
                <w:i w:val="0"/>
                <w:color w:val="FFFFFF"/>
                <w:sz w:val="18"/>
              </w:rPr>
              <w:t>Mitigant / Question</w:t>
            </w:r>
          </w:p>
        </w:tc>
        <w:tc>
          <w:tcPr>
            <w:tcW w:type="dxa" w:w="1714"/>
            <w:vAlign w:val="center"/>
            <w:shd w:val="clear" w:color="auto" w:fill="1F3864"/>
          </w:tcPr>
          <w:p>
            <w:pPr>
              <w:spacing w:before="20" w:after="20"/>
              <w:ind w:left="72"/>
            </w:pPr>
            <w:r>
              <w:rPr>
                <w:b/>
                <w:i w:val="0"/>
                <w:color w:val="FFFFFF"/>
                <w:sz w:val="18"/>
              </w:rPr>
              <w:t>Fill State</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2016"/>
        <w:gridCol w:w="2016"/>
        <w:gridCol w:w="2016"/>
        <w:gridCol w:w="2016"/>
        <w:gridCol w:w="2016"/>
      </w:tblGrid>
      <w:tr>
        <w:trPr>
          <w:trHeight w:val="280"/>
        </w:trPr>
        <w:tc>
          <w:tcPr>
            <w:tcW w:type="dxa" w:w="3226"/>
            <w:vAlign w:val="center"/>
            <w:shd w:val="clear" w:color="auto" w:fill="1F3864"/>
          </w:tcPr>
          <w:p>
            <w:pPr>
              <w:spacing w:before="20" w:after="20"/>
              <w:ind w:left="72"/>
            </w:pPr>
            <w:r>
              <w:rPr>
                <w:b/>
                <w:i w:val="0"/>
                <w:color w:val="FFFFFF"/>
                <w:sz w:val="18"/>
              </w:rPr>
              <w:t>1</w:t>
            </w:r>
          </w:p>
        </w:tc>
        <w:tc>
          <w:tcPr>
            <w:tcW w:type="dxa" w:w="1714"/>
            <w:vAlign w:val="center"/>
            <w:shd w:val="clear" w:color="auto" w:fill="1F3864"/>
          </w:tcPr>
          <w:p>
            <w:pPr>
              <w:spacing w:before="20" w:after="20"/>
              <w:ind w:left="72"/>
            </w:pPr>
            <w:r>
              <w:rPr>
                <w:b/>
                <w:i w:val="0"/>
                <w:color w:val="FFFFFF"/>
                <w:sz w:val="18"/>
              </w:rPr>
              <w:t>ebitda</w:t>
            </w:r>
            <w:r>
              <w:rPr>
                <w:b/>
                <w:i/>
                <w:color w:val="FFFFFF"/>
                <w:sz w:val="18"/>
              </w:rPr>
              <w:t>margin</w:t>
            </w:r>
            <w:r>
              <w:rPr>
                <w:b/>
                <w:i w:val="0"/>
                <w:color w:val="FFFFFF"/>
                <w:sz w:val="18"/>
              </w:rPr>
              <w:t>pct</w:t>
            </w:r>
          </w:p>
        </w:tc>
        <w:tc>
          <w:tcPr>
            <w:tcW w:type="dxa" w:w="1714"/>
            <w:vAlign w:val="center"/>
            <w:shd w:val="clear" w:color="auto" w:fill="1F3864"/>
          </w:tcPr>
          <w:p>
            <w:pPr>
              <w:spacing w:before="20" w:after="20"/>
              <w:ind w:left="72"/>
            </w:pPr>
            <w:r>
              <w:rPr>
                <w:b/>
                <w:i w:val="0"/>
                <w:color w:val="FFFFFF"/>
                <w:sz w:val="18"/>
              </w:rPr>
              <w:t>critical</w:t>
            </w:r>
          </w:p>
        </w:tc>
        <w:tc>
          <w:tcPr>
            <w:tcW w:type="dxa" w:w="1714"/>
            <w:vAlign w:val="center"/>
            <w:shd w:val="clear" w:color="auto" w:fill="1F3864"/>
          </w:tcPr>
          <w:p>
            <w:pPr>
              <w:spacing w:before="20" w:after="20"/>
              <w:ind w:left="72"/>
            </w:pPr>
            <w:r>
              <w:rPr>
                <w:b/>
                <w:i w:val="0"/>
                <w:color w:val="FFFFFF"/>
                <w:sz w:val="18"/>
              </w:rPr>
              <w:t>EBITDA margin of 7.9% is below the ~10% threshold, which may indicate labor inefficiency, weak reimbursement, poor scheduling/utilization, high admin burden, or lack of scale. Source: 2024 Elder Care - CIM_vF.pdf.</w:t>
            </w:r>
          </w:p>
        </w:tc>
        <w:tc>
          <w:tcPr>
            <w:tcW w:type="dxa" w:w="1714"/>
            <w:vAlign w:val="center"/>
            <w:shd w:val="clear" w:color="auto" w:fill="1F3864"/>
          </w:tcPr>
          <w:p>
            <w:pPr>
              <w:spacing w:before="20" w:after="20"/>
              <w:ind w:left="72"/>
            </w:pPr>
            <w:r>
              <w:rPr>
                <w:b/>
                <w:i w:val="0"/>
                <w:color w:val="FFFFFF"/>
                <w:sz w:val="18"/>
              </w:rPr>
              <w:t>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2016"/>
        <w:gridCol w:w="2016"/>
        <w:gridCol w:w="2016"/>
        <w:gridCol w:w="2016"/>
        <w:gridCol w:w="2016"/>
      </w:tblGrid>
      <w:tr>
        <w:trPr>
          <w:trHeight w:val="280"/>
        </w:trPr>
        <w:tc>
          <w:tcPr>
            <w:tcW w:type="dxa" w:w="3226"/>
            <w:vAlign w:val="center"/>
            <w:shd w:val="clear" w:color="auto" w:fill="1F3864"/>
          </w:tcPr>
          <w:p>
            <w:pPr>
              <w:spacing w:before="20" w:after="20"/>
              <w:ind w:left="72"/>
            </w:pPr>
            <w:r>
              <w:rPr>
                <w:b/>
                <w:i w:val="0"/>
                <w:color w:val="FFFFFF"/>
                <w:sz w:val="18"/>
              </w:rPr>
              <w:t>2</w:t>
            </w:r>
          </w:p>
        </w:tc>
        <w:tc>
          <w:tcPr>
            <w:tcW w:type="dxa" w:w="1714"/>
            <w:vAlign w:val="center"/>
            <w:shd w:val="clear" w:color="auto" w:fill="1F3864"/>
          </w:tcPr>
          <w:p>
            <w:pPr>
              <w:spacing w:before="20" w:after="20"/>
              <w:ind w:left="72"/>
            </w:pPr>
            <w:r>
              <w:rPr>
                <w:b/>
                <w:i w:val="0"/>
                <w:color w:val="FFFFFF"/>
                <w:sz w:val="18"/>
              </w:rPr>
              <w:t>large</w:t>
            </w:r>
            <w:r>
              <w:rPr>
                <w:b/>
                <w:i/>
                <w:color w:val="FFFFFF"/>
                <w:sz w:val="18"/>
              </w:rPr>
              <w:t>unsupported</w:t>
            </w:r>
            <w:r>
              <w:rPr>
                <w:b/>
                <w:i w:val="0"/>
                <w:color w:val="FFFFFF"/>
                <w:sz w:val="18"/>
              </w:rPr>
              <w:t>addback</w:t>
            </w:r>
          </w:p>
        </w:tc>
        <w:tc>
          <w:tcPr>
            <w:tcW w:type="dxa" w:w="1714"/>
            <w:vAlign w:val="center"/>
            <w:shd w:val="clear" w:color="auto" w:fill="1F3864"/>
          </w:tcPr>
          <w:p>
            <w:pPr>
              <w:spacing w:before="20" w:after="20"/>
              <w:ind w:left="72"/>
            </w:pPr>
            <w:r>
              <w:rPr>
                <w:b/>
                <w:i w:val="0"/>
                <w:color w:val="FFFFFF"/>
                <w:sz w:val="18"/>
              </w:rPr>
              <w:t>critical</w:t>
            </w:r>
          </w:p>
        </w:tc>
        <w:tc>
          <w:tcPr>
            <w:tcW w:type="dxa" w:w="1714"/>
            <w:vAlign w:val="center"/>
            <w:shd w:val="clear" w:color="auto" w:fill="1F3864"/>
          </w:tcPr>
          <w:p>
            <w:pPr>
              <w:spacing w:before="20" w:after="20"/>
              <w:ind w:left="72"/>
            </w:pPr>
            <w:r>
              <w:rPr>
                <w:b/>
                <w:i w:val="0"/>
                <w:color w:val="FFFFFF"/>
                <w:sz w:val="18"/>
              </w:rPr>
              <w:t>Addback &gt;5% of EBITDA (13.6%) with no VDR document support: [J] Guided Living pre-acquisition results. Source: 2024 Elder Care - CIM_vF.pdf.</w:t>
            </w:r>
          </w:p>
        </w:tc>
        <w:tc>
          <w:tcPr>
            <w:tcW w:type="dxa" w:w="1714"/>
            <w:vAlign w:val="center"/>
            <w:shd w:val="clear" w:color="auto" w:fill="1F3864"/>
          </w:tcPr>
          <w:p>
            <w:pPr>
              <w:spacing w:before="20" w:after="20"/>
              <w:ind w:left="72"/>
            </w:pPr>
            <w:r>
              <w:rPr>
                <w:b/>
                <w:i w:val="0"/>
                <w:color w:val="FFFFFF"/>
                <w:sz w:val="18"/>
              </w:rPr>
              <w:t>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2016"/>
        <w:gridCol w:w="2016"/>
        <w:gridCol w:w="2016"/>
        <w:gridCol w:w="2016"/>
        <w:gridCol w:w="2016"/>
      </w:tblGrid>
      <w:tr>
        <w:trPr>
          <w:trHeight w:val="280"/>
        </w:trPr>
        <w:tc>
          <w:tcPr>
            <w:tcW w:type="dxa" w:w="3226"/>
            <w:vAlign w:val="center"/>
            <w:shd w:val="clear" w:color="auto" w:fill="1F3864"/>
          </w:tcPr>
          <w:p>
            <w:pPr>
              <w:spacing w:before="20" w:after="20"/>
              <w:ind w:left="72"/>
            </w:pPr>
            <w:r>
              <w:rPr>
                <w:b/>
                <w:i w:val="0"/>
                <w:color w:val="FFFFFF"/>
                <w:sz w:val="18"/>
              </w:rPr>
              <w:t>3</w:t>
            </w:r>
          </w:p>
        </w:tc>
        <w:tc>
          <w:tcPr>
            <w:tcW w:type="dxa" w:w="1714"/>
            <w:vAlign w:val="center"/>
            <w:shd w:val="clear" w:color="auto" w:fill="1F3864"/>
          </w:tcPr>
          <w:p>
            <w:pPr>
              <w:spacing w:before="20" w:after="20"/>
              <w:ind w:left="72"/>
            </w:pPr>
            <w:r>
              <w:rPr>
                <w:b/>
                <w:i w:val="0"/>
                <w:color w:val="FFFFFF"/>
                <w:sz w:val="18"/>
              </w:rPr>
              <w:t>large</w:t>
            </w:r>
            <w:r>
              <w:rPr>
                <w:b/>
                <w:i/>
                <w:color w:val="FFFFFF"/>
                <w:sz w:val="18"/>
              </w:rPr>
              <w:t>unsupported</w:t>
            </w:r>
            <w:r>
              <w:rPr>
                <w:b/>
                <w:i w:val="0"/>
                <w:color w:val="FFFFFF"/>
                <w:sz w:val="18"/>
              </w:rPr>
              <w:t>addback</w:t>
            </w:r>
          </w:p>
        </w:tc>
        <w:tc>
          <w:tcPr>
            <w:tcW w:type="dxa" w:w="1714"/>
            <w:vAlign w:val="center"/>
            <w:shd w:val="clear" w:color="auto" w:fill="1F3864"/>
          </w:tcPr>
          <w:p>
            <w:pPr>
              <w:spacing w:before="20" w:after="20"/>
              <w:ind w:left="72"/>
            </w:pPr>
            <w:r>
              <w:rPr>
                <w:b/>
                <w:i w:val="0"/>
                <w:color w:val="FFFFFF"/>
                <w:sz w:val="18"/>
              </w:rPr>
              <w:t>critical</w:t>
            </w:r>
          </w:p>
        </w:tc>
        <w:tc>
          <w:tcPr>
            <w:tcW w:type="dxa" w:w="1714"/>
            <w:vAlign w:val="center"/>
            <w:shd w:val="clear" w:color="auto" w:fill="1F3864"/>
          </w:tcPr>
          <w:p>
            <w:pPr>
              <w:spacing w:before="20" w:after="20"/>
              <w:ind w:left="72"/>
            </w:pPr>
            <w:r>
              <w:rPr>
                <w:b/>
                <w:i w:val="0"/>
                <w:color w:val="FFFFFF"/>
                <w:sz w:val="18"/>
              </w:rPr>
              <w:t>Addback &gt;5% of EBITDA (15.5%) with no VDR document support: [N] Guided Living ramp-up/maturity adjustment. Source: 2024 Elder Care - CIM_vF.pdf.</w:t>
            </w:r>
          </w:p>
        </w:tc>
        <w:tc>
          <w:tcPr>
            <w:tcW w:type="dxa" w:w="1714"/>
            <w:vAlign w:val="center"/>
            <w:shd w:val="clear" w:color="auto" w:fill="1F3864"/>
          </w:tcPr>
          <w:p>
            <w:pPr>
              <w:spacing w:before="20" w:after="20"/>
              <w:ind w:left="72"/>
            </w:pPr>
            <w:r>
              <w:rPr>
                <w:b/>
                <w:i w:val="0"/>
                <w:color w:val="FFFFFF"/>
                <w:sz w:val="18"/>
              </w:rPr>
              <w:t>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2016"/>
        <w:gridCol w:w="2016"/>
        <w:gridCol w:w="2016"/>
        <w:gridCol w:w="2016"/>
        <w:gridCol w:w="2016"/>
      </w:tblGrid>
      <w:tr>
        <w:trPr>
          <w:trHeight w:val="280"/>
        </w:trPr>
        <w:tc>
          <w:tcPr>
            <w:tcW w:type="dxa" w:w="3226"/>
            <w:vAlign w:val="center"/>
            <w:shd w:val="clear" w:color="auto" w:fill="1F3864"/>
          </w:tcPr>
          <w:p>
            <w:pPr>
              <w:spacing w:before="20" w:after="20"/>
              <w:ind w:left="72"/>
            </w:pPr>
            <w:r>
              <w:rPr>
                <w:b/>
                <w:i w:val="0"/>
                <w:color w:val="FFFFFF"/>
                <w:sz w:val="18"/>
              </w:rPr>
              <w:t>4</w:t>
            </w:r>
          </w:p>
        </w:tc>
        <w:tc>
          <w:tcPr>
            <w:tcW w:type="dxa" w:w="1714"/>
            <w:vAlign w:val="center"/>
            <w:shd w:val="clear" w:color="auto" w:fill="1F3864"/>
          </w:tcPr>
          <w:p>
            <w:pPr>
              <w:spacing w:before="20" w:after="20"/>
              <w:ind w:left="72"/>
            </w:pPr>
            <w:r>
              <w:rPr>
                <w:b/>
                <w:i w:val="0"/>
                <w:color w:val="FFFFFF"/>
                <w:sz w:val="18"/>
              </w:rPr>
              <w:t>large</w:t>
            </w:r>
            <w:r>
              <w:rPr>
                <w:b/>
                <w:i/>
                <w:color w:val="FFFFFF"/>
                <w:sz w:val="18"/>
              </w:rPr>
              <w:t>unsupported</w:t>
            </w:r>
            <w:r>
              <w:rPr>
                <w:b/>
                <w:i w:val="0"/>
                <w:color w:val="FFFFFF"/>
                <w:sz w:val="18"/>
              </w:rPr>
              <w:t>addback</w:t>
            </w:r>
          </w:p>
        </w:tc>
        <w:tc>
          <w:tcPr>
            <w:tcW w:type="dxa" w:w="1714"/>
            <w:vAlign w:val="center"/>
            <w:shd w:val="clear" w:color="auto" w:fill="1F3864"/>
          </w:tcPr>
          <w:p>
            <w:pPr>
              <w:spacing w:before="20" w:after="20"/>
              <w:ind w:left="72"/>
            </w:pPr>
            <w:r>
              <w:rPr>
                <w:b/>
                <w:i w:val="0"/>
                <w:color w:val="FFFFFF"/>
                <w:sz w:val="18"/>
              </w:rPr>
              <w:t>critical</w:t>
            </w:r>
          </w:p>
        </w:tc>
        <w:tc>
          <w:tcPr>
            <w:tcW w:type="dxa" w:w="1714"/>
            <w:vAlign w:val="center"/>
            <w:shd w:val="clear" w:color="auto" w:fill="1F3864"/>
          </w:tcPr>
          <w:p>
            <w:pPr>
              <w:spacing w:before="20" w:after="20"/>
              <w:ind w:left="72"/>
            </w:pPr>
            <w:r>
              <w:rPr>
                <w:b/>
                <w:i w:val="0"/>
                <w:color w:val="FFFFFF"/>
                <w:sz w:val="18"/>
              </w:rPr>
              <w:t>Addback &gt;5% of EBITDA (24.0%) with no VDR document support: [D] Cash-to-accrual revenue adjustment. Source: 2024 Elder Care - CIM_vF.pdf.</w:t>
            </w:r>
          </w:p>
        </w:tc>
        <w:tc>
          <w:tcPr>
            <w:tcW w:type="dxa" w:w="1714"/>
            <w:vAlign w:val="center"/>
            <w:shd w:val="clear" w:color="auto" w:fill="1F3864"/>
          </w:tcPr>
          <w:p>
            <w:pPr>
              <w:spacing w:before="20" w:after="20"/>
              <w:ind w:left="72"/>
            </w:pPr>
            <w:r>
              <w:rPr>
                <w:b/>
                <w:i w:val="0"/>
                <w:color w:val="FFFFFF"/>
                <w:sz w:val="18"/>
              </w:rPr>
              <w:t>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2016"/>
        <w:gridCol w:w="2016"/>
        <w:gridCol w:w="2016"/>
        <w:gridCol w:w="2016"/>
        <w:gridCol w:w="2016"/>
      </w:tblGrid>
      <w:tr>
        <w:trPr>
          <w:trHeight w:val="280"/>
        </w:trPr>
        <w:tc>
          <w:tcPr>
            <w:tcW w:type="dxa" w:w="3226"/>
            <w:vAlign w:val="center"/>
            <w:shd w:val="clear" w:color="auto" w:fill="1F3864"/>
          </w:tcPr>
          <w:p>
            <w:pPr>
              <w:spacing w:before="20" w:after="20"/>
              <w:ind w:left="72"/>
            </w:pPr>
            <w:r>
              <w:rPr>
                <w:b/>
                <w:i w:val="0"/>
                <w:color w:val="FFFFFF"/>
                <w:sz w:val="18"/>
              </w:rPr>
              <w:t>5</w:t>
            </w:r>
          </w:p>
        </w:tc>
        <w:tc>
          <w:tcPr>
            <w:tcW w:type="dxa" w:w="1714"/>
            <w:vAlign w:val="center"/>
            <w:shd w:val="clear" w:color="auto" w:fill="1F3864"/>
          </w:tcPr>
          <w:p>
            <w:pPr>
              <w:spacing w:before="20" w:after="20"/>
              <w:ind w:left="72"/>
            </w:pPr>
            <w:r>
              <w:rPr>
                <w:b/>
                <w:i w:val="0"/>
                <w:color w:val="FFFFFF"/>
                <w:sz w:val="18"/>
              </w:rPr>
              <w:t>large</w:t>
            </w:r>
            <w:r>
              <w:rPr>
                <w:b/>
                <w:i/>
                <w:color w:val="FFFFFF"/>
                <w:sz w:val="18"/>
              </w:rPr>
              <w:t>unsupported</w:t>
            </w:r>
            <w:r>
              <w:rPr>
                <w:b/>
                <w:i w:val="0"/>
                <w:color w:val="FFFFFF"/>
                <w:sz w:val="18"/>
              </w:rPr>
              <w:t>addback</w:t>
            </w:r>
          </w:p>
        </w:tc>
        <w:tc>
          <w:tcPr>
            <w:tcW w:type="dxa" w:w="1714"/>
            <w:vAlign w:val="center"/>
            <w:shd w:val="clear" w:color="auto" w:fill="1F3864"/>
          </w:tcPr>
          <w:p>
            <w:pPr>
              <w:spacing w:before="20" w:after="20"/>
              <w:ind w:left="72"/>
            </w:pPr>
            <w:r>
              <w:rPr>
                <w:b/>
                <w:i w:val="0"/>
                <w:color w:val="FFFFFF"/>
                <w:sz w:val="18"/>
              </w:rPr>
              <w:t>critical</w:t>
            </w:r>
          </w:p>
        </w:tc>
        <w:tc>
          <w:tcPr>
            <w:tcW w:type="dxa" w:w="1714"/>
            <w:vAlign w:val="center"/>
            <w:shd w:val="clear" w:color="auto" w:fill="1F3864"/>
          </w:tcPr>
          <w:p>
            <w:pPr>
              <w:spacing w:before="20" w:after="20"/>
              <w:ind w:left="72"/>
            </w:pPr>
            <w:r>
              <w:rPr>
                <w:b/>
                <w:i w:val="0"/>
                <w:color w:val="FFFFFF"/>
                <w:sz w:val="18"/>
              </w:rPr>
              <w:t>Addback &gt;5% of EBITDA (32.8%) with no VDR document support: [O] Unicity incremental earnings from synergies. Source: 2024 Elder Care - CIM_vF.pdf.</w:t>
            </w:r>
          </w:p>
        </w:tc>
        <w:tc>
          <w:tcPr>
            <w:tcW w:type="dxa" w:w="1714"/>
            <w:vAlign w:val="center"/>
            <w:shd w:val="clear" w:color="auto" w:fill="1F3864"/>
          </w:tcPr>
          <w:p>
            <w:pPr>
              <w:spacing w:before="20" w:after="20"/>
              <w:ind w:left="72"/>
            </w:pPr>
            <w:r>
              <w:rPr>
                <w:b/>
                <w:i w:val="0"/>
                <w:color w:val="FFFFFF"/>
                <w:sz w:val="18"/>
              </w:rPr>
              <w:t>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2016"/>
        <w:gridCol w:w="2016"/>
        <w:gridCol w:w="2016"/>
        <w:gridCol w:w="2016"/>
        <w:gridCol w:w="2016"/>
      </w:tblGrid>
      <w:tr>
        <w:trPr>
          <w:trHeight w:val="280"/>
        </w:trPr>
        <w:tc>
          <w:tcPr>
            <w:tcW w:type="dxa" w:w="3226"/>
            <w:vAlign w:val="center"/>
            <w:shd w:val="clear" w:color="auto" w:fill="1F3864"/>
          </w:tcPr>
          <w:p>
            <w:pPr>
              <w:spacing w:before="20" w:after="20"/>
              <w:ind w:left="72"/>
            </w:pPr>
            <w:r>
              <w:rPr>
                <w:b/>
                <w:i w:val="0"/>
                <w:color w:val="FFFFFF"/>
                <w:sz w:val="18"/>
              </w:rPr>
              <w:t>6</w:t>
            </w:r>
          </w:p>
        </w:tc>
        <w:tc>
          <w:tcPr>
            <w:tcW w:type="dxa" w:w="1714"/>
            <w:vAlign w:val="center"/>
            <w:shd w:val="clear" w:color="auto" w:fill="1F3864"/>
          </w:tcPr>
          <w:p>
            <w:pPr>
              <w:spacing w:before="20" w:after="20"/>
              <w:ind w:left="72"/>
            </w:pPr>
            <w:r>
              <w:rPr>
                <w:b/>
                <w:i w:val="0"/>
                <w:color w:val="FFFFFF"/>
                <w:sz w:val="18"/>
              </w:rPr>
              <w:t>large</w:t>
            </w:r>
            <w:r>
              <w:rPr>
                <w:b/>
                <w:i/>
                <w:color w:val="FFFFFF"/>
                <w:sz w:val="18"/>
              </w:rPr>
              <w:t>unsupported</w:t>
            </w:r>
            <w:r>
              <w:rPr>
                <w:b/>
                <w:i w:val="0"/>
                <w:color w:val="FFFFFF"/>
                <w:sz w:val="18"/>
              </w:rPr>
              <w:t>addback</w:t>
            </w:r>
          </w:p>
        </w:tc>
        <w:tc>
          <w:tcPr>
            <w:tcW w:type="dxa" w:w="1714"/>
            <w:vAlign w:val="center"/>
            <w:shd w:val="clear" w:color="auto" w:fill="1F3864"/>
          </w:tcPr>
          <w:p>
            <w:pPr>
              <w:spacing w:before="20" w:after="20"/>
              <w:ind w:left="72"/>
            </w:pPr>
            <w:r>
              <w:rPr>
                <w:b/>
                <w:i w:val="0"/>
                <w:color w:val="FFFFFF"/>
                <w:sz w:val="18"/>
              </w:rPr>
              <w:t>critical</w:t>
            </w:r>
          </w:p>
        </w:tc>
        <w:tc>
          <w:tcPr>
            <w:tcW w:type="dxa" w:w="1714"/>
            <w:vAlign w:val="center"/>
            <w:shd w:val="clear" w:color="auto" w:fill="1F3864"/>
          </w:tcPr>
          <w:p>
            <w:pPr>
              <w:spacing w:before="20" w:after="20"/>
              <w:ind w:left="72"/>
            </w:pPr>
            <w:r>
              <w:rPr>
                <w:b/>
                <w:i w:val="0"/>
                <w:color w:val="FFFFFF"/>
                <w:sz w:val="18"/>
              </w:rPr>
              <w:t>Addback &gt;5% of EBITDA (38.8%) with no VDR document support: [K] Unicity pre-acquisition results. Source: 2024 Elder Care - CIM_vF.pdf.</w:t>
            </w:r>
          </w:p>
        </w:tc>
        <w:tc>
          <w:tcPr>
            <w:tcW w:type="dxa" w:w="1714"/>
            <w:vAlign w:val="center"/>
            <w:shd w:val="clear" w:color="auto" w:fill="1F3864"/>
          </w:tcPr>
          <w:p>
            <w:pPr>
              <w:spacing w:before="20" w:after="20"/>
              <w:ind w:left="72"/>
            </w:pPr>
            <w:r>
              <w:rPr>
                <w:b/>
                <w:i w:val="0"/>
                <w:color w:val="FFFFFF"/>
                <w:sz w:val="18"/>
              </w:rPr>
              <w:t>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2016"/>
        <w:gridCol w:w="2016"/>
        <w:gridCol w:w="2016"/>
        <w:gridCol w:w="2016"/>
        <w:gridCol w:w="2016"/>
      </w:tblGrid>
      <w:tr>
        <w:trPr>
          <w:trHeight w:val="280"/>
        </w:trPr>
        <w:tc>
          <w:tcPr>
            <w:tcW w:type="dxa" w:w="3226"/>
            <w:vAlign w:val="center"/>
            <w:shd w:val="clear" w:color="auto" w:fill="1F3864"/>
          </w:tcPr>
          <w:p>
            <w:pPr>
              <w:spacing w:before="20" w:after="20"/>
              <w:ind w:left="72"/>
            </w:pPr>
            <w:r>
              <w:rPr>
                <w:b/>
                <w:i w:val="0"/>
                <w:color w:val="FFFFFF"/>
                <w:sz w:val="18"/>
              </w:rPr>
              <w:t>7</w:t>
            </w:r>
          </w:p>
        </w:tc>
        <w:tc>
          <w:tcPr>
            <w:tcW w:type="dxa" w:w="1714"/>
            <w:vAlign w:val="center"/>
            <w:shd w:val="clear" w:color="auto" w:fill="1F3864"/>
          </w:tcPr>
          <w:p>
            <w:pPr>
              <w:spacing w:before="20" w:after="20"/>
              <w:ind w:left="72"/>
            </w:pPr>
            <w:r>
              <w:rPr>
                <w:b/>
                <w:i w:val="0"/>
                <w:color w:val="FFFFFF"/>
                <w:sz w:val="18"/>
              </w:rPr>
              <w:t>large</w:t>
            </w:r>
            <w:r>
              <w:rPr>
                <w:b/>
                <w:i/>
                <w:color w:val="FFFFFF"/>
                <w:sz w:val="18"/>
              </w:rPr>
              <w:t>unsupported</w:t>
            </w:r>
            <w:r>
              <w:rPr>
                <w:b/>
                <w:i w:val="0"/>
                <w:color w:val="FFFFFF"/>
                <w:sz w:val="18"/>
              </w:rPr>
              <w:t>addback</w:t>
            </w:r>
          </w:p>
        </w:tc>
        <w:tc>
          <w:tcPr>
            <w:tcW w:type="dxa" w:w="1714"/>
            <w:vAlign w:val="center"/>
            <w:shd w:val="clear" w:color="auto" w:fill="1F3864"/>
          </w:tcPr>
          <w:p>
            <w:pPr>
              <w:spacing w:before="20" w:after="20"/>
              <w:ind w:left="72"/>
            </w:pPr>
            <w:r>
              <w:rPr>
                <w:b/>
                <w:i w:val="0"/>
                <w:color w:val="FFFFFF"/>
                <w:sz w:val="18"/>
              </w:rPr>
              <w:t>critical</w:t>
            </w:r>
          </w:p>
        </w:tc>
        <w:tc>
          <w:tcPr>
            <w:tcW w:type="dxa" w:w="1714"/>
            <w:vAlign w:val="center"/>
            <w:shd w:val="clear" w:color="auto" w:fill="1F3864"/>
          </w:tcPr>
          <w:p>
            <w:pPr>
              <w:spacing w:before="20" w:after="20"/>
              <w:ind w:left="72"/>
            </w:pPr>
            <w:r>
              <w:rPr>
                <w:b/>
                <w:i w:val="0"/>
                <w:color w:val="FFFFFF"/>
                <w:sz w:val="18"/>
              </w:rPr>
              <w:t>Addback &gt;5% of EBITDA (5.7%) with no VDR document support: [E] Payroll accrual. Source: 2024 Elder Care - CIM_vF.pdf.</w:t>
            </w:r>
          </w:p>
        </w:tc>
        <w:tc>
          <w:tcPr>
            <w:tcW w:type="dxa" w:w="1714"/>
            <w:vAlign w:val="center"/>
            <w:shd w:val="clear" w:color="auto" w:fill="1F3864"/>
          </w:tcPr>
          <w:p>
            <w:pPr>
              <w:spacing w:before="20" w:after="20"/>
              <w:ind w:left="72"/>
            </w:pPr>
            <w:r>
              <w:rPr>
                <w:b/>
                <w:i w:val="0"/>
                <w:color w:val="FFFFFF"/>
                <w:sz w:val="18"/>
              </w:rPr>
              <w:t>filled_cited</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2016"/>
        <w:gridCol w:w="2016"/>
        <w:gridCol w:w="2016"/>
        <w:gridCol w:w="2016"/>
        <w:gridCol w:w="2016"/>
      </w:tblGrid>
      <w:tr>
        <w:trPr>
          <w:trHeight w:val="280"/>
        </w:trPr>
        <w:tc>
          <w:tcPr>
            <w:tcW w:type="dxa" w:w="3226"/>
            <w:vAlign w:val="center"/>
            <w:shd w:val="clear" w:color="auto" w:fill="1F3864"/>
          </w:tcPr>
          <w:p>
            <w:pPr>
              <w:spacing w:before="20" w:after="20"/>
              <w:ind w:left="72"/>
            </w:pPr>
            <w:r>
              <w:rPr>
                <w:b/>
                <w:i w:val="0"/>
                <w:color w:val="FFFFFF"/>
                <w:sz w:val="18"/>
              </w:rPr>
              <w:t>8</w:t>
            </w:r>
          </w:p>
        </w:tc>
        <w:tc>
          <w:tcPr>
            <w:tcW w:type="dxa" w:w="1714"/>
            <w:vAlign w:val="center"/>
            <w:shd w:val="clear" w:color="auto" w:fill="1F3864"/>
          </w:tcPr>
          <w:p>
            <w:pPr>
              <w:spacing w:before="20" w:after="20"/>
              <w:ind w:left="72"/>
            </w:pPr>
            <w:r>
              <w:rPr>
                <w:b/>
                <w:i w:val="0"/>
                <w:color w:val="FFFFFF"/>
                <w:sz w:val="18"/>
              </w:rPr>
              <w:t>large</w:t>
            </w:r>
            <w:r>
              <w:rPr>
                <w:b/>
                <w:i/>
                <w:color w:val="FFFFFF"/>
                <w:sz w:val="18"/>
              </w:rPr>
              <w:t>unsupported</w:t>
            </w:r>
            <w:r>
              <w:rPr>
                <w:b/>
                <w:i w:val="0"/>
                <w:color w:val="FFFFFF"/>
                <w:sz w:val="18"/>
              </w:rPr>
              <w:t>addback</w:t>
            </w:r>
          </w:p>
        </w:tc>
        <w:tc>
          <w:tcPr>
            <w:tcW w:type="dxa" w:w="1714"/>
            <w:vAlign w:val="center"/>
            <w:shd w:val="clear" w:color="auto" w:fill="1F3864"/>
          </w:tcPr>
          <w:p>
            <w:pPr>
              <w:spacing w:before="20" w:after="20"/>
              <w:ind w:left="72"/>
            </w:pPr>
            <w:r>
              <w:rPr>
                <w:b/>
                <w:i w:val="0"/>
                <w:color w:val="FFFFFF"/>
                <w:sz w:val="18"/>
              </w:rPr>
              <w:t>critical</w:t>
            </w:r>
          </w:p>
        </w:tc>
        <w:tc>
          <w:tcPr>
            <w:tcW w:type="dxa" w:w="1714"/>
            <w:vAlign w:val="center"/>
            <w:shd w:val="clear" w:color="auto" w:fill="1F3864"/>
          </w:tcPr>
          <w:p>
            <w:pPr>
              <w:spacing w:before="20" w:after="20"/>
              <w:ind w:left="72"/>
            </w:pPr>
            <w:r>
              <w:rPr>
                <w:b/>
                <w:i w:val="0"/>
                <w:color w:val="FFFFFF"/>
                <w:sz w:val="18"/>
              </w:rPr>
              <w:t>Addback &gt;5% of EBITDA (6.6%) with no VDR document support: [B] Non-recurring transactions. Source: 2024 Elder Care - CIM_vF.pdf.</w:t>
            </w:r>
          </w:p>
        </w:tc>
        <w:tc>
          <w:tcPr>
            <w:tcW w:type="dxa" w:w="1714"/>
            <w:vAlign w:val="center"/>
            <w:shd w:val="clear" w:color="auto" w:fill="1F3864"/>
          </w:tcPr>
          <w:p>
            <w:pPr>
              <w:spacing w:before="20" w:after="20"/>
              <w:ind w:left="72"/>
            </w:pPr>
            <w:r>
              <w:rPr>
                <w:b/>
                <w:i w:val="0"/>
                <w:color w:val="FFFFFF"/>
                <w:sz w:val="18"/>
              </w:rPr>
              <w:t>filled_cited</w:t>
            </w:r>
          </w:p>
        </w:tc>
      </w:tr>
    </w:tbl>
    <w:p>
      <w:pPr>
        <w:spacing w:before="40" w:after="40"/>
      </w:pPr>
    </w:p>
    <w:p>
      <w:pPr>
        <w:spacing w:before="80" w:after="80"/>
        <w:pBdr>
          <w:bottom w:val="single" w:sz="4" w:space="1" w:color="1F3864"/>
        </w:pBdr>
      </w:pPr>
    </w:p>
    <w:p>
      <w:pPr>
        <w:spacing w:before="240" w:after="60"/>
        <w:pBdr>
          <w:bottom w:val="single" w:sz="8" w:space="1" w:color="1F3864"/>
        </w:pBdr>
      </w:pPr>
      <w:r>
        <w:rPr>
          <w:b/>
          <w:color w:val="1F3864"/>
          <w:sz w:val="26"/>
        </w:rPr>
        <w:t>Top Management Questions</w:t>
      </w:r>
    </w:p>
    <w:p>
      <w:pPr>
        <w:spacing w:before="40" w:after="40"/>
      </w:pPr>
      <w:r>
        <w:rPr>
          <w:b w:val="0"/>
          <w:i w:val="0"/>
          <w:color w:val="000000"/>
          <w:sz w:val="19"/>
        </w:rPr>
        <w:t xml:space="preserve">1. Request and review Healthcare Referral Agreements </w:t>
      </w:r>
      <w:r>
        <w:rPr>
          <w:b w:val="0"/>
          <w:i/>
          <w:color w:val="000000"/>
          <w:sz w:val="19"/>
        </w:rPr>
        <w:t>(priority: High, category: legal)</w:t>
      </w:r>
    </w:p>
    <w:p>
      <w:pPr>
        <w:spacing w:before="40" w:after="40"/>
      </w:pPr>
      <w:r>
        <w:rPr>
          <w:b w:val="0"/>
          <w:i w:val="0"/>
          <w:color w:val="000000"/>
          <w:sz w:val="19"/>
        </w:rPr>
        <w:t xml:space="preserve">2. What is the current total active client census by market/region, and how has it trended monthly over the past 24 months? </w:t>
      </w:r>
      <w:r>
        <w:rPr>
          <w:b w:val="0"/>
          <w:i/>
          <w:color w:val="000000"/>
          <w:sz w:val="19"/>
        </w:rPr>
        <w:t>(priority: medium, category: kpi)</w:t>
      </w:r>
    </w:p>
    <w:p>
      <w:pPr>
        <w:spacing w:before="40" w:after="40"/>
      </w:pPr>
      <w:r>
        <w:rPr>
          <w:b w:val="0"/>
          <w:i w:val="0"/>
          <w:color w:val="000000"/>
          <w:sz w:val="19"/>
        </w:rPr>
        <w:t xml:space="preserve">3. What is the annualized caregiver turnover rate (voluntary and involuntary) by market for the past two fiscal years, and how does it compare to industry benchmarks? </w:t>
      </w:r>
      <w:r>
        <w:rPr>
          <w:b w:val="0"/>
          <w:i/>
          <w:color w:val="000000"/>
          <w:sz w:val="19"/>
        </w:rPr>
        <w:t>(priority: medium, category: kpi)</w:t>
      </w:r>
    </w:p>
    <w:p>
      <w:pPr>
        <w:spacing w:before="40" w:after="40"/>
      </w:pPr>
      <w:r>
        <w:rPr>
          <w:b w:val="0"/>
          <w:i w:val="0"/>
          <w:color w:val="000000"/>
          <w:sz w:val="19"/>
        </w:rPr>
        <w:t xml:space="preserve">4. Can management provide a monthly payor mix breakdown by market for the TTM period, including any shifts in Medicaid Waiver or VA program concentration? </w:t>
      </w:r>
      <w:r>
        <w:rPr>
          <w:b w:val="0"/>
          <w:i/>
          <w:color w:val="000000"/>
          <w:sz w:val="19"/>
        </w:rPr>
        <w:t>(priority: medium, category: kpi)</w:t>
      </w:r>
    </w:p>
    <w:p>
      <w:pPr>
        <w:spacing w:before="40" w:after="40"/>
      </w:pPr>
      <w:r>
        <w:rPr>
          <w:b w:val="0"/>
          <w:i w:val="0"/>
          <w:color w:val="000000"/>
          <w:sz w:val="19"/>
        </w:rPr>
        <w:t xml:space="preserve">5. Please provide an AR aging schedule segmented by payor class (Private Pay, Medicaid Waiver, LTC Insurance, VA) as of the most recent month-end, including DSO by payor. </w:t>
      </w:r>
      <w:r>
        <w:rPr>
          <w:b w:val="0"/>
          <w:i/>
          <w:color w:val="000000"/>
          <w:sz w:val="19"/>
        </w:rPr>
        <w:t>(priority: medium, category: kpi)</w:t>
      </w:r>
    </w:p>
    <w:p>
      <w:pPr>
        <w:spacing w:before="80" w:after="80"/>
        <w:pBdr>
          <w:bottom w:val="single" w:sz="4" w:space="1" w:color="1F3864"/>
        </w:pBdr>
      </w:pPr>
    </w:p>
    <w:p>
      <w:pPr>
        <w:spacing w:before="0" w:after="80"/>
        <w:jc w:val="center"/>
      </w:pPr>
      <w:r>
        <w:rPr>
          <w:b/>
          <w:color w:val="1F3864"/>
          <w:sz w:val="40"/>
        </w:rPr>
        <w:t>9. Deal Team Summary</w:t>
      </w:r>
    </w:p>
    <w:p>
      <w:pPr>
        <w:spacing w:before="240" w:after="60"/>
        <w:pBdr>
          <w:bottom w:val="single" w:sz="8" w:space="1" w:color="1F3864"/>
        </w:pBdr>
      </w:pPr>
      <w:r>
        <w:rPr>
          <w:b/>
          <w:color w:val="1F3864"/>
          <w:sz w:val="26"/>
        </w:rPr>
        <w:t>Deal Risks &amp; Mitigants</w:t>
      </w: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3360"/>
        <w:gridCol w:w="3360"/>
        <w:gridCol w:w="3360"/>
      </w:tblGrid>
      <w:tr>
        <w:trPr>
          <w:trHeight w:val="280"/>
        </w:trPr>
        <w:tc>
          <w:tcPr>
            <w:tcW w:type="dxa" w:w="3226"/>
            <w:vAlign w:val="center"/>
            <w:shd w:val="clear" w:color="auto" w:fill="1F3864"/>
          </w:tcPr>
          <w:p>
            <w:pPr>
              <w:spacing w:before="20" w:after="20"/>
              <w:ind w:left="72"/>
            </w:pPr>
            <w:r>
              <w:rPr>
                <w:b/>
                <w:i w:val="0"/>
                <w:color w:val="FFFFFF"/>
                <w:sz w:val="18"/>
              </w:rPr>
              <w:t>Risk</w:t>
            </w:r>
          </w:p>
        </w:tc>
        <w:tc>
          <w:tcPr>
            <w:tcW w:type="dxa" w:w="3427"/>
            <w:vAlign w:val="center"/>
            <w:shd w:val="clear" w:color="auto" w:fill="1F3864"/>
          </w:tcPr>
          <w:p>
            <w:pPr>
              <w:spacing w:before="20" w:after="20"/>
              <w:ind w:left="72"/>
            </w:pPr>
            <w:r>
              <w:rPr>
                <w:b/>
                <w:i w:val="0"/>
                <w:color w:val="FFFFFF"/>
                <w:sz w:val="18"/>
              </w:rPr>
              <w:t>Severity</w:t>
            </w:r>
          </w:p>
        </w:tc>
        <w:tc>
          <w:tcPr>
            <w:tcW w:type="dxa" w:w="3427"/>
            <w:vAlign w:val="center"/>
            <w:shd w:val="clear" w:color="auto" w:fill="1F3864"/>
          </w:tcPr>
          <w:p>
            <w:pPr>
              <w:spacing w:before="20" w:after="20"/>
              <w:ind w:left="72"/>
            </w:pPr>
            <w:r>
              <w:rPr>
                <w:b/>
                <w:i w:val="0"/>
                <w:color w:val="FFFFFF"/>
                <w:sz w:val="18"/>
              </w:rPr>
              <w:t>Potential Mitigant</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3360"/>
        <w:gridCol w:w="3360"/>
        <w:gridCol w:w="3360"/>
      </w:tblGrid>
      <w:tr>
        <w:trPr>
          <w:trHeight w:val="280"/>
        </w:trPr>
        <w:tc>
          <w:tcPr>
            <w:tcW w:type="dxa" w:w="3226"/>
            <w:vAlign w:val="center"/>
            <w:shd w:val="clear" w:color="auto" w:fill="1F3864"/>
          </w:tcPr>
          <w:p>
            <w:pPr>
              <w:spacing w:before="20" w:after="20"/>
              <w:ind w:left="72"/>
            </w:pPr>
            <w:r>
              <w:rPr>
                <w:b/>
                <w:i w:val="0"/>
                <w:color w:val="FFFFFF"/>
                <w:sz w:val="18"/>
              </w:rPr>
              <w:t>ebitda</w:t>
            </w:r>
            <w:r>
              <w:rPr>
                <w:b/>
                <w:i/>
                <w:color w:val="FFFFFF"/>
                <w:sz w:val="18"/>
              </w:rPr>
              <w:t>margin</w:t>
            </w:r>
            <w:r>
              <w:rPr>
                <w:b/>
                <w:i w:val="0"/>
                <w:color w:val="FFFFFF"/>
                <w:sz w:val="18"/>
              </w:rPr>
              <w:t>pct</w:t>
            </w:r>
          </w:p>
        </w:tc>
        <w:tc>
          <w:tcPr>
            <w:tcW w:type="dxa" w:w="3427"/>
            <w:vAlign w:val="center"/>
            <w:shd w:val="clear" w:color="auto" w:fill="1F3864"/>
          </w:tcPr>
          <w:p>
            <w:pPr>
              <w:spacing w:before="20" w:after="20"/>
              <w:ind w:left="72"/>
            </w:pPr>
            <w:r>
              <w:rPr>
                <w:b/>
                <w:i w:val="0"/>
                <w:color w:val="FFFFFF"/>
                <w:sz w:val="18"/>
              </w:rPr>
              <w:t>Critical</w:t>
            </w:r>
          </w:p>
        </w:tc>
        <w:tc>
          <w:tcPr>
            <w:tcW w:type="dxa" w:w="3427"/>
            <w:vAlign w:val="center"/>
            <w:shd w:val="clear" w:color="auto" w:fill="1F3864"/>
          </w:tcPr>
          <w:p>
            <w:pPr>
              <w:spacing w:before="20" w:after="20"/>
              <w:ind w:left="72"/>
            </w:pPr>
            <w:r>
              <w:rPr>
                <w:b/>
                <w:i w:val="0"/>
                <w:color w:val="FFFFFF"/>
                <w:sz w:val="18"/>
              </w:rPr>
              <w:t>EBITDA margin of 7.9% is below the ~10% threshold, which may indicate labor inefficiency, weak reimbursement, poor scheduling/utilization, high admin burden, or lack of scale. Source: 2024 Elder Care - CIM_vF.pdf.</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3360"/>
        <w:gridCol w:w="3360"/>
        <w:gridCol w:w="3360"/>
      </w:tblGrid>
      <w:tr>
        <w:trPr>
          <w:trHeight w:val="280"/>
        </w:trPr>
        <w:tc>
          <w:tcPr>
            <w:tcW w:type="dxa" w:w="3226"/>
            <w:vAlign w:val="center"/>
            <w:shd w:val="clear" w:color="auto" w:fill="1F3864"/>
          </w:tcPr>
          <w:p>
            <w:pPr>
              <w:spacing w:before="20" w:after="20"/>
              <w:ind w:left="72"/>
            </w:pPr>
            <w:r>
              <w:rPr>
                <w:b/>
                <w:i w:val="0"/>
                <w:color w:val="FFFFFF"/>
                <w:sz w:val="18"/>
              </w:rPr>
              <w:t>large</w:t>
            </w:r>
            <w:r>
              <w:rPr>
                <w:b/>
                <w:i/>
                <w:color w:val="FFFFFF"/>
                <w:sz w:val="18"/>
              </w:rPr>
              <w:t>unsupported</w:t>
            </w:r>
            <w:r>
              <w:rPr>
                <w:b/>
                <w:i w:val="0"/>
                <w:color w:val="FFFFFF"/>
                <w:sz w:val="18"/>
              </w:rPr>
              <w:t>addback</w:t>
            </w:r>
          </w:p>
        </w:tc>
        <w:tc>
          <w:tcPr>
            <w:tcW w:type="dxa" w:w="3427"/>
            <w:vAlign w:val="center"/>
            <w:shd w:val="clear" w:color="auto" w:fill="1F3864"/>
          </w:tcPr>
          <w:p>
            <w:pPr>
              <w:spacing w:before="20" w:after="20"/>
              <w:ind w:left="72"/>
            </w:pPr>
            <w:r>
              <w:rPr>
                <w:b/>
                <w:i w:val="0"/>
                <w:color w:val="FFFFFF"/>
                <w:sz w:val="18"/>
              </w:rPr>
              <w:t>Critical</w:t>
            </w:r>
          </w:p>
        </w:tc>
        <w:tc>
          <w:tcPr>
            <w:tcW w:type="dxa" w:w="3427"/>
            <w:vAlign w:val="center"/>
            <w:shd w:val="clear" w:color="auto" w:fill="1F3864"/>
          </w:tcPr>
          <w:p>
            <w:pPr>
              <w:spacing w:before="20" w:after="20"/>
              <w:ind w:left="72"/>
            </w:pPr>
            <w:r>
              <w:rPr>
                <w:b/>
                <w:i w:val="0"/>
                <w:color w:val="FFFFFF"/>
                <w:sz w:val="18"/>
              </w:rPr>
              <w:t>Addback &gt;5% of EBITDA (13.6%) with no VDR document support: [J] Guided Living pre-acquisition results. Source: 2024 Elder Care - CIM_vF.pdf.</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3360"/>
        <w:gridCol w:w="3360"/>
        <w:gridCol w:w="3360"/>
      </w:tblGrid>
      <w:tr>
        <w:trPr>
          <w:trHeight w:val="280"/>
        </w:trPr>
        <w:tc>
          <w:tcPr>
            <w:tcW w:type="dxa" w:w="3226"/>
            <w:vAlign w:val="center"/>
            <w:shd w:val="clear" w:color="auto" w:fill="1F3864"/>
          </w:tcPr>
          <w:p>
            <w:pPr>
              <w:spacing w:before="20" w:after="20"/>
              <w:ind w:left="72"/>
            </w:pPr>
            <w:r>
              <w:rPr>
                <w:b/>
                <w:i w:val="0"/>
                <w:color w:val="FFFFFF"/>
                <w:sz w:val="18"/>
              </w:rPr>
              <w:t>large</w:t>
            </w:r>
            <w:r>
              <w:rPr>
                <w:b/>
                <w:i/>
                <w:color w:val="FFFFFF"/>
                <w:sz w:val="18"/>
              </w:rPr>
              <w:t>unsupported</w:t>
            </w:r>
            <w:r>
              <w:rPr>
                <w:b/>
                <w:i w:val="0"/>
                <w:color w:val="FFFFFF"/>
                <w:sz w:val="18"/>
              </w:rPr>
              <w:t>addback</w:t>
            </w:r>
          </w:p>
        </w:tc>
        <w:tc>
          <w:tcPr>
            <w:tcW w:type="dxa" w:w="3427"/>
            <w:vAlign w:val="center"/>
            <w:shd w:val="clear" w:color="auto" w:fill="1F3864"/>
          </w:tcPr>
          <w:p>
            <w:pPr>
              <w:spacing w:before="20" w:after="20"/>
              <w:ind w:left="72"/>
            </w:pPr>
            <w:r>
              <w:rPr>
                <w:b/>
                <w:i w:val="0"/>
                <w:color w:val="FFFFFF"/>
                <w:sz w:val="18"/>
              </w:rPr>
              <w:t>Critical</w:t>
            </w:r>
          </w:p>
        </w:tc>
        <w:tc>
          <w:tcPr>
            <w:tcW w:type="dxa" w:w="3427"/>
            <w:vAlign w:val="center"/>
            <w:shd w:val="clear" w:color="auto" w:fill="1F3864"/>
          </w:tcPr>
          <w:p>
            <w:pPr>
              <w:spacing w:before="20" w:after="20"/>
              <w:ind w:left="72"/>
            </w:pPr>
            <w:r>
              <w:rPr>
                <w:b/>
                <w:i w:val="0"/>
                <w:color w:val="FFFFFF"/>
                <w:sz w:val="18"/>
              </w:rPr>
              <w:t>Addback &gt;5% of EBITDA (15.5%) with no VDR document support: [N] Guided Living ramp-up/maturity adjustment. Source: 2024 Elder Care - CIM_vF.pdf.</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3360"/>
        <w:gridCol w:w="3360"/>
        <w:gridCol w:w="3360"/>
      </w:tblGrid>
      <w:tr>
        <w:trPr>
          <w:trHeight w:val="280"/>
        </w:trPr>
        <w:tc>
          <w:tcPr>
            <w:tcW w:type="dxa" w:w="3226"/>
            <w:vAlign w:val="center"/>
            <w:shd w:val="clear" w:color="auto" w:fill="1F3864"/>
          </w:tcPr>
          <w:p>
            <w:pPr>
              <w:spacing w:before="20" w:after="20"/>
              <w:ind w:left="72"/>
            </w:pPr>
            <w:r>
              <w:rPr>
                <w:b/>
                <w:i w:val="0"/>
                <w:color w:val="FFFFFF"/>
                <w:sz w:val="18"/>
              </w:rPr>
              <w:t>large</w:t>
            </w:r>
            <w:r>
              <w:rPr>
                <w:b/>
                <w:i/>
                <w:color w:val="FFFFFF"/>
                <w:sz w:val="18"/>
              </w:rPr>
              <w:t>unsupported</w:t>
            </w:r>
            <w:r>
              <w:rPr>
                <w:b/>
                <w:i w:val="0"/>
                <w:color w:val="FFFFFF"/>
                <w:sz w:val="18"/>
              </w:rPr>
              <w:t>addback</w:t>
            </w:r>
          </w:p>
        </w:tc>
        <w:tc>
          <w:tcPr>
            <w:tcW w:type="dxa" w:w="3427"/>
            <w:vAlign w:val="center"/>
            <w:shd w:val="clear" w:color="auto" w:fill="1F3864"/>
          </w:tcPr>
          <w:p>
            <w:pPr>
              <w:spacing w:before="20" w:after="20"/>
              <w:ind w:left="72"/>
            </w:pPr>
            <w:r>
              <w:rPr>
                <w:b/>
                <w:i w:val="0"/>
                <w:color w:val="FFFFFF"/>
                <w:sz w:val="18"/>
              </w:rPr>
              <w:t>Critical</w:t>
            </w:r>
          </w:p>
        </w:tc>
        <w:tc>
          <w:tcPr>
            <w:tcW w:type="dxa" w:w="3427"/>
            <w:vAlign w:val="center"/>
            <w:shd w:val="clear" w:color="auto" w:fill="1F3864"/>
          </w:tcPr>
          <w:p>
            <w:pPr>
              <w:spacing w:before="20" w:after="20"/>
              <w:ind w:left="72"/>
            </w:pPr>
            <w:r>
              <w:rPr>
                <w:b/>
                <w:i w:val="0"/>
                <w:color w:val="FFFFFF"/>
                <w:sz w:val="18"/>
              </w:rPr>
              <w:t>Addback &gt;5% of EBITDA (24.0%) with no VDR document support: [D] Cash-to-accrual revenue adjustment. Source: 2024 Elder Care - CIM_vF.pdf.</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3360"/>
        <w:gridCol w:w="3360"/>
        <w:gridCol w:w="3360"/>
      </w:tblGrid>
      <w:tr>
        <w:trPr>
          <w:trHeight w:val="280"/>
        </w:trPr>
        <w:tc>
          <w:tcPr>
            <w:tcW w:type="dxa" w:w="3226"/>
            <w:vAlign w:val="center"/>
            <w:shd w:val="clear" w:color="auto" w:fill="1F3864"/>
          </w:tcPr>
          <w:p>
            <w:pPr>
              <w:spacing w:before="20" w:after="20"/>
              <w:ind w:left="72"/>
            </w:pPr>
            <w:r>
              <w:rPr>
                <w:b/>
                <w:i w:val="0"/>
                <w:color w:val="FFFFFF"/>
                <w:sz w:val="18"/>
              </w:rPr>
              <w:t>large</w:t>
            </w:r>
            <w:r>
              <w:rPr>
                <w:b/>
                <w:i/>
                <w:color w:val="FFFFFF"/>
                <w:sz w:val="18"/>
              </w:rPr>
              <w:t>unsupported</w:t>
            </w:r>
            <w:r>
              <w:rPr>
                <w:b/>
                <w:i w:val="0"/>
                <w:color w:val="FFFFFF"/>
                <w:sz w:val="18"/>
              </w:rPr>
              <w:t>addback</w:t>
            </w:r>
          </w:p>
        </w:tc>
        <w:tc>
          <w:tcPr>
            <w:tcW w:type="dxa" w:w="3427"/>
            <w:vAlign w:val="center"/>
            <w:shd w:val="clear" w:color="auto" w:fill="1F3864"/>
          </w:tcPr>
          <w:p>
            <w:pPr>
              <w:spacing w:before="20" w:after="20"/>
              <w:ind w:left="72"/>
            </w:pPr>
            <w:r>
              <w:rPr>
                <w:b/>
                <w:i w:val="0"/>
                <w:color w:val="FFFFFF"/>
                <w:sz w:val="18"/>
              </w:rPr>
              <w:t>Critical</w:t>
            </w:r>
          </w:p>
        </w:tc>
        <w:tc>
          <w:tcPr>
            <w:tcW w:type="dxa" w:w="3427"/>
            <w:vAlign w:val="center"/>
            <w:shd w:val="clear" w:color="auto" w:fill="1F3864"/>
          </w:tcPr>
          <w:p>
            <w:pPr>
              <w:spacing w:before="20" w:after="20"/>
              <w:ind w:left="72"/>
            </w:pPr>
            <w:r>
              <w:rPr>
                <w:b/>
                <w:i w:val="0"/>
                <w:color w:val="FFFFFF"/>
                <w:sz w:val="18"/>
              </w:rPr>
              <w:t>Addback &gt;5% of EBITDA (32.8%) with no VDR document support: [O] Unicity incremental earnings from synergies. Source: 2024 Elder Care - CIM_vF.pdf.</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3360"/>
        <w:gridCol w:w="3360"/>
        <w:gridCol w:w="3360"/>
      </w:tblGrid>
      <w:tr>
        <w:trPr>
          <w:trHeight w:val="280"/>
        </w:trPr>
        <w:tc>
          <w:tcPr>
            <w:tcW w:type="dxa" w:w="3226"/>
            <w:vAlign w:val="center"/>
            <w:shd w:val="clear" w:color="auto" w:fill="1F3864"/>
          </w:tcPr>
          <w:p>
            <w:pPr>
              <w:spacing w:before="20" w:after="20"/>
              <w:ind w:left="72"/>
            </w:pPr>
            <w:r>
              <w:rPr>
                <w:b/>
                <w:i w:val="0"/>
                <w:color w:val="FFFFFF"/>
                <w:sz w:val="18"/>
              </w:rPr>
              <w:t>large</w:t>
            </w:r>
            <w:r>
              <w:rPr>
                <w:b/>
                <w:i/>
                <w:color w:val="FFFFFF"/>
                <w:sz w:val="18"/>
              </w:rPr>
              <w:t>unsupported</w:t>
            </w:r>
            <w:r>
              <w:rPr>
                <w:b/>
                <w:i w:val="0"/>
                <w:color w:val="FFFFFF"/>
                <w:sz w:val="18"/>
              </w:rPr>
              <w:t>addback</w:t>
            </w:r>
          </w:p>
        </w:tc>
        <w:tc>
          <w:tcPr>
            <w:tcW w:type="dxa" w:w="3427"/>
            <w:vAlign w:val="center"/>
            <w:shd w:val="clear" w:color="auto" w:fill="1F3864"/>
          </w:tcPr>
          <w:p>
            <w:pPr>
              <w:spacing w:before="20" w:after="20"/>
              <w:ind w:left="72"/>
            </w:pPr>
            <w:r>
              <w:rPr>
                <w:b/>
                <w:i w:val="0"/>
                <w:color w:val="FFFFFF"/>
                <w:sz w:val="18"/>
              </w:rPr>
              <w:t>Critical</w:t>
            </w:r>
          </w:p>
        </w:tc>
        <w:tc>
          <w:tcPr>
            <w:tcW w:type="dxa" w:w="3427"/>
            <w:vAlign w:val="center"/>
            <w:shd w:val="clear" w:color="auto" w:fill="1F3864"/>
          </w:tcPr>
          <w:p>
            <w:pPr>
              <w:spacing w:before="20" w:after="20"/>
              <w:ind w:left="72"/>
            </w:pPr>
            <w:r>
              <w:rPr>
                <w:b/>
                <w:i w:val="0"/>
                <w:color w:val="FFFFFF"/>
                <w:sz w:val="18"/>
              </w:rPr>
              <w:t>Addback &gt;5% of EBITDA (38.8%) with no VDR document support: [K] Unicity pre-acquisition results. Source: 2024 Elder Care - CIM_vF.pdf.</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3360"/>
        <w:gridCol w:w="3360"/>
        <w:gridCol w:w="3360"/>
      </w:tblGrid>
      <w:tr>
        <w:trPr>
          <w:trHeight w:val="280"/>
        </w:trPr>
        <w:tc>
          <w:tcPr>
            <w:tcW w:type="dxa" w:w="3226"/>
            <w:vAlign w:val="center"/>
            <w:shd w:val="clear" w:color="auto" w:fill="1F3864"/>
          </w:tcPr>
          <w:p>
            <w:pPr>
              <w:spacing w:before="20" w:after="20"/>
              <w:ind w:left="72"/>
            </w:pPr>
            <w:r>
              <w:rPr>
                <w:b/>
                <w:i w:val="0"/>
                <w:color w:val="FFFFFF"/>
                <w:sz w:val="18"/>
              </w:rPr>
              <w:t>large</w:t>
            </w:r>
            <w:r>
              <w:rPr>
                <w:b/>
                <w:i/>
                <w:color w:val="FFFFFF"/>
                <w:sz w:val="18"/>
              </w:rPr>
              <w:t>unsupported</w:t>
            </w:r>
            <w:r>
              <w:rPr>
                <w:b/>
                <w:i w:val="0"/>
                <w:color w:val="FFFFFF"/>
                <w:sz w:val="18"/>
              </w:rPr>
              <w:t>addback</w:t>
            </w:r>
          </w:p>
        </w:tc>
        <w:tc>
          <w:tcPr>
            <w:tcW w:type="dxa" w:w="3427"/>
            <w:vAlign w:val="center"/>
            <w:shd w:val="clear" w:color="auto" w:fill="1F3864"/>
          </w:tcPr>
          <w:p>
            <w:pPr>
              <w:spacing w:before="20" w:after="20"/>
              <w:ind w:left="72"/>
            </w:pPr>
            <w:r>
              <w:rPr>
                <w:b/>
                <w:i w:val="0"/>
                <w:color w:val="FFFFFF"/>
                <w:sz w:val="18"/>
              </w:rPr>
              <w:t>Critical</w:t>
            </w:r>
          </w:p>
        </w:tc>
        <w:tc>
          <w:tcPr>
            <w:tcW w:type="dxa" w:w="3427"/>
            <w:vAlign w:val="center"/>
            <w:shd w:val="clear" w:color="auto" w:fill="1F3864"/>
          </w:tcPr>
          <w:p>
            <w:pPr>
              <w:spacing w:before="20" w:after="20"/>
              <w:ind w:left="72"/>
            </w:pPr>
            <w:r>
              <w:rPr>
                <w:b/>
                <w:i w:val="0"/>
                <w:color w:val="FFFFFF"/>
                <w:sz w:val="18"/>
              </w:rPr>
              <w:t>Addback &gt;5% of EBITDA (5.7%) with no VDR document support: [E] Payroll accrual. Source: 2024 Elder Care - CIM_vF.pdf.</w:t>
            </w:r>
          </w:p>
        </w:tc>
      </w:tr>
    </w:tbl>
    <w:p>
      <w:pPr>
        <w:spacing w:before="40" w:after="40"/>
      </w:pP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3360"/>
        <w:gridCol w:w="3360"/>
        <w:gridCol w:w="3360"/>
      </w:tblGrid>
      <w:tr>
        <w:trPr>
          <w:trHeight w:val="280"/>
        </w:trPr>
        <w:tc>
          <w:tcPr>
            <w:tcW w:type="dxa" w:w="3226"/>
            <w:vAlign w:val="center"/>
            <w:shd w:val="clear" w:color="auto" w:fill="1F3864"/>
          </w:tcPr>
          <w:p>
            <w:pPr>
              <w:spacing w:before="20" w:after="20"/>
              <w:ind w:left="72"/>
            </w:pPr>
            <w:r>
              <w:rPr>
                <w:b/>
                <w:i w:val="0"/>
                <w:color w:val="FFFFFF"/>
                <w:sz w:val="18"/>
              </w:rPr>
              <w:t>large</w:t>
            </w:r>
            <w:r>
              <w:rPr>
                <w:b/>
                <w:i/>
                <w:color w:val="FFFFFF"/>
                <w:sz w:val="18"/>
              </w:rPr>
              <w:t>unsupported</w:t>
            </w:r>
            <w:r>
              <w:rPr>
                <w:b/>
                <w:i w:val="0"/>
                <w:color w:val="FFFFFF"/>
                <w:sz w:val="18"/>
              </w:rPr>
              <w:t>addback</w:t>
            </w:r>
          </w:p>
        </w:tc>
        <w:tc>
          <w:tcPr>
            <w:tcW w:type="dxa" w:w="3427"/>
            <w:vAlign w:val="center"/>
            <w:shd w:val="clear" w:color="auto" w:fill="1F3864"/>
          </w:tcPr>
          <w:p>
            <w:pPr>
              <w:spacing w:before="20" w:after="20"/>
              <w:ind w:left="72"/>
            </w:pPr>
            <w:r>
              <w:rPr>
                <w:b/>
                <w:i w:val="0"/>
                <w:color w:val="FFFFFF"/>
                <w:sz w:val="18"/>
              </w:rPr>
              <w:t>Critical</w:t>
            </w:r>
          </w:p>
        </w:tc>
        <w:tc>
          <w:tcPr>
            <w:tcW w:type="dxa" w:w="3427"/>
            <w:vAlign w:val="center"/>
            <w:shd w:val="clear" w:color="auto" w:fill="1F3864"/>
          </w:tcPr>
          <w:p>
            <w:pPr>
              <w:spacing w:before="20" w:after="20"/>
              <w:ind w:left="72"/>
            </w:pPr>
            <w:r>
              <w:rPr>
                <w:b/>
                <w:i w:val="0"/>
                <w:color w:val="FFFFFF"/>
                <w:sz w:val="18"/>
              </w:rPr>
              <w:t>Addback &gt;5% of EBITDA (6.6%) with no VDR document support: [B] Non-recurring transactions. Source: 2024 Elder Care - CIM_vF.pdf.</w:t>
            </w:r>
          </w:p>
        </w:tc>
      </w:tr>
    </w:tbl>
    <w:p>
      <w:pPr>
        <w:spacing w:before="40" w:after="40"/>
      </w:pPr>
    </w:p>
    <w:p>
      <w:pPr>
        <w:spacing w:before="80" w:after="80"/>
        <w:pBdr>
          <w:bottom w:val="single" w:sz="4" w:space="1" w:color="1F3864"/>
        </w:pBdr>
      </w:pPr>
    </w:p>
    <w:p>
      <w:pPr>
        <w:spacing w:before="240" w:after="60"/>
        <w:pBdr>
          <w:bottom w:val="single" w:sz="8" w:space="1" w:color="1F3864"/>
        </w:pBdr>
      </w:pPr>
      <w:r>
        <w:rPr>
          <w:b/>
          <w:color w:val="1F3864"/>
          <w:sz w:val="26"/>
        </w:rPr>
        <w:t>Confidence Scoring</w:t>
      </w:r>
    </w:p>
    <w:tbl>
      <w:tblPr>
        <w:tblStyle w:val="TableGrid"/>
        <w:tblW w:type="auto" w:w="0"/>
        <w:tblLook w:firstColumn="1" w:firstRow="1" w:lastColumn="0" w:lastRow="0" w:noHBand="0" w:noVBand="1" w:val="04A0"/>
        <w:tblBorders>
          <w:top w:val="single" w:sz="4" w:space="0" w:color="BFD0E8"/>
          <w:left w:val="single" w:sz="4" w:space="0" w:color="BFD0E8"/>
          <w:bottom w:val="single" w:sz="4" w:space="0" w:color="BFD0E8"/>
          <w:right w:val="single" w:sz="4" w:space="0" w:color="BFD0E8"/>
          <w:insideH w:val="single" w:sz="4" w:space="0" w:color="BFD0E8"/>
          <w:insideV w:val="single" w:sz="4" w:space="0" w:color="BFD0E8"/>
        </w:tblBorders>
      </w:tblPr>
      <w:tblGrid>
        <w:gridCol w:w="5040"/>
        <w:gridCol w:w="5040"/>
      </w:tblGrid>
      <w:tr>
        <w:trPr>
          <w:trHeight w:val="280"/>
        </w:trPr>
        <w:tc>
          <w:tcPr>
            <w:tcW w:type="dxa" w:w="3226"/>
            <w:vAlign w:val="center"/>
            <w:shd w:val="clear" w:color="auto" w:fill="1F3864"/>
          </w:tcPr>
          <w:p>
            <w:pPr>
              <w:spacing w:before="20" w:after="20"/>
              <w:ind w:left="72"/>
            </w:pPr>
            <w:r>
              <w:rPr>
                <w:b/>
                <w:i w:val="0"/>
                <w:color w:val="FFFFFF"/>
                <w:sz w:val="18"/>
              </w:rPr>
              <w:t>Area</w:t>
            </w:r>
          </w:p>
        </w:tc>
        <w:tc>
          <w:tcPr>
            <w:tcW w:type="dxa" w:w="6854"/>
            <w:vAlign w:val="center"/>
            <w:shd w:val="clear" w:color="auto" w:fill="1F3864"/>
          </w:tcPr>
          <w:p>
            <w:pPr>
              <w:spacing w:before="20" w:after="20"/>
              <w:ind w:left="72"/>
            </w:pPr>
            <w:r>
              <w:rPr>
                <w:b/>
                <w:i w:val="0"/>
                <w:color w:val="FFFFFF"/>
                <w:sz w:val="18"/>
              </w:rPr>
              <w:t>Confidence</w:t>
            </w:r>
          </w:p>
        </w:tc>
      </w:tr>
      <w:tr>
        <w:trPr>
          <w:trHeight w:val="260"/>
        </w:trPr>
        <w:tc>
          <w:tcPr>
            <w:tcW w:type="dxa" w:w="3226"/>
            <w:vAlign w:val="center"/>
          </w:tcPr>
          <w:p>
            <w:pPr>
              <w:spacing w:before="20" w:after="20"/>
              <w:ind w:left="72"/>
            </w:pPr>
            <w:r>
              <w:rPr>
                <w:b w:val="0"/>
                <w:i w:val="0"/>
                <w:color w:val="000000"/>
                <w:sz w:val="18"/>
              </w:rPr>
              <w:t>Business Model</w:t>
            </w:r>
          </w:p>
        </w:tc>
        <w:tc>
          <w:tcPr>
            <w:tcW w:type="dxa" w:w="6854"/>
            <w:vAlign w:val="center"/>
          </w:tcPr>
          <w:p>
            <w:pPr>
              <w:spacing w:before="20" w:after="20"/>
              <w:ind w:left="72"/>
            </w:pPr>
            <w:r>
              <w:rPr>
                <w:b w:val="0"/>
                <w:i w:val="0"/>
                <w:color w:val="000000"/>
                <w:sz w:val="18"/>
              </w:rPr>
              <w:t>Low</w:t>
            </w:r>
          </w:p>
        </w:tc>
      </w:tr>
      <w:tr>
        <w:trPr>
          <w:trHeight w:val="260"/>
        </w:trPr>
        <w:tc>
          <w:tcPr>
            <w:tcW w:type="dxa" w:w="3226"/>
            <w:vAlign w:val="center"/>
            <w:shd w:val="clear" w:color="auto" w:fill="EEF3FA"/>
          </w:tcPr>
          <w:p>
            <w:pPr>
              <w:spacing w:before="20" w:after="20"/>
              <w:ind w:left="72"/>
            </w:pPr>
            <w:r>
              <w:rPr>
                <w:b w:val="0"/>
                <w:i w:val="0"/>
                <w:color w:val="000000"/>
                <w:sz w:val="18"/>
              </w:rPr>
              <w:t>Financial Trends</w:t>
            </w:r>
          </w:p>
        </w:tc>
        <w:tc>
          <w:tcPr>
            <w:tcW w:type="dxa" w:w="6854"/>
            <w:vAlign w:val="center"/>
            <w:shd w:val="clear" w:color="auto" w:fill="EEF3FA"/>
          </w:tcPr>
          <w:p>
            <w:pPr>
              <w:spacing w:before="20" w:after="20"/>
              <w:ind w:left="72"/>
            </w:pPr>
            <w:r>
              <w:rPr>
                <w:b w:val="0"/>
                <w:i w:val="0"/>
                <w:color w:val="000000"/>
                <w:sz w:val="18"/>
              </w:rPr>
              <w:t>High</w:t>
            </w:r>
          </w:p>
        </w:tc>
      </w:tr>
      <w:tr>
        <w:trPr>
          <w:trHeight w:val="260"/>
        </w:trPr>
        <w:tc>
          <w:tcPr>
            <w:tcW w:type="dxa" w:w="3226"/>
            <w:vAlign w:val="center"/>
          </w:tcPr>
          <w:p>
            <w:pPr>
              <w:spacing w:before="20" w:after="20"/>
              <w:ind w:left="72"/>
            </w:pPr>
            <w:r>
              <w:rPr>
                <w:b w:val="0"/>
                <w:i w:val="0"/>
                <w:color w:val="000000"/>
                <w:sz w:val="18"/>
              </w:rPr>
              <w:t>Customer Quality</w:t>
            </w:r>
          </w:p>
        </w:tc>
        <w:tc>
          <w:tcPr>
            <w:tcW w:type="dxa" w:w="6854"/>
            <w:vAlign w:val="center"/>
          </w:tcPr>
          <w:p>
            <w:pPr>
              <w:spacing w:before="20" w:after="20"/>
              <w:ind w:left="72"/>
            </w:pPr>
            <w:r>
              <w:rPr>
                <w:b w:val="0"/>
                <w:i w:val="0"/>
                <w:color w:val="000000"/>
                <w:sz w:val="18"/>
              </w:rPr>
              <w:t>Low</w:t>
            </w:r>
          </w:p>
        </w:tc>
      </w:tr>
      <w:tr>
        <w:trPr>
          <w:trHeight w:val="260"/>
        </w:trPr>
        <w:tc>
          <w:tcPr>
            <w:tcW w:type="dxa" w:w="3226"/>
            <w:vAlign w:val="center"/>
            <w:shd w:val="clear" w:color="auto" w:fill="EEF3FA"/>
          </w:tcPr>
          <w:p>
            <w:pPr>
              <w:spacing w:before="20" w:after="20"/>
              <w:ind w:left="72"/>
            </w:pPr>
            <w:r>
              <w:rPr>
                <w:b w:val="0"/>
                <w:i w:val="0"/>
                <w:color w:val="000000"/>
                <w:sz w:val="18"/>
              </w:rPr>
              <w:t>KPI Analysis</w:t>
            </w:r>
          </w:p>
        </w:tc>
        <w:tc>
          <w:tcPr>
            <w:tcW w:type="dxa" w:w="6854"/>
            <w:vAlign w:val="center"/>
            <w:shd w:val="clear" w:color="auto" w:fill="EEF3FA"/>
          </w:tcPr>
          <w:p>
            <w:pPr>
              <w:spacing w:before="20" w:after="20"/>
              <w:ind w:left="72"/>
            </w:pPr>
            <w:r>
              <w:rPr>
                <w:b w:val="0"/>
                <w:i w:val="0"/>
                <w:color w:val="000000"/>
                <w:sz w:val="18"/>
              </w:rPr>
              <w:t>Low</w:t>
            </w:r>
          </w:p>
        </w:tc>
      </w:tr>
      <w:tr>
        <w:trPr>
          <w:trHeight w:val="260"/>
        </w:trPr>
        <w:tc>
          <w:tcPr>
            <w:tcW w:type="dxa" w:w="3226"/>
            <w:vAlign w:val="center"/>
          </w:tcPr>
          <w:p>
            <w:pPr>
              <w:spacing w:before="20" w:after="20"/>
              <w:ind w:left="72"/>
            </w:pPr>
            <w:r>
              <w:rPr>
                <w:b w:val="0"/>
                <w:i w:val="0"/>
                <w:color w:val="000000"/>
                <w:sz w:val="18"/>
              </w:rPr>
              <w:t>Legal Review</w:t>
            </w:r>
          </w:p>
        </w:tc>
        <w:tc>
          <w:tcPr>
            <w:tcW w:type="dxa" w:w="6854"/>
            <w:vAlign w:val="center"/>
          </w:tcPr>
          <w:p>
            <w:pPr>
              <w:spacing w:before="20" w:after="20"/>
              <w:ind w:left="72"/>
            </w:pPr>
            <w:r>
              <w:rPr>
                <w:b w:val="0"/>
                <w:i w:val="0"/>
                <w:color w:val="000000"/>
                <w:sz w:val="18"/>
              </w:rPr>
              <w:t>Medium</w:t>
            </w:r>
          </w:p>
        </w:tc>
      </w:tr>
      <w:tr>
        <w:trPr>
          <w:trHeight w:val="260"/>
        </w:trPr>
        <w:tc>
          <w:tcPr>
            <w:tcW w:type="dxa" w:w="3226"/>
            <w:vAlign w:val="center"/>
            <w:shd w:val="clear" w:color="auto" w:fill="EEF3FA"/>
          </w:tcPr>
          <w:p>
            <w:pPr>
              <w:spacing w:before="20" w:after="20"/>
              <w:ind w:left="72"/>
            </w:pPr>
            <w:r>
              <w:rPr>
                <w:b w:val="0"/>
                <w:i w:val="0"/>
                <w:color w:val="000000"/>
                <w:sz w:val="18"/>
              </w:rPr>
              <w:t>Earnings Quality</w:t>
            </w:r>
          </w:p>
        </w:tc>
        <w:tc>
          <w:tcPr>
            <w:tcW w:type="dxa" w:w="6854"/>
            <w:vAlign w:val="center"/>
            <w:shd w:val="clear" w:color="auto" w:fill="EEF3FA"/>
          </w:tcPr>
          <w:p>
            <w:pPr>
              <w:spacing w:before="20" w:after="20"/>
              <w:ind w:left="72"/>
            </w:pPr>
            <w:r>
              <w:rPr>
                <w:b w:val="0"/>
                <w:i w:val="0"/>
                <w:color w:val="000000"/>
                <w:sz w:val="18"/>
              </w:rPr>
              <w:t>Medium</w:t>
            </w:r>
          </w:p>
        </w:tc>
      </w:tr>
      <w:tr>
        <w:trPr>
          <w:trHeight w:val="260"/>
        </w:trPr>
        <w:tc>
          <w:tcPr>
            <w:tcW w:type="dxa" w:w="3226"/>
            <w:vAlign w:val="center"/>
          </w:tcPr>
          <w:p>
            <w:pPr>
              <w:spacing w:before="20" w:after="20"/>
              <w:ind w:left="72"/>
            </w:pPr>
            <w:r>
              <w:rPr>
                <w:b w:val="0"/>
                <w:i w:val="0"/>
                <w:color w:val="000000"/>
                <w:sz w:val="18"/>
              </w:rPr>
              <w:t>Forecast Support</w:t>
            </w:r>
          </w:p>
        </w:tc>
        <w:tc>
          <w:tcPr>
            <w:tcW w:type="dxa" w:w="6854"/>
            <w:vAlign w:val="center"/>
          </w:tcPr>
          <w:p>
            <w:pPr>
              <w:spacing w:before="20" w:after="20"/>
              <w:ind w:left="72"/>
            </w:pPr>
            <w:r>
              <w:rPr>
                <w:b w:val="0"/>
                <w:i w:val="0"/>
                <w:color w:val="000000"/>
                <w:sz w:val="18"/>
              </w:rPr>
              <w:t>Low</w:t>
            </w:r>
          </w:p>
        </w:tc>
      </w:tr>
    </w:tbl>
    <w:p>
      <w:pPr>
        <w:spacing w:before="40" w:after="40"/>
      </w:pPr>
    </w:p>
    <w:p>
      <w:pPr>
        <w:spacing w:before="80" w:after="80"/>
        <w:pBdr>
          <w:bottom w:val="single" w:sz="4" w:space="1" w:color="1F3864"/>
        </w:pBdr>
      </w:pPr>
    </w:p>
    <w:p>
      <w:pPr>
        <w:spacing w:before="240" w:after="60"/>
        <w:pBdr>
          <w:bottom w:val="single" w:sz="8" w:space="1" w:color="1F3864"/>
        </w:pBdr>
      </w:pPr>
      <w:r>
        <w:rPr>
          <w:b/>
          <w:color w:val="1F3864"/>
          <w:sz w:val="26"/>
        </w:rPr>
        <w:t>Preliminary View — Closing</w:t>
      </w:r>
    </w:p>
    <w:p>
      <w:pPr>
        <w:spacing w:before="80" w:after="160"/>
        <w:ind w:left="173" w:right="173"/>
        <w:shd w:val="clear" w:color="auto" w:fill="F2F4F7"/>
      </w:pPr>
      <w:r>
        <w:rPr>
          <w:b w:val="0"/>
          <w:i/>
          <w:color w:val="595959"/>
          <w:sz w:val="19"/>
        </w:rPr>
        <w:t>[!IMPORTANT]</w:t>
      </w:r>
    </w:p>
    <w:p>
      <w:pPr>
        <w:spacing w:before="80" w:after="160"/>
        <w:ind w:left="173" w:right="173"/>
        <w:shd w:val="clear" w:color="auto" w:fill="F2F4F7"/>
      </w:pPr>
      <w:r>
        <w:rPr>
          <w:b w:val="0"/>
          <w:i/>
          <w:color w:val="595959"/>
          <w:sz w:val="19"/>
        </w:rPr>
        <w:t>Elder Care presents a home care platform with a compelling client retention profile, a differentiated cost structure, and a multi-year organic growth track record. The key open questions center on the quality and supportability of the adjusted financial figures — particularly the magnitude of addbacks relative to reported EBITDA, the revenue adjustment stack, and the realizability of acquisition synergies — as well as the absence of several standard operational KPIs that are material to assessing care quality, workforce stability, and payor risk. These items should be prioritized in confirmatory diligence before forming a view on normalized earnings power.</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