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3864"/>
          <w:sz w:val="40"/>
        </w:rPr>
        <w:t>Elder Care — TL;DR One-Pager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Vertical:</w:t>
      </w:r>
      <w:r>
        <w:rPr>
          <w:b w:val="0"/>
          <w:i w:val="0"/>
          <w:color w:val="000000"/>
          <w:sz w:val="19"/>
        </w:rPr>
        <w:t xml:space="preserve"> healthcare_services</w:t>
      </w:r>
    </w:p>
    <w:p>
      <w:pPr>
        <w:spacing w:before="60" w:after="160"/>
        <w:jc w:val="center"/>
      </w:pPr>
      <w:r>
        <w:rPr>
          <w:i/>
          <w:color w:val="595959"/>
          <w:sz w:val="18"/>
        </w:rPr>
        <w:t>Generated: 2026-06-29T23:01:39.102326Z</w:t>
      </w:r>
    </w:p>
    <w:p>
      <w:pPr>
        <w:spacing w:before="80" w:after="40"/>
      </w:pPr>
      <w:r>
        <w:rPr>
          <w:b/>
          <w:i w:val="0"/>
          <w:color w:val="000000"/>
          <w:sz w:val="19"/>
        </w:rPr>
        <w:t>Overall Confidence:</w:t>
      </w:r>
      <w:r>
        <w:rPr>
          <w:b w:val="0"/>
          <w:i w:val="0"/>
          <w:color w:val="000000"/>
          <w:sz w:val="19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Revenue CAGR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376%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Growth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72% YoY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EBITDA Margin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43.4%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Revenue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$2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In One Line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Strong revenue growth: clients expanded 376% from 125 (Q1-2020) to 595 (Q4-2024E), with 72% YoY growth in the most recent year driven by acquisitions in NJ and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Preliminary View</w:t>
      </w:r>
    </w:p>
    <w:p>
      <w:pPr>
        <w:spacing w:before="160" w:after="40"/>
      </w:pPr>
      <w:r>
        <w:rPr>
          <w:b/>
          <w:color w:val="2E75B6"/>
          <w:sz w:val="22"/>
        </w:rPr>
        <w:t>Strengths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Strong revenue growth: clients expanded 376% from 125 (Q1-2020) to 595 (Q4-2024E), with 72% YoY growth in the most recent year driven by acquisitions in NJ and MA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64% private-pay revenue concentration reduces government reimbursement rate risk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Pro forma adjusted gross margin of 43.4% (TTM Aug-2024) is above typical home care benchmarks; HHA/Live-In line carries 54.2% gross margin</w:t>
      </w:r>
    </w:p>
    <w:p>
      <w:pPr>
        <w:spacing w:before="160" w:after="40"/>
      </w:pPr>
      <w:r>
        <w:rPr>
          <w:b/>
          <w:color w:val="2E75B6"/>
          <w:sz w:val="22"/>
        </w:rPr>
        <w:t>Concerns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Revenue durability flagged Yellow: 40–70% recurring/contracted revenue band; forward backlog and contracted revenue % not quantified in available documents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Financial data room is materially incomplete: no consolidated EBITDA, gross margin trend, or full-year P&amp;L extracted from source documents; reported EBITDA of $2,773K (2023) is low relative to TTM revenue of $35.1M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Nine Tier 4 addback line items (one-time expenses) in the projection model carry zero dollar amounts and no supporting documentation — addback quality cannot be assessed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Legal Snapshot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Assessed:</w:t>
      </w:r>
      <w:r>
        <w:rPr>
          <w:b w:val="0"/>
          <w:i w:val="0"/>
          <w:color w:val="000000"/>
          <w:sz w:val="19"/>
        </w:rPr>
        <w:t xml:space="preserve"> 7 / 11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Section confidence:</w:t>
      </w:r>
      <w:r>
        <w:rPr>
          <w:b w:val="0"/>
          <w:i w:val="0"/>
          <w:color w:val="000000"/>
          <w:sz w:val="19"/>
        </w:rPr>
        <w:t xml:space="preserve"> high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Open legal matter (other): Engagement of outside counsel (Peter Ackerman Esq.) for collection of patient receivables on behalf of Eldercare Homecare, Inc.. Source: April 30 2025 Fully Executed Retainer Agreement for C...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(Consultant shall comply with all mandatory rules and regulations adopted by Company; comply with all applicable laws; not violate public conventions, morals, or standards of decency.) in Consulta...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(Licensee acknowledges Licensor has not made warranties or representations except as expressly set forth in the License Agreement or other written agreements made concurrently.) in Licensor (unnam...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(Seller's Owner as Guarantor irrevocably guarantees obligations; Seller shall not make unscheduled changes to working capital accounts; no changes to operations without Buyer's prior written conse...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Restrictive covenant (Tenant shall not transfer or assign interest in Lease, mortgage, pledge or encumber Lease or Demised Premises without compliance with assignment provisions.) in Landlord (unnamed — Manhattan) con...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Quality of Earnings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/>
          <w:i w:val="0"/>
          <w:color w:val="000000"/>
          <w:sz w:val="19"/>
        </w:rPr>
        <w:t>Tier summary:</w:t>
      </w:r>
      <w:r>
        <w:rPr>
          <w:b w:val="0"/>
          <w:i w:val="0"/>
          <w:color w:val="000000"/>
          <w:sz w:val="19"/>
        </w:rPr>
        <w:t xml:space="preserve"> The company has several one-time expenses with no documentation or explanation provided. The reported EBITDA for 2023 is $2,773.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9 Tier 4 addbacks with undocumented or zero amounts — unlikely to survive buyer QoE (see full report).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Top Risks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Mitigant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open</w:t>
            </w:r>
            <w:r>
              <w:rPr>
                <w:b/>
                <w:i/>
                <w:color w:val="FFFFFF"/>
                <w:sz w:val="18"/>
              </w:rPr>
              <w:t>legal</w:t>
            </w:r>
            <w:r>
              <w:rPr>
                <w:b/>
                <w:i w:val="0"/>
                <w:color w:val="FFFFFF"/>
                <w:sz w:val="18"/>
              </w:rPr>
              <w:t>matter_other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other: Engagement of outside counsel (Peter Ackerman Esq.) for collection of patient re (April 30 2025 Fully Executed Retainer Agreement for Collection Efforts by Peter Ackerman Esq.pdf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Open legal matter (other): Engagement of outside counsel (Peter Ackerman Esq.) for collection of patient receivables on behalf of Eldercare Homecare, Inc.. Source: April 30 2025 Fully Executed Retainer Agreement for Collection Efforts by Peter Ackerman Esq.pdf.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2520"/>
        <w:gridCol w:w="2520"/>
        <w:gridCol w:w="2520"/>
        <w:gridCol w:w="252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tier4_addback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critical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One Time Expenses ($0) (Elder Care Projection Model Refresh_vF.xlsx (+6 related)</w:t>
            </w:r>
          </w:p>
        </w:tc>
        <w:tc>
          <w:tcPr>
            <w:tcW w:type="dxa" w:w="2285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Tier 4 addback: One Time Expenses ($0) — unlikely to survive buyer QofE. Source: Elder Care Projection Model Refresh_vF.xlsx.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Priority Diligence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3360"/>
        <w:gridCol w:w="3360"/>
        <w:gridCol w:w="336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Priority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3360"/>
        <w:gridCol w:w="3360"/>
        <w:gridCol w:w="336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legal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Request and review Healthcare Referral Agreements</w:t>
            </w:r>
          </w:p>
        </w:tc>
        <w:tc>
          <w:tcPr>
            <w:tcW w:type="dxa" w:w="3427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Open Items / Data Requests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Customer contracts — termination for convenience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Change-of-control clauses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Platform / reseller / channel dependencies</w:t>
      </w:r>
    </w:p>
    <w:p>
      <w:pPr>
        <w:spacing w:before="20" w:after="20"/>
        <w:ind w:left="360" w:hanging="259"/>
      </w:pPr>
      <w:r>
        <w:rPr>
          <w:color w:val="000000"/>
          <w:sz w:val="19"/>
        </w:rPr>
        <w:t xml:space="preserve">• </w:t>
      </w:r>
      <w:r>
        <w:rPr>
          <w:b w:val="0"/>
          <w:i w:val="0"/>
          <w:color w:val="000000"/>
          <w:sz w:val="19"/>
        </w:rPr>
        <w:t>IP ownership, assignment, OSS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Confidence by Area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D0E8"/>
          <w:left w:val="single" w:sz="4" w:space="0" w:color="BFD0E8"/>
          <w:bottom w:val="single" w:sz="4" w:space="0" w:color="BFD0E8"/>
          <w:right w:val="single" w:sz="4" w:space="0" w:color="BFD0E8"/>
          <w:insideH w:val="single" w:sz="4" w:space="0" w:color="BFD0E8"/>
          <w:insideV w:val="single" w:sz="4" w:space="0" w:color="BFD0E8"/>
        </w:tblBorders>
      </w:tblPr>
      <w:tblGrid>
        <w:gridCol w:w="5040"/>
        <w:gridCol w:w="5040"/>
      </w:tblGrid>
      <w:tr>
        <w:trPr>
          <w:trHeight w:val="280"/>
        </w:trPr>
        <w:tc>
          <w:tcPr>
            <w:tcW w:type="dxa" w:w="3226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854"/>
            <w:vAlign w:val="center"/>
            <w:shd w:val="clear" w:color="auto" w:fill="1F3864"/>
          </w:tcPr>
          <w:p>
            <w:pPr>
              <w:spacing w:before="20" w:after="20"/>
              <w:ind w:left="72"/>
            </w:pPr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Business Model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Financial Trends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Customer Quality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KPI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Legal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Quality of Earnings</w:t>
            </w:r>
          </w:p>
        </w:tc>
        <w:tc>
          <w:tcPr>
            <w:tcW w:type="dxa" w:w="6854"/>
            <w:vAlign w:val="center"/>
            <w:shd w:val="clear" w:color="auto" w:fill="EEF3FA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medium</w:t>
            </w:r>
          </w:p>
        </w:tc>
      </w:tr>
      <w:tr>
        <w:trPr>
          <w:trHeight w:val="260"/>
        </w:trPr>
        <w:tc>
          <w:tcPr>
            <w:tcW w:type="dxa" w:w="3226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Forecast Support</w:t>
            </w:r>
          </w:p>
        </w:tc>
        <w:tc>
          <w:tcPr>
            <w:tcW w:type="dxa" w:w="6854"/>
            <w:vAlign w:val="center"/>
          </w:tcPr>
          <w:p>
            <w:pPr>
              <w:spacing w:before="20" w:after="20"/>
              <w:ind w:left="72"/>
            </w:pPr>
            <w:r>
              <w:rPr>
                <w:b w:val="0"/>
                <w:i w:val="0"/>
                <w:color w:val="000000"/>
                <w:sz w:val="18"/>
              </w:rPr>
              <w:t>low</w:t>
            </w:r>
          </w:p>
        </w:tc>
      </w:tr>
    </w:tbl>
    <w:p>
      <w:pPr>
        <w:spacing w:before="40" w:after="40"/>
      </w:pPr>
    </w:p>
    <w:p>
      <w:pPr>
        <w:spacing w:before="80" w:after="80"/>
        <w:pBdr>
          <w:bottom w:val="single" w:sz="4" w:space="1" w:color="1F3864"/>
        </w:pBdr>
      </w:pPr>
    </w:p>
    <w:p>
      <w:pPr>
        <w:spacing w:before="80" w:after="160"/>
        <w:ind w:left="173" w:right="173"/>
        <w:shd w:val="clear" w:color="auto" w:fill="F2F4F7"/>
      </w:pPr>
      <w:r>
        <w:rPr>
          <w:b/>
          <w:i/>
          <w:color w:val="595959"/>
          <w:sz w:val="19"/>
        </w:rPr>
        <w:t>Demo Disclaimer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&gt;</w:t>
      </w:r>
    </w:p>
    <w:p>
      <w:pPr>
        <w:spacing w:before="80" w:after="160"/>
        <w:ind w:left="173" w:right="173"/>
        <w:shd w:val="clear" w:color="auto" w:fill="F2F4F7"/>
      </w:pPr>
      <w:r>
        <w:rPr>
          <w:b w:val="0"/>
          <w:i/>
          <w:color w:val="595959"/>
          <w:sz w:val="19"/>
        </w:rPr>
        <w:t>Preliminary demo synthesis for diligence orientation only. Not investment advice or a recommendation to buy, sell, or hold.</w:t>
      </w:r>
    </w:p>
    <w:p>
      <w:pPr>
        <w:spacing w:before="80" w:after="80"/>
        <w:pBdr>
          <w:bottom w:val="single" w:sz="4" w:space="1" w:color="1F3864"/>
        </w:pBdr>
      </w:pPr>
    </w:p>
    <w:p>
      <w:pPr>
        <w:spacing w:before="240" w:after="60"/>
        <w:pBdr>
          <w:bottom w:val="single" w:sz="8" w:space="1" w:color="1F3864"/>
        </w:pBdr>
      </w:pPr>
      <w:r>
        <w:rPr>
          <w:b/>
          <w:color w:val="1F3864"/>
          <w:sz w:val="26"/>
        </w:rPr>
        <w:t>Closing</w:t>
      </w:r>
    </w:p>
    <w:p>
      <w:pPr>
        <w:spacing w:before="40" w:after="40"/>
      </w:pPr>
      <w:r>
        <w:rPr>
          <w:b w:val="0"/>
          <w:i w:val="0"/>
          <w:color w:val="000000"/>
          <w:sz w:val="19"/>
        </w:rPr>
        <w:t>This summary is prepared for informational and diligence-scoping purposes only. It does not constitute investment advice, a recommendation to proceed or decline, or a fairness opinion. All figures are sourced from management-provided documents and have not been independently verified.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