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3864"/>
          <w:sz w:val="40"/>
        </w:rPr>
        <w:t>Elder Care — TL;DR One-Pager</w:t>
      </w:r>
    </w:p>
    <w:p>
      <w:pPr>
        <w:spacing w:before="80" w:after="40"/>
      </w:pPr>
      <w:r>
        <w:rPr>
          <w:b/>
          <w:i w:val="0"/>
          <w:color w:val="000000"/>
          <w:sz w:val="19"/>
        </w:rPr>
        <w:t>Vertical:</w:t>
      </w:r>
      <w:r>
        <w:rPr>
          <w:b w:val="0"/>
          <w:i w:val="0"/>
          <w:color w:val="000000"/>
          <w:sz w:val="19"/>
        </w:rPr>
        <w:t xml:space="preserve"> healthcare_services</w:t>
      </w:r>
    </w:p>
    <w:p>
      <w:pPr>
        <w:spacing w:before="60" w:after="160"/>
        <w:jc w:val="center"/>
      </w:pPr>
      <w:r>
        <w:rPr>
          <w:i/>
          <w:color w:val="595959"/>
          <w:sz w:val="18"/>
        </w:rPr>
        <w:t>Generated: 2026-06-30T22:24:01.458256Z</w:t>
      </w:r>
    </w:p>
    <w:p>
      <w:pPr>
        <w:spacing w:before="80" w:after="40"/>
      </w:pPr>
      <w:r>
        <w:rPr>
          <w:b/>
          <w:i w:val="0"/>
          <w:color w:val="000000"/>
          <w:sz w:val="19"/>
        </w:rPr>
        <w:t>Overall Confidence:</w:t>
      </w:r>
      <w:r>
        <w:rPr>
          <w:b w:val="0"/>
          <w:i w:val="0"/>
          <w:color w:val="000000"/>
          <w:sz w:val="19"/>
        </w:rPr>
        <w:t xml:space="preserve"> low</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Metric</w:t>
            </w:r>
          </w:p>
        </w:tc>
        <w:tc>
          <w:tcPr>
            <w:tcW w:type="dxa" w:w="6854"/>
            <w:vAlign w:val="center"/>
            <w:shd w:val="clear" w:color="auto" w:fill="1F3864"/>
          </w:tcPr>
          <w:p>
            <w:pPr>
              <w:spacing w:before="20" w:after="20"/>
              <w:ind w:left="72"/>
            </w:pPr>
            <w:r>
              <w:rPr>
                <w:b/>
                <w:i w:val="0"/>
                <w:color w:val="FFFFFF"/>
                <w:sz w:val="18"/>
              </w:rPr>
              <w:t>Value</w:t>
            </w:r>
          </w:p>
        </w:tc>
      </w:tr>
      <w:tr>
        <w:trPr>
          <w:trHeight w:val="260"/>
        </w:trPr>
        <w:tc>
          <w:tcPr>
            <w:tcW w:type="dxa" w:w="3226"/>
            <w:vAlign w:val="center"/>
          </w:tcPr>
          <w:p>
            <w:pPr>
              <w:spacing w:before="20" w:after="20"/>
              <w:ind w:left="72"/>
            </w:pPr>
            <w:r>
              <w:rPr>
                <w:b w:val="0"/>
                <w:i w:val="0"/>
                <w:color w:val="000000"/>
                <w:sz w:val="18"/>
              </w:rPr>
              <w:t>EBITDA Margin</w:t>
            </w:r>
          </w:p>
        </w:tc>
        <w:tc>
          <w:tcPr>
            <w:tcW w:type="dxa" w:w="6854"/>
            <w:vAlign w:val="center"/>
          </w:tcPr>
          <w:p>
            <w:pPr>
              <w:spacing w:before="20" w:after="20"/>
              <w:ind w:left="72"/>
            </w:pPr>
            <w:r>
              <w:rPr>
                <w:b w:val="0"/>
                <w:i w:val="0"/>
                <w:color w:val="000000"/>
                <w:sz w:val="18"/>
              </w:rPr>
              <w:t>30.0%</w:t>
            </w:r>
          </w:p>
        </w:tc>
      </w:tr>
      <w:tr>
        <w:trPr>
          <w:trHeight w:val="260"/>
        </w:trPr>
        <w:tc>
          <w:tcPr>
            <w:tcW w:type="dxa" w:w="3226"/>
            <w:vAlign w:val="center"/>
            <w:shd w:val="clear" w:color="auto" w:fill="EEF3FA"/>
          </w:tcPr>
          <w:p>
            <w:pPr>
              <w:spacing w:before="20" w:after="20"/>
              <w:ind w:left="72"/>
            </w:pPr>
            <w:r>
              <w:rPr>
                <w:b w:val="0"/>
                <w:i w:val="0"/>
                <w:color w:val="000000"/>
                <w:sz w:val="18"/>
              </w:rPr>
              <w:t>Revenue CAGR</w:t>
            </w:r>
          </w:p>
        </w:tc>
        <w:tc>
          <w:tcPr>
            <w:tcW w:type="dxa" w:w="6854"/>
            <w:vAlign w:val="center"/>
            <w:shd w:val="clear" w:color="auto" w:fill="EEF3FA"/>
          </w:tcPr>
          <w:p>
            <w:pPr>
              <w:spacing w:before="20" w:after="20"/>
              <w:ind w:left="72"/>
            </w:pPr>
            <w:r>
              <w:rPr>
                <w:b w:val="0"/>
                <w:i w:val="0"/>
                <w:color w:val="000000"/>
                <w:sz w:val="18"/>
              </w:rPr>
              <w:t>61.7%</w:t>
            </w:r>
          </w:p>
        </w:tc>
      </w:tr>
    </w:tbl>
    <w:p>
      <w:pPr>
        <w:spacing w:before="40" w:after="40"/>
      </w:pPr>
    </w:p>
    <w:p>
      <w:pPr>
        <w:spacing w:before="80" w:after="80"/>
        <w:pBdr>
          <w:bottom w:val="single" w:sz="4" w:space="1" w:color="1F3864"/>
        </w:pBdr>
      </w:pPr>
    </w:p>
    <w:p>
      <w:pPr>
        <w:spacing w:before="240" w:after="60"/>
        <w:pBdr>
          <w:bottom w:val="single" w:sz="8" w:space="1" w:color="1F3864"/>
        </w:pBdr>
      </w:pPr>
      <w:r>
        <w:rPr>
          <w:b/>
          <w:color w:val="1F3864"/>
          <w:sz w:val="26"/>
        </w:rPr>
        <w:t>In One Line</w:t>
      </w:r>
    </w:p>
    <w:p>
      <w:pPr>
        <w:spacing w:before="40" w:after="40"/>
      </w:pPr>
      <w:r>
        <w:rPr>
          <w:b w:val="0"/>
          <w:i w:val="0"/>
          <w:color w:val="000000"/>
          <w:sz w:val="19"/>
        </w:rPr>
        <w:t>Elder Care is a multi-market private-pay home care platform serving ~595 clients across NY, NJ, MA, and CT, with reported net revenue of $35.1M and PF adjusted EBITDA of $9.2M (19.9% margin) for TTM Aug-24, supported by strong client tenure (57% with 4+ years) and a differentiated offshore staffing model, but requiring close scrutiny of $11.3M in combined revenue adjustments, a reported EBITDA of only $2.8M, and an addback stack representing ~247% of reported EBITDA.</w:t>
      </w:r>
    </w:p>
    <w:p>
      <w:pPr>
        <w:spacing w:before="80" w:after="80"/>
        <w:pBdr>
          <w:bottom w:val="single" w:sz="4" w:space="1" w:color="1F3864"/>
        </w:pBdr>
      </w:pPr>
    </w:p>
    <w:p>
      <w:pPr>
        <w:spacing w:before="240" w:after="60"/>
        <w:pBdr>
          <w:bottom w:val="single" w:sz="8" w:space="1" w:color="1F3864"/>
        </w:pBdr>
      </w:pPr>
      <w:r>
        <w:rPr>
          <w:b/>
          <w:color w:val="1F3864"/>
          <w:sz w:val="26"/>
        </w:rPr>
        <w:t>Preliminary View</w:t>
      </w:r>
    </w:p>
    <w:p>
      <w:pPr>
        <w:spacing w:before="160" w:after="40"/>
      </w:pPr>
      <w:r>
        <w:rPr>
          <w:b/>
          <w:color w:val="2E75B6"/>
          <w:sz w:val="22"/>
        </w:rPr>
        <w:t>Strengths</w:t>
      </w:r>
    </w:p>
    <w:p>
      <w:pPr>
        <w:spacing w:before="20" w:after="20"/>
        <w:ind w:left="360" w:hanging="259"/>
      </w:pPr>
      <w:r>
        <w:rPr>
          <w:color w:val="000000"/>
          <w:sz w:val="19"/>
        </w:rPr>
        <w:t xml:space="preserve">• </w:t>
      </w:r>
      <w:r>
        <w:rPr>
          <w:b w:val="0"/>
          <w:i w:val="0"/>
          <w:color w:val="000000"/>
          <w:sz w:val="19"/>
        </w:rPr>
        <w:t>Demonstrated organic revenue growth from $9.0M (2020A) to $35.1M reported net revenue (TTM Aug-24), with PF adjusted revenue of $46.4M, reflecting consistent multi-year expansion across existing and newly entered geographies</w:t>
      </w:r>
    </w:p>
    <w:p>
      <w:pPr>
        <w:spacing w:before="20" w:after="20"/>
        <w:ind w:left="360" w:hanging="259"/>
      </w:pPr>
      <w:r>
        <w:rPr>
          <w:color w:val="000000"/>
          <w:sz w:val="19"/>
        </w:rPr>
        <w:t xml:space="preserve">• </w:t>
      </w:r>
      <w:r>
        <w:rPr>
          <w:b w:val="0"/>
          <w:i w:val="0"/>
          <w:color w:val="000000"/>
          <w:sz w:val="19"/>
        </w:rPr>
        <w:t>Strong client retention signal: 57% of active clients have been with the company 4+ years, and total client count grew 376% from 125 (Q1-20) to 595 (Q4-24E), indicating durable demand and low voluntary churn</w:t>
      </w:r>
    </w:p>
    <w:p>
      <w:pPr>
        <w:spacing w:before="20" w:after="20"/>
        <w:ind w:left="360" w:hanging="259"/>
      </w:pPr>
      <w:r>
        <w:rPr>
          <w:color w:val="000000"/>
          <w:sz w:val="19"/>
        </w:rPr>
        <w:t xml:space="preserve">• </w:t>
      </w:r>
      <w:r>
        <w:rPr>
          <w:b w:val="0"/>
          <w:i w:val="0"/>
          <w:color w:val="000000"/>
          <w:sz w:val="19"/>
        </w:rPr>
        <w:t>Differentiated hybrid staffing model with ~41% of the 108-person admin team based offshore (Philippines), enabling 24/7 caregiver support, on-call coverage, and scheduling at materially lower cost — a structural margin advantage relative to pure domestic operators</w:t>
      </w:r>
    </w:p>
    <w:p>
      <w:pPr>
        <w:spacing w:before="160" w:after="40"/>
      </w:pPr>
      <w:r>
        <w:rPr>
          <w:b/>
          <w:color w:val="2E75B6"/>
          <w:sz w:val="22"/>
        </w:rPr>
        <w:t>Concerns</w:t>
      </w:r>
    </w:p>
    <w:p>
      <w:pPr>
        <w:spacing w:before="20" w:after="20"/>
        <w:ind w:left="360" w:hanging="259"/>
      </w:pPr>
      <w:r>
        <w:rPr>
          <w:color w:val="000000"/>
          <w:sz w:val="19"/>
        </w:rPr>
        <w:t xml:space="preserve">• </w:t>
      </w:r>
      <w:r>
        <w:rPr>
          <w:b w:val="0"/>
          <w:i w:val="0"/>
          <w:color w:val="000000"/>
          <w:sz w:val="19"/>
        </w:rPr>
        <w:t>Government and quasi-government payor concentration (Medicaid Waiver 11%, VA 7%, LTC Insurance 11%) totals approximately 29% of stated revenue, with Medicare and Managed Care not separately broken out — actual government exposure may be higher and warrants payor-level reimbursement rate analysis</w:t>
      </w:r>
    </w:p>
    <w:p>
      <w:pPr>
        <w:spacing w:before="20" w:after="20"/>
        <w:ind w:left="360" w:hanging="259"/>
      </w:pPr>
      <w:r>
        <w:rPr>
          <w:color w:val="000000"/>
          <w:sz w:val="19"/>
        </w:rPr>
        <w:t xml:space="preserve">• </w:t>
      </w:r>
      <w:r>
        <w:rPr>
          <w:b w:val="0"/>
          <w:i w:val="0"/>
          <w:color w:val="000000"/>
          <w:sz w:val="19"/>
        </w:rPr>
        <w:t>Reported EBITDA of $2.8M (7.9% margin, TTM Aug-24) is materially below the PF adjusted figure of $9.2M; the gap is bridged by addbacks totaling approximately 247% of reported EBITDA, including forward-looking synergy and ramp-up adjustments ([N], [O], [P]) that are not yet realized and carry execution risk</w:t>
      </w:r>
    </w:p>
    <w:p>
      <w:pPr>
        <w:spacing w:before="20" w:after="20"/>
        <w:ind w:left="360" w:hanging="259"/>
      </w:pPr>
      <w:r>
        <w:rPr>
          <w:color w:val="000000"/>
          <w:sz w:val="19"/>
        </w:rPr>
        <w:t xml:space="preserve">• </w:t>
      </w:r>
      <w:r>
        <w:rPr>
          <w:b w:val="0"/>
          <w:i w:val="0"/>
          <w:color w:val="000000"/>
          <w:sz w:val="19"/>
        </w:rPr>
        <w:t>Combined revenue adjustments of approximately $11.3M ($9.6M diligence + $1.7M pro forma) represent ~32% of the PF adjusted revenue figure of $46.4M — the magnitude and composition of these adjustments require independent QofE validation before any reliance on adjusted figures</w:t>
      </w:r>
    </w:p>
    <w:p>
      <w:pPr>
        <w:spacing w:before="80" w:after="80"/>
        <w:pBdr>
          <w:bottom w:val="single" w:sz="4" w:space="1" w:color="1F3864"/>
        </w:pBdr>
      </w:pPr>
    </w:p>
    <w:p>
      <w:pPr>
        <w:spacing w:before="240" w:after="60"/>
        <w:pBdr>
          <w:bottom w:val="single" w:sz="8" w:space="1" w:color="1F3864"/>
        </w:pBdr>
      </w:pPr>
      <w:r>
        <w:rPr>
          <w:b/>
          <w:color w:val="1F3864"/>
          <w:sz w:val="26"/>
        </w:rPr>
        <w:t>Business Snapshot</w:t>
      </w:r>
    </w:p>
    <w:p>
      <w:pPr>
        <w:spacing w:before="40" w:after="40"/>
      </w:pPr>
      <w:r>
        <w:rPr>
          <w:b w:val="0"/>
          <w:i w:val="0"/>
          <w:color w:val="000000"/>
          <w:sz w:val="19"/>
        </w:rPr>
        <w:t>Home Health Aides (Unskilled Care).</w:t>
      </w:r>
    </w:p>
    <w:p>
      <w:pPr>
        <w:spacing w:before="80" w:after="80"/>
        <w:pBdr>
          <w:bottom w:val="single" w:sz="4" w:space="1" w:color="1F3864"/>
        </w:pBdr>
      </w:pPr>
    </w:p>
    <w:p>
      <w:pPr>
        <w:spacing w:before="240" w:after="60"/>
        <w:pBdr>
          <w:bottom w:val="single" w:sz="8" w:space="1" w:color="1F3864"/>
        </w:pBdr>
      </w:pPr>
      <w:r>
        <w:rPr>
          <w:b/>
          <w:color w:val="1F3864"/>
          <w:sz w:val="26"/>
        </w:rPr>
        <w:t>KPI Dashboard</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2016"/>
        <w:gridCol w:w="2016"/>
        <w:gridCol w:w="2016"/>
        <w:gridCol w:w="2016"/>
        <w:gridCol w:w="2016"/>
      </w:tblGrid>
      <w:tr>
        <w:trPr>
          <w:trHeight w:val="280"/>
        </w:trPr>
        <w:tc>
          <w:tcPr>
            <w:tcW w:type="dxa" w:w="3226"/>
            <w:vAlign w:val="center"/>
            <w:shd w:val="clear" w:color="auto" w:fill="1F3864"/>
          </w:tcPr>
          <w:p>
            <w:pPr>
              <w:spacing w:before="20" w:after="20"/>
              <w:ind w:left="72"/>
            </w:pPr>
            <w:r>
              <w:rPr>
                <w:b/>
                <w:i w:val="0"/>
                <w:color w:val="FFFFFF"/>
                <w:sz w:val="18"/>
              </w:rPr>
              <w:t>Metric</w:t>
            </w:r>
          </w:p>
        </w:tc>
        <w:tc>
          <w:tcPr>
            <w:tcW w:type="dxa" w:w="1714"/>
            <w:vAlign w:val="center"/>
            <w:shd w:val="clear" w:color="auto" w:fill="1F3864"/>
          </w:tcPr>
          <w:p>
            <w:pPr>
              <w:spacing w:before="20" w:after="20"/>
              <w:ind w:left="72"/>
            </w:pPr>
            <w:r>
              <w:rPr>
                <w:b/>
                <w:i w:val="0"/>
                <w:color w:val="FFFFFF"/>
                <w:sz w:val="18"/>
              </w:rPr>
              <w:t>Value</w:t>
            </w:r>
          </w:p>
        </w:tc>
        <w:tc>
          <w:tcPr>
            <w:tcW w:type="dxa" w:w="1714"/>
            <w:vAlign w:val="center"/>
            <w:shd w:val="clear" w:color="auto" w:fill="1F3864"/>
          </w:tcPr>
          <w:p>
            <w:pPr>
              <w:spacing w:before="20" w:after="20"/>
              <w:ind w:left="72"/>
            </w:pPr>
            <w:r>
              <w:rPr>
                <w:b/>
                <w:i w:val="0"/>
                <w:color w:val="FFFFFF"/>
                <w:sz w:val="18"/>
              </w:rPr>
              <w:t>Threshold</w:t>
            </w:r>
          </w:p>
        </w:tc>
        <w:tc>
          <w:tcPr>
            <w:tcW w:type="dxa" w:w="1714"/>
            <w:vAlign w:val="center"/>
            <w:shd w:val="clear" w:color="auto" w:fill="1F3864"/>
          </w:tcPr>
          <w:p>
            <w:pPr>
              <w:spacing w:before="20" w:after="20"/>
              <w:ind w:left="72"/>
            </w:pPr>
            <w:r>
              <w:rPr>
                <w:b/>
                <w:i w:val="0"/>
                <w:color w:val="FFFFFF"/>
                <w:sz w:val="18"/>
              </w:rPr>
              <w:t>Flag</w:t>
            </w:r>
          </w:p>
        </w:tc>
        <w:tc>
          <w:tcPr>
            <w:tcW w:type="dxa" w:w="1714"/>
            <w:vAlign w:val="center"/>
            <w:shd w:val="clear" w:color="auto" w:fill="1F3864"/>
          </w:tcPr>
          <w:p>
            <w:pPr>
              <w:spacing w:before="20" w:after="20"/>
              <w:ind w:left="72"/>
            </w:pPr>
            <w:r>
              <w:rPr>
                <w:b/>
                <w:i w:val="0"/>
                <w:color w:val="FFFFFF"/>
                <w:sz w:val="18"/>
              </w:rPr>
              <w:t>Confidence</w:t>
            </w:r>
          </w:p>
        </w:tc>
      </w:tr>
      <w:tr>
        <w:trPr>
          <w:trHeight w:val="260"/>
        </w:trPr>
        <w:tc>
          <w:tcPr>
            <w:tcW w:type="dxa" w:w="3226"/>
            <w:vAlign w:val="center"/>
          </w:tcPr>
          <w:p>
            <w:pPr>
              <w:spacing w:before="20" w:after="20"/>
              <w:ind w:left="72"/>
            </w:pPr>
            <w:r>
              <w:rPr>
                <w:b w:val="0"/>
                <w:i w:val="0"/>
                <w:color w:val="000000"/>
                <w:sz w:val="18"/>
              </w:rPr>
              <w:t>Census Or Patient Panel</w:t>
            </w:r>
          </w:p>
        </w:tc>
        <w:tc>
          <w:tcPr>
            <w:tcW w:type="dxa" w:w="1714"/>
            <w:vAlign w:val="center"/>
          </w:tcPr>
          <w:p>
            <w:pPr>
              <w:spacing w:before="20" w:after="20"/>
              <w:ind w:left="72"/>
            </w:pPr>
            <w:r>
              <w:rPr>
                <w:b w:val="0"/>
                <w:i w:val="0"/>
                <w:color w:val="000000"/>
                <w:sz w:val="18"/>
              </w:rPr>
              <w:t>73 active CNA/HHA caregivers as of 12/30/23; active caregivers on shifts ranged from 69–76 over July–December 2023</w:t>
            </w:r>
          </w:p>
        </w:tc>
        <w:tc>
          <w:tcPr>
            <w:tcW w:type="dxa" w:w="1714"/>
            <w:vAlign w:val="center"/>
          </w:tcPr>
          <w:p>
            <w:pPr>
              <w:spacing w:before="20" w:after="20"/>
              <w:ind w:left="72"/>
            </w:pPr>
          </w:p>
        </w:tc>
        <w:tc>
          <w:tcPr>
            <w:tcW w:type="dxa" w:w="1714"/>
            <w:vAlign w:val="center"/>
          </w:tcPr>
          <w:p>
            <w:pPr>
              <w:spacing w:before="20" w:after="20"/>
              <w:ind w:left="72"/>
            </w:pPr>
            <w:r>
              <w:rPr>
                <w:b w:val="0"/>
                <w:i w:val="0"/>
                <w:color w:val="000000"/>
                <w:sz w:val="18"/>
              </w:rPr>
              <w:t>N/A</w:t>
            </w:r>
          </w:p>
        </w:tc>
        <w:tc>
          <w:tcPr>
            <w:tcW w:type="dxa" w:w="1714"/>
            <w:vAlign w:val="center"/>
          </w:tcPr>
          <w:p>
            <w:pPr>
              <w:spacing w:before="20" w:after="20"/>
              <w:ind w:left="72"/>
            </w:pPr>
            <w:r>
              <w:rPr>
                <w:b w:val="0"/>
                <w:i w:val="0"/>
                <w:color w:val="000000"/>
                <w:sz w:val="18"/>
              </w:rPr>
              <w:t>low</w:t>
            </w:r>
          </w:p>
        </w:tc>
      </w:tr>
      <w:tr>
        <w:trPr>
          <w:trHeight w:val="260"/>
        </w:trPr>
        <w:tc>
          <w:tcPr>
            <w:tcW w:type="dxa" w:w="3226"/>
            <w:vAlign w:val="center"/>
            <w:shd w:val="clear" w:color="auto" w:fill="EEF3FA"/>
          </w:tcPr>
          <w:p>
            <w:pPr>
              <w:spacing w:before="20" w:after="20"/>
              <w:ind w:left="72"/>
            </w:pPr>
            <w:r>
              <w:rPr>
                <w:b w:val="0"/>
                <w:i w:val="0"/>
                <w:color w:val="000000"/>
                <w:sz w:val="18"/>
              </w:rPr>
              <w:t>Caregiver Headcount</w:t>
            </w:r>
          </w:p>
        </w:tc>
        <w:tc>
          <w:tcPr>
            <w:tcW w:type="dxa" w:w="1714"/>
            <w:vAlign w:val="center"/>
            <w:shd w:val="clear" w:color="auto" w:fill="EEF3FA"/>
          </w:tcPr>
          <w:p>
            <w:pPr>
              <w:spacing w:before="20" w:after="20"/>
              <w:ind w:left="72"/>
            </w:pPr>
            <w:r>
              <w:rPr>
                <w:b w:val="0"/>
                <w:i w:val="0"/>
                <w:color w:val="000000"/>
                <w:sz w:val="18"/>
              </w:rPr>
              <w:t>73 active CNA/HHA caregivers as of 12/30/23</w:t>
            </w:r>
          </w:p>
        </w:tc>
        <w:tc>
          <w:tcPr>
            <w:tcW w:type="dxa" w:w="1714"/>
            <w:vAlign w:val="center"/>
            <w:shd w:val="clear" w:color="auto" w:fill="EEF3FA"/>
          </w:tcPr>
          <w:p>
            <w:pPr>
              <w:spacing w:before="20" w:after="20"/>
              <w:ind w:left="72"/>
            </w:pPr>
          </w:p>
        </w:tc>
        <w:tc>
          <w:tcPr>
            <w:tcW w:type="dxa" w:w="1714"/>
            <w:vAlign w:val="center"/>
            <w:shd w:val="clear" w:color="auto" w:fill="EEF3FA"/>
          </w:tcPr>
          <w:p>
            <w:pPr>
              <w:spacing w:before="20" w:after="20"/>
              <w:ind w:left="72"/>
            </w:pPr>
            <w:r>
              <w:rPr>
                <w:b w:val="0"/>
                <w:i w:val="0"/>
                <w:color w:val="000000"/>
                <w:sz w:val="18"/>
              </w:rPr>
              <w:t>N/A</w:t>
            </w:r>
          </w:p>
        </w:tc>
        <w:tc>
          <w:tcPr>
            <w:tcW w:type="dxa" w:w="1714"/>
            <w:vAlign w:val="center"/>
            <w:shd w:val="clear" w:color="auto" w:fill="EEF3FA"/>
          </w:tcPr>
          <w:p>
            <w:pPr>
              <w:spacing w:before="20" w:after="20"/>
              <w:ind w:left="72"/>
            </w:pPr>
            <w:r>
              <w:rPr>
                <w:b w:val="0"/>
                <w:i w:val="0"/>
                <w:color w:val="000000"/>
                <w:sz w:val="18"/>
              </w:rPr>
              <w:t>low</w:t>
            </w:r>
          </w:p>
        </w:tc>
      </w:tr>
      <w:tr>
        <w:trPr>
          <w:trHeight w:val="260"/>
        </w:trPr>
        <w:tc>
          <w:tcPr>
            <w:tcW w:type="dxa" w:w="3226"/>
            <w:vAlign w:val="center"/>
          </w:tcPr>
          <w:p>
            <w:pPr>
              <w:spacing w:before="20" w:after="20"/>
              <w:ind w:left="72"/>
            </w:pPr>
            <w:r>
              <w:rPr>
                <w:b w:val="0"/>
                <w:i w:val="0"/>
                <w:color w:val="000000"/>
                <w:sz w:val="18"/>
              </w:rPr>
              <w:t>Utilization Or Productivity Note</w:t>
            </w:r>
          </w:p>
        </w:tc>
        <w:tc>
          <w:tcPr>
            <w:tcW w:type="dxa" w:w="1714"/>
            <w:vAlign w:val="center"/>
          </w:tcPr>
          <w:p>
            <w:pPr>
              <w:spacing w:before="20" w:after="20"/>
              <w:ind w:left="72"/>
            </w:pPr>
            <w:r>
              <w:rPr>
                <w:b w:val="0"/>
                <w:i w:val="0"/>
                <w:color w:val="000000"/>
                <w:sz w:val="18"/>
              </w:rPr>
              <w:t>KPI dashboard tracks caregivers hired per week by market/region; also tracks % of new hires with no shift by end of first and second month post-hire. Company-wide avg weekly hires: Q1 2025 = 27.6, Q2 2025 = 25.4, Q4 2024 = 22.2. Nursing hires tracked separately across NY, NJ, MA markets.</w:t>
            </w:r>
          </w:p>
        </w:tc>
        <w:tc>
          <w:tcPr>
            <w:tcW w:type="dxa" w:w="1714"/>
            <w:vAlign w:val="center"/>
          </w:tcPr>
          <w:p>
            <w:pPr>
              <w:spacing w:before="20" w:after="20"/>
              <w:ind w:left="72"/>
            </w:pPr>
          </w:p>
        </w:tc>
        <w:tc>
          <w:tcPr>
            <w:tcW w:type="dxa" w:w="1714"/>
            <w:vAlign w:val="center"/>
          </w:tcPr>
          <w:p>
            <w:pPr>
              <w:spacing w:before="20" w:after="20"/>
              <w:ind w:left="72"/>
            </w:pPr>
            <w:r>
              <w:rPr>
                <w:b w:val="0"/>
                <w:i w:val="0"/>
                <w:color w:val="000000"/>
                <w:sz w:val="18"/>
              </w:rPr>
              <w:t>N/A</w:t>
            </w:r>
          </w:p>
        </w:tc>
        <w:tc>
          <w:tcPr>
            <w:tcW w:type="dxa" w:w="1714"/>
            <w:vAlign w:val="center"/>
          </w:tcPr>
          <w:p>
            <w:pPr>
              <w:spacing w:before="20" w:after="20"/>
              <w:ind w:left="72"/>
            </w:pPr>
            <w:r>
              <w:rPr>
                <w:b w:val="0"/>
                <w:i w:val="0"/>
                <w:color w:val="000000"/>
                <w:sz w:val="18"/>
              </w:rPr>
              <w:t>low</w:t>
            </w:r>
          </w:p>
        </w:tc>
      </w:tr>
      <w:tr>
        <w:trPr>
          <w:trHeight w:val="260"/>
        </w:trPr>
        <w:tc>
          <w:tcPr>
            <w:tcW w:type="dxa" w:w="3226"/>
            <w:vAlign w:val="center"/>
            <w:shd w:val="clear" w:color="auto" w:fill="EEF3FA"/>
          </w:tcPr>
          <w:p>
            <w:pPr>
              <w:spacing w:before="20" w:after="20"/>
              <w:ind w:left="72"/>
            </w:pPr>
            <w:r>
              <w:rPr>
                <w:b w:val="0"/>
                <w:i w:val="0"/>
                <w:color w:val="000000"/>
                <w:sz w:val="18"/>
              </w:rPr>
              <w:t>Credentialing Status Note</w:t>
            </w:r>
          </w:p>
        </w:tc>
        <w:tc>
          <w:tcPr>
            <w:tcW w:type="dxa" w:w="1714"/>
            <w:vAlign w:val="center"/>
            <w:shd w:val="clear" w:color="auto" w:fill="EEF3FA"/>
          </w:tcPr>
          <w:p>
            <w:pPr>
              <w:spacing w:before="20" w:after="20"/>
              <w:ind w:left="72"/>
            </w:pPr>
            <w:r>
              <w:rPr>
                <w:b w:val="0"/>
                <w:i w:val="0"/>
                <w:color w:val="000000"/>
                <w:sz w:val="18"/>
              </w:rPr>
              <w:t>Company only hires CNA or HHA credentialed caregivers with a minimum of one year hands-on care experience. Drug tests administered during onboarding; no marijuana. All staff are 100% W-2 employees.</w:t>
            </w:r>
          </w:p>
        </w:tc>
        <w:tc>
          <w:tcPr>
            <w:tcW w:type="dxa" w:w="1714"/>
            <w:vAlign w:val="center"/>
            <w:shd w:val="clear" w:color="auto" w:fill="EEF3FA"/>
          </w:tcPr>
          <w:p>
            <w:pPr>
              <w:spacing w:before="20" w:after="20"/>
              <w:ind w:left="72"/>
            </w:pPr>
          </w:p>
        </w:tc>
        <w:tc>
          <w:tcPr>
            <w:tcW w:type="dxa" w:w="1714"/>
            <w:vAlign w:val="center"/>
            <w:shd w:val="clear" w:color="auto" w:fill="EEF3FA"/>
          </w:tcPr>
          <w:p>
            <w:pPr>
              <w:spacing w:before="20" w:after="20"/>
              <w:ind w:left="72"/>
            </w:pPr>
            <w:r>
              <w:rPr>
                <w:b w:val="0"/>
                <w:i w:val="0"/>
                <w:color w:val="000000"/>
                <w:sz w:val="18"/>
              </w:rPr>
              <w:t>N/A</w:t>
            </w:r>
          </w:p>
        </w:tc>
        <w:tc>
          <w:tcPr>
            <w:tcW w:type="dxa" w:w="1714"/>
            <w:vAlign w:val="center"/>
            <w:shd w:val="clear" w:color="auto" w:fill="EEF3FA"/>
          </w:tcPr>
          <w:p>
            <w:pPr>
              <w:spacing w:before="20" w:after="20"/>
              <w:ind w:left="72"/>
            </w:pPr>
            <w:r>
              <w:rPr>
                <w:b w:val="0"/>
                <w:i w:val="0"/>
                <w:color w:val="000000"/>
                <w:sz w:val="18"/>
              </w:rPr>
              <w:t>low</w:t>
            </w:r>
          </w:p>
        </w:tc>
      </w:tr>
      <w:tr>
        <w:trPr>
          <w:trHeight w:val="260"/>
        </w:trPr>
        <w:tc>
          <w:tcPr>
            <w:tcW w:type="dxa" w:w="3226"/>
            <w:vAlign w:val="center"/>
          </w:tcPr>
          <w:p>
            <w:pPr>
              <w:spacing w:before="20" w:after="20"/>
              <w:ind w:left="72"/>
            </w:pPr>
            <w:r>
              <w:rPr>
                <w:b w:val="0"/>
                <w:i w:val="0"/>
                <w:color w:val="000000"/>
                <w:sz w:val="18"/>
              </w:rPr>
              <w:t>Site Level Visibility</w:t>
            </w:r>
          </w:p>
        </w:tc>
        <w:tc>
          <w:tcPr>
            <w:tcW w:type="dxa" w:w="1714"/>
            <w:vAlign w:val="center"/>
          </w:tcPr>
          <w:p>
            <w:pPr>
              <w:spacing w:before="20" w:after="20"/>
              <w:ind w:left="72"/>
            </w:pPr>
            <w:r>
              <w:rPr>
                <w:b w:val="0"/>
                <w:i w:val="0"/>
                <w:color w:val="000000"/>
                <w:sz w:val="18"/>
              </w:rPr>
              <w:t>partial</w:t>
            </w:r>
          </w:p>
        </w:tc>
        <w:tc>
          <w:tcPr>
            <w:tcW w:type="dxa" w:w="1714"/>
            <w:vAlign w:val="center"/>
          </w:tcPr>
          <w:p>
            <w:pPr>
              <w:spacing w:before="20" w:after="20"/>
              <w:ind w:left="72"/>
            </w:pPr>
          </w:p>
        </w:tc>
        <w:tc>
          <w:tcPr>
            <w:tcW w:type="dxa" w:w="1714"/>
            <w:vAlign w:val="center"/>
          </w:tcPr>
          <w:p>
            <w:pPr>
              <w:spacing w:before="20" w:after="20"/>
              <w:ind w:left="72"/>
            </w:pPr>
            <w:r>
              <w:rPr>
                <w:b w:val="0"/>
                <w:i w:val="0"/>
                <w:color w:val="000000"/>
                <w:sz w:val="18"/>
              </w:rPr>
              <w:t>N/A</w:t>
            </w:r>
          </w:p>
        </w:tc>
        <w:tc>
          <w:tcPr>
            <w:tcW w:type="dxa" w:w="1714"/>
            <w:vAlign w:val="center"/>
          </w:tcPr>
          <w:p>
            <w:pPr>
              <w:spacing w:before="20" w:after="20"/>
              <w:ind w:left="72"/>
            </w:pPr>
            <w:r>
              <w:rPr>
                <w:b w:val="0"/>
                <w:i w:val="0"/>
                <w:color w:val="000000"/>
                <w:sz w:val="18"/>
              </w:rPr>
              <w:t>low</w:t>
            </w:r>
          </w:p>
        </w:tc>
      </w:tr>
    </w:tbl>
    <w:p>
      <w:pPr>
        <w:spacing w:before="40" w:after="40"/>
      </w:pPr>
    </w:p>
    <w:p>
      <w:pPr>
        <w:spacing w:before="80" w:after="80"/>
        <w:pBdr>
          <w:bottom w:val="single" w:sz="4" w:space="1" w:color="1F3864"/>
        </w:pBdr>
      </w:pPr>
    </w:p>
    <w:p>
      <w:pPr>
        <w:spacing w:before="240" w:after="60"/>
        <w:pBdr>
          <w:bottom w:val="single" w:sz="8" w:space="1" w:color="1F3864"/>
        </w:pBdr>
      </w:pPr>
      <w:r>
        <w:rPr>
          <w:b/>
          <w:color w:val="1F3864"/>
          <w:sz w:val="26"/>
        </w:rPr>
        <w:t>Legal Snapshot</w:t>
      </w:r>
    </w:p>
    <w:p>
      <w:pPr>
        <w:spacing w:before="20" w:after="20"/>
        <w:ind w:left="360" w:hanging="259"/>
      </w:pPr>
      <w:r>
        <w:rPr>
          <w:color w:val="000000"/>
          <w:sz w:val="19"/>
        </w:rPr>
        <w:t xml:space="preserve">• </w:t>
      </w:r>
      <w:r>
        <w:rPr>
          <w:b/>
          <w:i w:val="0"/>
          <w:color w:val="000000"/>
          <w:sz w:val="19"/>
        </w:rPr>
        <w:t>Assessed:</w:t>
      </w:r>
      <w:r>
        <w:rPr>
          <w:b w:val="0"/>
          <w:i w:val="0"/>
          <w:color w:val="000000"/>
          <w:sz w:val="19"/>
        </w:rPr>
        <w:t xml:space="preserve"> 7 / 11</w:t>
      </w:r>
    </w:p>
    <w:p>
      <w:pPr>
        <w:spacing w:before="20" w:after="20"/>
        <w:ind w:left="360" w:hanging="259"/>
      </w:pPr>
      <w:r>
        <w:rPr>
          <w:color w:val="000000"/>
          <w:sz w:val="19"/>
        </w:rPr>
        <w:t xml:space="preserve">• </w:t>
      </w:r>
      <w:r>
        <w:rPr>
          <w:b/>
          <w:i w:val="0"/>
          <w:color w:val="000000"/>
          <w:sz w:val="19"/>
        </w:rPr>
        <w:t>Section confidence:</w:t>
      </w:r>
      <w:r>
        <w:rPr>
          <w:b w:val="0"/>
          <w:i w:val="0"/>
          <w:color w:val="000000"/>
          <w:sz w:val="19"/>
        </w:rPr>
        <w:t xml:space="preserve"> high</w:t>
      </w:r>
    </w:p>
    <w:p>
      <w:pPr>
        <w:spacing w:before="20" w:after="20"/>
        <w:ind w:left="360" w:hanging="259"/>
      </w:pPr>
      <w:r>
        <w:rPr>
          <w:color w:val="000000"/>
          <w:sz w:val="19"/>
        </w:rPr>
        <w:t xml:space="preserve">• </w:t>
      </w:r>
      <w:r>
        <w:rPr>
          <w:b w:val="0"/>
          <w:i w:val="0"/>
          <w:color w:val="000000"/>
          <w:sz w:val="19"/>
        </w:rPr>
        <w:t>Open legal matter (other): Engagement of outside counsel (Peter Ackerman Esq.) for collection of patient receivables on behalf of Eldercare Homecare, Inc.. Source: April 30 2025 Fully Executed Retainer Agreement for...</w:t>
      </w:r>
    </w:p>
    <w:p>
      <w:pPr>
        <w:spacing w:before="20" w:after="20"/>
        <w:ind w:left="360" w:hanging="259"/>
      </w:pPr>
      <w:r>
        <w:rPr>
          <w:color w:val="000000"/>
          <w:sz w:val="19"/>
        </w:rPr>
        <w:t xml:space="preserve">• </w:t>
      </w:r>
      <w:r>
        <w:rPr>
          <w:b w:val="0"/>
          <w:i w:val="0"/>
          <w:color w:val="000000"/>
          <w:sz w:val="19"/>
        </w:rPr>
        <w:t>Restrictive covenant (Consultant must comply with all mandatory rules and regulations, obtain and maintain all necessary permits and licenses, comply with all applicable laws, and not violate public conventions or...</w:t>
      </w:r>
    </w:p>
    <w:p>
      <w:pPr>
        <w:spacing w:before="20" w:after="20"/>
        <w:ind w:left="360" w:hanging="259"/>
      </w:pPr>
      <w:r>
        <w:rPr>
          <w:color w:val="000000"/>
          <w:sz w:val="19"/>
        </w:rPr>
        <w:t xml:space="preserve">• </w:t>
      </w:r>
      <w:r>
        <w:rPr>
          <w:b w:val="0"/>
          <w:i w:val="0"/>
          <w:color w:val="000000"/>
          <w:sz w:val="19"/>
        </w:rPr>
        <w:t>Restrictive covenant (Licensor has not made and is not making any warranties, representations, promises or statements except as expressly set forth in the License Agreement or other written agreements made...</w:t>
      </w:r>
    </w:p>
    <w:p>
      <w:pPr>
        <w:spacing w:before="20" w:after="20"/>
        <w:ind w:left="360" w:hanging="259"/>
      </w:pPr>
      <w:r>
        <w:rPr>
          <w:color w:val="000000"/>
          <w:sz w:val="19"/>
        </w:rPr>
        <w:t xml:space="preserve">• </w:t>
      </w:r>
      <w:r>
        <w:rPr>
          <w:b w:val="0"/>
          <w:i w:val="0"/>
          <w:color w:val="000000"/>
          <w:sz w:val="19"/>
        </w:rPr>
        <w:t>Restrictive covenant (Seller's Owner as Guarantor irrevocably guarantees obligations; Seller covenants no unscheduled changes to working capital; no changes to operations without Buyer written consent.) in Guided...</w:t>
      </w:r>
    </w:p>
    <w:p>
      <w:pPr>
        <w:spacing w:before="20" w:after="20"/>
        <w:ind w:left="360" w:hanging="259"/>
      </w:pPr>
      <w:r>
        <w:rPr>
          <w:color w:val="000000"/>
          <w:sz w:val="19"/>
        </w:rPr>
        <w:t xml:space="preserve">• </w:t>
      </w:r>
      <w:r>
        <w:rPr>
          <w:b w:val="0"/>
          <w:i w:val="0"/>
          <w:color w:val="000000"/>
          <w:sz w:val="19"/>
        </w:rPr>
        <w:t>Restrictive covenant (Tenant shall not transfer or assign its interest in the Lease, mortgage, pledge or encumber the Lease or Demised Premises without compliance with Article 11 provisions.) in Landlord (unnamed —...</w:t>
      </w:r>
    </w:p>
    <w:p>
      <w:pPr>
        <w:spacing w:before="80" w:after="80"/>
        <w:pBdr>
          <w:bottom w:val="single" w:sz="4" w:space="1" w:color="1F3864"/>
        </w:pBdr>
      </w:pPr>
    </w:p>
    <w:p>
      <w:pPr>
        <w:spacing w:before="240" w:after="60"/>
        <w:pBdr>
          <w:bottom w:val="single" w:sz="8" w:space="1" w:color="1F3864"/>
        </w:pBdr>
      </w:pPr>
      <w:r>
        <w:rPr>
          <w:b/>
          <w:color w:val="1F3864"/>
          <w:sz w:val="26"/>
        </w:rPr>
        <w:t>Quality of Earnings</w:t>
      </w:r>
    </w:p>
    <w:p>
      <w:pPr>
        <w:spacing w:before="20" w:after="20"/>
        <w:ind w:left="360" w:hanging="259"/>
      </w:pPr>
      <w:r>
        <w:rPr>
          <w:color w:val="000000"/>
          <w:sz w:val="19"/>
        </w:rPr>
        <w:t xml:space="preserve">• </w:t>
      </w:r>
      <w:r>
        <w:rPr>
          <w:b/>
          <w:i w:val="0"/>
          <w:color w:val="000000"/>
          <w:sz w:val="19"/>
        </w:rPr>
        <w:t>Tier summary:</w:t>
      </w:r>
      <w:r>
        <w:rPr>
          <w:b w:val="0"/>
          <w:i w:val="0"/>
          <w:color w:val="000000"/>
          <w:sz w:val="19"/>
        </w:rPr>
        <w:t xml:space="preserve"> The Elder Care TTM Aug-24 adjusted EBITDA bridge contains 17 addback line items totaling a gross positive adjustment substantially in excess of the $2,773K reported EBITDA, with all 17 items classi...</w:t>
      </w:r>
    </w:p>
    <w:p>
      <w:pPr>
        <w:spacing w:before="20" w:after="20"/>
        <w:ind w:left="360" w:hanging="259"/>
      </w:pPr>
      <w:r>
        <w:rPr>
          <w:color w:val="000000"/>
          <w:sz w:val="19"/>
        </w:rPr>
        <w:t xml:space="preserve">• </w:t>
      </w:r>
      <w:r>
        <w:rPr>
          <w:b w:val="0"/>
          <w:i w:val="0"/>
          <w:color w:val="000000"/>
          <w:sz w:val="19"/>
        </w:rPr>
        <w:t>17 Tier 4 addbacks with undocumented or zero amounts — unlikely to survive buyer QoE (see full report).</w:t>
      </w:r>
    </w:p>
    <w:p>
      <w:pPr>
        <w:spacing w:before="80" w:after="80"/>
        <w:pBdr>
          <w:bottom w:val="single" w:sz="4" w:space="1" w:color="1F3864"/>
        </w:pBdr>
      </w:pPr>
    </w:p>
    <w:p>
      <w:pPr>
        <w:spacing w:before="240" w:after="60"/>
        <w:pBdr>
          <w:bottom w:val="single" w:sz="8" w:space="1" w:color="1F3864"/>
        </w:pBdr>
      </w:pPr>
      <w:r>
        <w:rPr>
          <w:b/>
          <w:color w:val="1F3864"/>
          <w:sz w:val="26"/>
        </w:rPr>
        <w:t>Top Risks</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2520"/>
        <w:gridCol w:w="2520"/>
        <w:gridCol w:w="2520"/>
        <w:gridCol w:w="2520"/>
      </w:tblGrid>
      <w:tr>
        <w:trPr>
          <w:trHeight w:val="280"/>
        </w:trPr>
        <w:tc>
          <w:tcPr>
            <w:tcW w:type="dxa" w:w="3226"/>
            <w:vAlign w:val="center"/>
            <w:shd w:val="clear" w:color="auto" w:fill="1F3864"/>
          </w:tcPr>
          <w:p>
            <w:pPr>
              <w:spacing w:before="20" w:after="20"/>
              <w:ind w:left="72"/>
            </w:pPr>
            <w:r>
              <w:rPr>
                <w:b/>
                <w:i w:val="0"/>
                <w:color w:val="FFFFFF"/>
                <w:sz w:val="18"/>
              </w:rPr>
              <w:t>Risk</w:t>
            </w:r>
          </w:p>
        </w:tc>
        <w:tc>
          <w:tcPr>
            <w:tcW w:type="dxa" w:w="2285"/>
            <w:vAlign w:val="center"/>
            <w:shd w:val="clear" w:color="auto" w:fill="1F3864"/>
          </w:tcPr>
          <w:p>
            <w:pPr>
              <w:spacing w:before="20" w:after="20"/>
              <w:ind w:left="72"/>
            </w:pPr>
            <w:r>
              <w:rPr>
                <w:b/>
                <w:i w:val="0"/>
                <w:color w:val="FFFFFF"/>
                <w:sz w:val="18"/>
              </w:rPr>
              <w:t>Severity</w:t>
            </w:r>
          </w:p>
        </w:tc>
        <w:tc>
          <w:tcPr>
            <w:tcW w:type="dxa" w:w="2285"/>
            <w:vAlign w:val="center"/>
            <w:shd w:val="clear" w:color="auto" w:fill="1F3864"/>
          </w:tcPr>
          <w:p>
            <w:pPr>
              <w:spacing w:before="20" w:after="20"/>
              <w:ind w:left="72"/>
            </w:pPr>
            <w:r>
              <w:rPr>
                <w:b/>
                <w:i w:val="0"/>
                <w:color w:val="FFFFFF"/>
                <w:sz w:val="18"/>
              </w:rPr>
              <w:t>Evidence</w:t>
            </w:r>
          </w:p>
        </w:tc>
        <w:tc>
          <w:tcPr>
            <w:tcW w:type="dxa" w:w="2285"/>
            <w:vAlign w:val="center"/>
            <w:shd w:val="clear" w:color="auto" w:fill="1F3864"/>
          </w:tcPr>
          <w:p>
            <w:pPr>
              <w:spacing w:before="20" w:after="20"/>
              <w:ind w:left="72"/>
            </w:pPr>
            <w:r>
              <w:rPr>
                <w:b/>
                <w:i w:val="0"/>
                <w:color w:val="FFFFFF"/>
                <w:sz w:val="18"/>
              </w:rPr>
              <w:t>Mitigant</w:t>
            </w:r>
          </w:p>
        </w:tc>
      </w:tr>
      <w:tr>
        <w:trPr>
          <w:trHeight w:val="260"/>
        </w:trPr>
        <w:tc>
          <w:tcPr>
            <w:tcW w:type="dxa" w:w="3226"/>
            <w:vAlign w:val="center"/>
          </w:tcPr>
          <w:p>
            <w:pPr>
              <w:spacing w:before="20" w:after="20"/>
              <w:ind w:left="72"/>
            </w:pPr>
            <w:r>
              <w:rPr>
                <w:b w:val="0"/>
                <w:i w:val="0"/>
                <w:color w:val="000000"/>
                <w:sz w:val="18"/>
              </w:rPr>
              <w:t>Ebitda Margin Pct</w:t>
            </w:r>
          </w:p>
        </w:tc>
        <w:tc>
          <w:tcPr>
            <w:tcW w:type="dxa" w:w="2285"/>
            <w:vAlign w:val="center"/>
          </w:tcPr>
          <w:p>
            <w:pPr>
              <w:spacing w:before="20" w:after="20"/>
              <w:ind w:left="72"/>
            </w:pPr>
            <w:r>
              <w:rPr>
                <w:b w:val="0"/>
                <w:i w:val="0"/>
                <w:color w:val="000000"/>
                <w:sz w:val="18"/>
              </w:rPr>
              <w:t>critical</w:t>
            </w:r>
          </w:p>
        </w:tc>
        <w:tc>
          <w:tcPr>
            <w:tcW w:type="dxa" w:w="2285"/>
            <w:vAlign w:val="center"/>
          </w:tcPr>
          <w:p>
            <w:pPr>
              <w:spacing w:before="20" w:after="20"/>
              <w:ind w:left="72"/>
            </w:pPr>
            <w:r>
              <w:rPr>
                <w:b w:val="0"/>
                <w:i w:val="0"/>
                <w:color w:val="000000"/>
                <w:sz w:val="18"/>
              </w:rPr>
              <w:t>7.9% (2024 Elder Care - CIM_vF.pdf</w:t>
            </w:r>
          </w:p>
        </w:tc>
        <w:tc>
          <w:tcPr>
            <w:tcW w:type="dxa" w:w="2285"/>
            <w:vAlign w:val="center"/>
          </w:tcPr>
          <w:p>
            <w:pPr>
              <w:spacing w:before="20" w:after="20"/>
              <w:ind w:left="72"/>
            </w:pPr>
            <w:r>
              <w:rPr>
                <w:b w:val="0"/>
                <w:i w:val="0"/>
                <w:color w:val="000000"/>
                <w:sz w:val="18"/>
              </w:rPr>
              <w:t>EBITDA margin of 7.9% is below the ~10% threshold, which may indicate labor inefficiency, weak reimbursement, poor...</w:t>
            </w:r>
          </w:p>
        </w:tc>
      </w:tr>
      <w:tr>
        <w:trPr>
          <w:trHeight w:val="260"/>
        </w:trPr>
        <w:tc>
          <w:tcPr>
            <w:tcW w:type="dxa" w:w="3226"/>
            <w:vAlign w:val="center"/>
            <w:shd w:val="clear" w:color="auto" w:fill="EEF3FA"/>
          </w:tcPr>
          <w:p>
            <w:pPr>
              <w:spacing w:before="20" w:after="20"/>
              <w:ind w:left="72"/>
            </w:pPr>
            <w:r>
              <w:rPr>
                <w:b w:val="0"/>
                <w:i w:val="0"/>
                <w:color w:val="000000"/>
                <w:sz w:val="18"/>
              </w:rPr>
              <w:t>Large Unsupported Addback</w:t>
            </w:r>
          </w:p>
        </w:tc>
        <w:tc>
          <w:tcPr>
            <w:tcW w:type="dxa" w:w="2285"/>
            <w:vAlign w:val="center"/>
            <w:shd w:val="clear" w:color="auto" w:fill="EEF3FA"/>
          </w:tcPr>
          <w:p>
            <w:pPr>
              <w:spacing w:before="20" w:after="20"/>
              <w:ind w:left="72"/>
            </w:pPr>
            <w:r>
              <w:rPr>
                <w:b w:val="0"/>
                <w:i w:val="0"/>
                <w:color w:val="000000"/>
                <w:sz w:val="18"/>
              </w:rPr>
              <w:t>critical</w:t>
            </w:r>
          </w:p>
        </w:tc>
        <w:tc>
          <w:tcPr>
            <w:tcW w:type="dxa" w:w="2285"/>
            <w:vAlign w:val="center"/>
            <w:shd w:val="clear" w:color="auto" w:fill="EEF3FA"/>
          </w:tcPr>
          <w:p>
            <w:pPr>
              <w:spacing w:before="20" w:after="20"/>
              <w:ind w:left="72"/>
            </w:pPr>
            <w:r>
              <w:rPr>
                <w:b w:val="0"/>
                <w:i w:val="0"/>
                <w:color w:val="000000"/>
                <w:sz w:val="18"/>
              </w:rPr>
              <w:t>[B] Non-recurring transactions ($182, 6.6% of EBITDA) (2024 Elder Care - CIM_vF.pdf (+6 related)</w:t>
            </w:r>
          </w:p>
        </w:tc>
        <w:tc>
          <w:tcPr>
            <w:tcW w:type="dxa" w:w="2285"/>
            <w:vAlign w:val="center"/>
            <w:shd w:val="clear" w:color="auto" w:fill="EEF3FA"/>
          </w:tcPr>
          <w:p>
            <w:pPr>
              <w:spacing w:before="20" w:after="20"/>
              <w:ind w:left="72"/>
            </w:pPr>
            <w:r>
              <w:rPr>
                <w:b w:val="0"/>
                <w:i w:val="0"/>
                <w:color w:val="000000"/>
                <w:sz w:val="18"/>
              </w:rPr>
              <w:t>Addback &gt;5% of EBITDA (6.6%) with no VDR document support: [B] Non-recurring transactions. Source: 2024 Elder Care -...</w:t>
            </w:r>
          </w:p>
        </w:tc>
      </w:tr>
    </w:tbl>
    <w:p>
      <w:pPr>
        <w:spacing w:before="40" w:after="40"/>
      </w:pPr>
    </w:p>
    <w:p>
      <w:pPr>
        <w:spacing w:before="80" w:after="80"/>
        <w:pBdr>
          <w:bottom w:val="single" w:sz="4" w:space="1" w:color="1F3864"/>
        </w:pBdr>
      </w:pPr>
    </w:p>
    <w:p>
      <w:pPr>
        <w:spacing w:before="240" w:after="60"/>
        <w:pBdr>
          <w:bottom w:val="single" w:sz="8" w:space="1" w:color="1F3864"/>
        </w:pBdr>
      </w:pPr>
      <w:r>
        <w:rPr>
          <w:b/>
          <w:color w:val="1F3864"/>
          <w:sz w:val="26"/>
        </w:rPr>
        <w:t>Priority Diligence Questions</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3360"/>
        <w:gridCol w:w="3360"/>
        <w:gridCol w:w="3360"/>
      </w:tblGrid>
      <w:tr>
        <w:trPr>
          <w:trHeight w:val="280"/>
        </w:trPr>
        <w:tc>
          <w:tcPr>
            <w:tcW w:type="dxa" w:w="3226"/>
            <w:vAlign w:val="center"/>
            <w:shd w:val="clear" w:color="auto" w:fill="1F3864"/>
          </w:tcPr>
          <w:p>
            <w:pPr>
              <w:spacing w:before="20" w:after="20"/>
              <w:ind w:left="72"/>
            </w:pPr>
            <w:r>
              <w:rPr>
                <w:b/>
                <w:i w:val="0"/>
                <w:color w:val="FFFFFF"/>
                <w:sz w:val="18"/>
              </w:rPr>
              <w:t>Category</w:t>
            </w:r>
          </w:p>
        </w:tc>
        <w:tc>
          <w:tcPr>
            <w:tcW w:type="dxa" w:w="3427"/>
            <w:vAlign w:val="center"/>
            <w:shd w:val="clear" w:color="auto" w:fill="1F3864"/>
          </w:tcPr>
          <w:p>
            <w:pPr>
              <w:spacing w:before="20" w:after="20"/>
              <w:ind w:left="72"/>
            </w:pPr>
            <w:r>
              <w:rPr>
                <w:b/>
                <w:i w:val="0"/>
                <w:color w:val="FFFFFF"/>
                <w:sz w:val="18"/>
              </w:rPr>
              <w:t>Question</w:t>
            </w:r>
          </w:p>
        </w:tc>
        <w:tc>
          <w:tcPr>
            <w:tcW w:type="dxa" w:w="3427"/>
            <w:vAlign w:val="center"/>
            <w:shd w:val="clear" w:color="auto" w:fill="1F3864"/>
          </w:tcPr>
          <w:p>
            <w:pPr>
              <w:spacing w:before="20" w:after="20"/>
              <w:ind w:left="72"/>
            </w:pPr>
            <w:r>
              <w:rPr>
                <w:b/>
                <w:i w:val="0"/>
                <w:color w:val="FFFFFF"/>
                <w:sz w:val="18"/>
              </w:rPr>
              <w:t>Priority</w:t>
            </w:r>
          </w:p>
        </w:tc>
      </w:tr>
      <w:tr>
        <w:trPr>
          <w:trHeight w:val="260"/>
        </w:trPr>
        <w:tc>
          <w:tcPr>
            <w:tcW w:type="dxa" w:w="3226"/>
            <w:vAlign w:val="center"/>
          </w:tcPr>
          <w:p>
            <w:pPr>
              <w:spacing w:before="20" w:after="20"/>
              <w:ind w:left="72"/>
            </w:pPr>
            <w:r>
              <w:rPr>
                <w:b w:val="0"/>
                <w:i w:val="0"/>
                <w:color w:val="000000"/>
                <w:sz w:val="18"/>
              </w:rPr>
              <w:t>legal</w:t>
            </w:r>
          </w:p>
        </w:tc>
        <w:tc>
          <w:tcPr>
            <w:tcW w:type="dxa" w:w="3427"/>
            <w:vAlign w:val="center"/>
          </w:tcPr>
          <w:p>
            <w:pPr>
              <w:spacing w:before="20" w:after="20"/>
              <w:ind w:left="72"/>
            </w:pPr>
            <w:r>
              <w:rPr>
                <w:b w:val="0"/>
                <w:i w:val="0"/>
                <w:color w:val="000000"/>
                <w:sz w:val="18"/>
              </w:rPr>
              <w:t>Request and review Healthcare Referral Agreements</w:t>
            </w:r>
          </w:p>
        </w:tc>
        <w:tc>
          <w:tcPr>
            <w:tcW w:type="dxa" w:w="3427"/>
            <w:vAlign w:val="center"/>
          </w:tcPr>
          <w:p>
            <w:pPr>
              <w:spacing w:before="20" w:after="20"/>
              <w:ind w:left="72"/>
            </w:pPr>
            <w:r>
              <w:rPr>
                <w:b w:val="0"/>
                <w:i w:val="0"/>
                <w:color w:val="000000"/>
                <w:sz w:val="18"/>
              </w:rPr>
              <w:t>High</w:t>
            </w:r>
          </w:p>
        </w:tc>
      </w:tr>
      <w:tr>
        <w:trPr>
          <w:trHeight w:val="260"/>
        </w:trPr>
        <w:tc>
          <w:tcPr>
            <w:tcW w:type="dxa" w:w="3226"/>
            <w:vAlign w:val="center"/>
            <w:shd w:val="clear" w:color="auto" w:fill="EEF3FA"/>
          </w:tcPr>
          <w:p>
            <w:pPr>
              <w:spacing w:before="20" w:after="20"/>
              <w:ind w:left="72"/>
            </w:pPr>
            <w:r>
              <w:rPr>
                <w:b w:val="0"/>
                <w:i w:val="0"/>
                <w:color w:val="000000"/>
                <w:sz w:val="18"/>
              </w:rPr>
              <w:t>kpi</w:t>
            </w:r>
          </w:p>
        </w:tc>
        <w:tc>
          <w:tcPr>
            <w:tcW w:type="dxa" w:w="3427"/>
            <w:vAlign w:val="center"/>
            <w:shd w:val="clear" w:color="auto" w:fill="EEF3FA"/>
          </w:tcPr>
          <w:p>
            <w:pPr>
              <w:spacing w:before="20" w:after="20"/>
              <w:ind w:left="72"/>
            </w:pPr>
            <w:r>
              <w:rPr>
                <w:b w:val="0"/>
                <w:i w:val="0"/>
                <w:color w:val="000000"/>
                <w:sz w:val="18"/>
              </w:rPr>
              <w:t>What is the current total active client census by market/region, and how has it trended monthly over the past 24 months?</w:t>
            </w:r>
          </w:p>
        </w:tc>
        <w:tc>
          <w:tcPr>
            <w:tcW w:type="dxa" w:w="3427"/>
            <w:vAlign w:val="center"/>
            <w:shd w:val="clear" w:color="auto" w:fill="EEF3FA"/>
          </w:tcPr>
          <w:p>
            <w:pPr>
              <w:spacing w:before="20" w:after="20"/>
              <w:ind w:left="72"/>
            </w:pPr>
            <w:r>
              <w:rPr>
                <w:b w:val="0"/>
                <w:i w:val="0"/>
                <w:color w:val="000000"/>
                <w:sz w:val="18"/>
              </w:rPr>
              <w:t>medium</w:t>
            </w:r>
          </w:p>
        </w:tc>
      </w:tr>
      <w:tr>
        <w:trPr>
          <w:trHeight w:val="260"/>
        </w:trPr>
        <w:tc>
          <w:tcPr>
            <w:tcW w:type="dxa" w:w="3226"/>
            <w:vAlign w:val="center"/>
          </w:tcPr>
          <w:p>
            <w:pPr>
              <w:spacing w:before="20" w:after="20"/>
              <w:ind w:left="72"/>
            </w:pPr>
            <w:r>
              <w:rPr>
                <w:b w:val="0"/>
                <w:i w:val="0"/>
                <w:color w:val="000000"/>
                <w:sz w:val="18"/>
              </w:rPr>
              <w:t>kpi</w:t>
            </w:r>
          </w:p>
        </w:tc>
        <w:tc>
          <w:tcPr>
            <w:tcW w:type="dxa" w:w="3427"/>
            <w:vAlign w:val="center"/>
          </w:tcPr>
          <w:p>
            <w:pPr>
              <w:spacing w:before="20" w:after="20"/>
              <w:ind w:left="72"/>
            </w:pPr>
            <w:r>
              <w:rPr>
                <w:b w:val="0"/>
                <w:i w:val="0"/>
                <w:color w:val="000000"/>
                <w:sz w:val="18"/>
              </w:rPr>
              <w:t>What is the annualized caregiver turnover rate (voluntary and involuntary) by market for the past two fiscal years, and how does it compare to industry benchmarks?</w:t>
            </w:r>
          </w:p>
        </w:tc>
        <w:tc>
          <w:tcPr>
            <w:tcW w:type="dxa" w:w="3427"/>
            <w:vAlign w:val="center"/>
          </w:tcPr>
          <w:p>
            <w:pPr>
              <w:spacing w:before="20" w:after="20"/>
              <w:ind w:left="72"/>
            </w:pPr>
            <w:r>
              <w:rPr>
                <w:b w:val="0"/>
                <w:i w:val="0"/>
                <w:color w:val="000000"/>
                <w:sz w:val="18"/>
              </w:rPr>
              <w:t>medium</w:t>
            </w:r>
          </w:p>
        </w:tc>
      </w:tr>
      <w:tr>
        <w:trPr>
          <w:trHeight w:val="260"/>
        </w:trPr>
        <w:tc>
          <w:tcPr>
            <w:tcW w:type="dxa" w:w="3226"/>
            <w:vAlign w:val="center"/>
            <w:shd w:val="clear" w:color="auto" w:fill="EEF3FA"/>
          </w:tcPr>
          <w:p>
            <w:pPr>
              <w:spacing w:before="20" w:after="20"/>
              <w:ind w:left="72"/>
            </w:pPr>
            <w:r>
              <w:rPr>
                <w:b w:val="0"/>
                <w:i w:val="0"/>
                <w:color w:val="000000"/>
                <w:sz w:val="18"/>
              </w:rPr>
              <w:t>kpi</w:t>
            </w:r>
          </w:p>
        </w:tc>
        <w:tc>
          <w:tcPr>
            <w:tcW w:type="dxa" w:w="3427"/>
            <w:vAlign w:val="center"/>
            <w:shd w:val="clear" w:color="auto" w:fill="EEF3FA"/>
          </w:tcPr>
          <w:p>
            <w:pPr>
              <w:spacing w:before="20" w:after="20"/>
              <w:ind w:left="72"/>
            </w:pPr>
            <w:r>
              <w:rPr>
                <w:b w:val="0"/>
                <w:i w:val="0"/>
                <w:color w:val="000000"/>
                <w:sz w:val="18"/>
              </w:rPr>
              <w:t>Can management provide a monthly payor mix breakdown by market for the TTM period, including any shifts in Medicaid Waiver or VA program concentration?</w:t>
            </w:r>
          </w:p>
        </w:tc>
        <w:tc>
          <w:tcPr>
            <w:tcW w:type="dxa" w:w="3427"/>
            <w:vAlign w:val="center"/>
            <w:shd w:val="clear" w:color="auto" w:fill="EEF3FA"/>
          </w:tcPr>
          <w:p>
            <w:pPr>
              <w:spacing w:before="20" w:after="20"/>
              <w:ind w:left="72"/>
            </w:pPr>
            <w:r>
              <w:rPr>
                <w:b w:val="0"/>
                <w:i w:val="0"/>
                <w:color w:val="000000"/>
                <w:sz w:val="18"/>
              </w:rPr>
              <w:t>medium</w:t>
            </w:r>
          </w:p>
        </w:tc>
      </w:tr>
      <w:tr>
        <w:trPr>
          <w:trHeight w:val="260"/>
        </w:trPr>
        <w:tc>
          <w:tcPr>
            <w:tcW w:type="dxa" w:w="3226"/>
            <w:vAlign w:val="center"/>
          </w:tcPr>
          <w:p>
            <w:pPr>
              <w:spacing w:before="20" w:after="20"/>
              <w:ind w:left="72"/>
            </w:pPr>
            <w:r>
              <w:rPr>
                <w:b w:val="0"/>
                <w:i w:val="0"/>
                <w:color w:val="000000"/>
                <w:sz w:val="18"/>
              </w:rPr>
              <w:t>kpi</w:t>
            </w:r>
          </w:p>
        </w:tc>
        <w:tc>
          <w:tcPr>
            <w:tcW w:type="dxa" w:w="3427"/>
            <w:vAlign w:val="center"/>
          </w:tcPr>
          <w:p>
            <w:pPr>
              <w:spacing w:before="20" w:after="20"/>
              <w:ind w:left="72"/>
            </w:pPr>
            <w:r>
              <w:rPr>
                <w:b w:val="0"/>
                <w:i w:val="0"/>
                <w:color w:val="000000"/>
                <w:sz w:val="18"/>
              </w:rPr>
              <w:t>Please provide an AR aging schedule segmented by payor class (Private Pay, Medicaid Waiver, LTC Insurance, VA) as of the most recent month-end, including DSO by payor.</w:t>
            </w:r>
          </w:p>
        </w:tc>
        <w:tc>
          <w:tcPr>
            <w:tcW w:type="dxa" w:w="3427"/>
            <w:vAlign w:val="center"/>
          </w:tcPr>
          <w:p>
            <w:pPr>
              <w:spacing w:before="20" w:after="20"/>
              <w:ind w:left="72"/>
            </w:pPr>
            <w:r>
              <w:rPr>
                <w:b w:val="0"/>
                <w:i w:val="0"/>
                <w:color w:val="000000"/>
                <w:sz w:val="18"/>
              </w:rPr>
              <w:t>medium</w:t>
            </w:r>
          </w:p>
        </w:tc>
      </w:tr>
    </w:tbl>
    <w:p>
      <w:pPr>
        <w:spacing w:before="40" w:after="40"/>
      </w:pPr>
    </w:p>
    <w:p>
      <w:pPr>
        <w:spacing w:before="80" w:after="80"/>
        <w:pBdr>
          <w:bottom w:val="single" w:sz="4" w:space="1" w:color="1F3864"/>
        </w:pBdr>
      </w:pPr>
    </w:p>
    <w:p>
      <w:pPr>
        <w:spacing w:before="240" w:after="60"/>
        <w:pBdr>
          <w:bottom w:val="single" w:sz="8" w:space="1" w:color="1F3864"/>
        </w:pBdr>
      </w:pPr>
      <w:r>
        <w:rPr>
          <w:b/>
          <w:color w:val="1F3864"/>
          <w:sz w:val="26"/>
        </w:rPr>
        <w:t>Open Items / Data Requests</w:t>
      </w:r>
    </w:p>
    <w:p>
      <w:pPr>
        <w:spacing w:before="20" w:after="20"/>
        <w:ind w:left="360" w:hanging="259"/>
      </w:pPr>
      <w:r>
        <w:rPr>
          <w:color w:val="000000"/>
          <w:sz w:val="19"/>
        </w:rPr>
        <w:t xml:space="preserve">• </w:t>
      </w:r>
      <w:r>
        <w:rPr>
          <w:b w:val="0"/>
          <w:i w:val="0"/>
          <w:color w:val="000000"/>
          <w:sz w:val="19"/>
        </w:rPr>
        <w:t>Customer contracts — termination for convenience</w:t>
      </w:r>
    </w:p>
    <w:p>
      <w:pPr>
        <w:spacing w:before="20" w:after="20"/>
        <w:ind w:left="360" w:hanging="259"/>
      </w:pPr>
      <w:r>
        <w:rPr>
          <w:color w:val="000000"/>
          <w:sz w:val="19"/>
        </w:rPr>
        <w:t xml:space="preserve">• </w:t>
      </w:r>
      <w:r>
        <w:rPr>
          <w:b w:val="0"/>
          <w:i w:val="0"/>
          <w:color w:val="000000"/>
          <w:sz w:val="19"/>
        </w:rPr>
        <w:t>Change-of-control clauses</w:t>
      </w:r>
    </w:p>
    <w:p>
      <w:pPr>
        <w:spacing w:before="20" w:after="20"/>
        <w:ind w:left="360" w:hanging="259"/>
      </w:pPr>
      <w:r>
        <w:rPr>
          <w:color w:val="000000"/>
          <w:sz w:val="19"/>
        </w:rPr>
        <w:t xml:space="preserve">• </w:t>
      </w:r>
      <w:r>
        <w:rPr>
          <w:b w:val="0"/>
          <w:i w:val="0"/>
          <w:color w:val="000000"/>
          <w:sz w:val="19"/>
        </w:rPr>
        <w:t>Platform / reseller / channel dependencies</w:t>
      </w:r>
    </w:p>
    <w:p>
      <w:pPr>
        <w:spacing w:before="20" w:after="20"/>
        <w:ind w:left="360" w:hanging="259"/>
      </w:pPr>
      <w:r>
        <w:rPr>
          <w:color w:val="000000"/>
          <w:sz w:val="19"/>
        </w:rPr>
        <w:t xml:space="preserve">• </w:t>
      </w:r>
      <w:r>
        <w:rPr>
          <w:b w:val="0"/>
          <w:i w:val="0"/>
          <w:color w:val="000000"/>
          <w:sz w:val="19"/>
        </w:rPr>
        <w:t>IP ownership, assignment, OSS</w:t>
      </w:r>
    </w:p>
    <w:p>
      <w:pPr>
        <w:spacing w:before="80" w:after="80"/>
        <w:pBdr>
          <w:bottom w:val="single" w:sz="4" w:space="1" w:color="1F3864"/>
        </w:pBdr>
      </w:pPr>
    </w:p>
    <w:p>
      <w:pPr>
        <w:spacing w:before="240" w:after="60"/>
        <w:pBdr>
          <w:bottom w:val="single" w:sz="8" w:space="1" w:color="1F3864"/>
        </w:pBdr>
      </w:pPr>
      <w:r>
        <w:rPr>
          <w:b/>
          <w:color w:val="1F3864"/>
          <w:sz w:val="26"/>
        </w:rPr>
        <w:t>Confidence by Area</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Area</w:t>
            </w:r>
          </w:p>
        </w:tc>
        <w:tc>
          <w:tcPr>
            <w:tcW w:type="dxa" w:w="6854"/>
            <w:vAlign w:val="center"/>
            <w:shd w:val="clear" w:color="auto" w:fill="1F3864"/>
          </w:tcPr>
          <w:p>
            <w:pPr>
              <w:spacing w:before="20" w:after="20"/>
              <w:ind w:left="72"/>
            </w:pPr>
            <w:r>
              <w:rPr>
                <w:b/>
                <w:i w:val="0"/>
                <w:color w:val="FFFFFF"/>
                <w:sz w:val="18"/>
              </w:rPr>
              <w:t>Confidence</w:t>
            </w:r>
          </w:p>
        </w:tc>
      </w:tr>
      <w:tr>
        <w:trPr>
          <w:trHeight w:val="260"/>
        </w:trPr>
        <w:tc>
          <w:tcPr>
            <w:tcW w:type="dxa" w:w="3226"/>
            <w:vAlign w:val="center"/>
          </w:tcPr>
          <w:p>
            <w:pPr>
              <w:spacing w:before="20" w:after="20"/>
              <w:ind w:left="72"/>
            </w:pPr>
            <w:r>
              <w:rPr>
                <w:b w:val="0"/>
                <w:i w:val="0"/>
                <w:color w:val="000000"/>
                <w:sz w:val="18"/>
              </w:rPr>
              <w:t>Business Model</w:t>
            </w:r>
          </w:p>
        </w:tc>
        <w:tc>
          <w:tcPr>
            <w:tcW w:type="dxa" w:w="6854"/>
            <w:vAlign w:val="center"/>
          </w:tcPr>
          <w:p>
            <w:pPr>
              <w:spacing w:before="20" w:after="20"/>
              <w:ind w:left="72"/>
            </w:pPr>
            <w:r>
              <w:rPr>
                <w:b w:val="0"/>
                <w:i w:val="0"/>
                <w:color w:val="000000"/>
                <w:sz w:val="18"/>
              </w:rPr>
              <w:t>low</w:t>
            </w:r>
          </w:p>
        </w:tc>
      </w:tr>
      <w:tr>
        <w:trPr>
          <w:trHeight w:val="260"/>
        </w:trPr>
        <w:tc>
          <w:tcPr>
            <w:tcW w:type="dxa" w:w="3226"/>
            <w:vAlign w:val="center"/>
            <w:shd w:val="clear" w:color="auto" w:fill="EEF3FA"/>
          </w:tcPr>
          <w:p>
            <w:pPr>
              <w:spacing w:before="20" w:after="20"/>
              <w:ind w:left="72"/>
            </w:pPr>
            <w:r>
              <w:rPr>
                <w:b w:val="0"/>
                <w:i w:val="0"/>
                <w:color w:val="000000"/>
                <w:sz w:val="18"/>
              </w:rPr>
              <w:t>Financial Trends</w:t>
            </w:r>
          </w:p>
        </w:tc>
        <w:tc>
          <w:tcPr>
            <w:tcW w:type="dxa" w:w="6854"/>
            <w:vAlign w:val="center"/>
            <w:shd w:val="clear" w:color="auto" w:fill="EEF3FA"/>
          </w:tcPr>
          <w:p>
            <w:pPr>
              <w:spacing w:before="20" w:after="20"/>
              <w:ind w:left="72"/>
            </w:pPr>
            <w:r>
              <w:rPr>
                <w:b w:val="0"/>
                <w:i w:val="0"/>
                <w:color w:val="000000"/>
                <w:sz w:val="18"/>
              </w:rPr>
              <w:t>high</w:t>
            </w:r>
          </w:p>
        </w:tc>
      </w:tr>
      <w:tr>
        <w:trPr>
          <w:trHeight w:val="260"/>
        </w:trPr>
        <w:tc>
          <w:tcPr>
            <w:tcW w:type="dxa" w:w="3226"/>
            <w:vAlign w:val="center"/>
          </w:tcPr>
          <w:p>
            <w:pPr>
              <w:spacing w:before="20" w:after="20"/>
              <w:ind w:left="72"/>
            </w:pPr>
            <w:r>
              <w:rPr>
                <w:b w:val="0"/>
                <w:i w:val="0"/>
                <w:color w:val="000000"/>
                <w:sz w:val="18"/>
              </w:rPr>
              <w:t>Customer Quality</w:t>
            </w:r>
          </w:p>
        </w:tc>
        <w:tc>
          <w:tcPr>
            <w:tcW w:type="dxa" w:w="6854"/>
            <w:vAlign w:val="center"/>
          </w:tcPr>
          <w:p>
            <w:pPr>
              <w:spacing w:before="20" w:after="20"/>
              <w:ind w:left="72"/>
            </w:pPr>
            <w:r>
              <w:rPr>
                <w:b w:val="0"/>
                <w:i w:val="0"/>
                <w:color w:val="000000"/>
                <w:sz w:val="18"/>
              </w:rPr>
              <w:t>low</w:t>
            </w:r>
          </w:p>
        </w:tc>
      </w:tr>
      <w:tr>
        <w:trPr>
          <w:trHeight w:val="260"/>
        </w:trPr>
        <w:tc>
          <w:tcPr>
            <w:tcW w:type="dxa" w:w="3226"/>
            <w:vAlign w:val="center"/>
            <w:shd w:val="clear" w:color="auto" w:fill="EEF3FA"/>
          </w:tcPr>
          <w:p>
            <w:pPr>
              <w:spacing w:before="20" w:after="20"/>
              <w:ind w:left="72"/>
            </w:pPr>
            <w:r>
              <w:rPr>
                <w:b w:val="0"/>
                <w:i w:val="0"/>
                <w:color w:val="000000"/>
                <w:sz w:val="18"/>
              </w:rPr>
              <w:t>KPI</w:t>
            </w:r>
          </w:p>
        </w:tc>
        <w:tc>
          <w:tcPr>
            <w:tcW w:type="dxa" w:w="6854"/>
            <w:vAlign w:val="center"/>
            <w:shd w:val="clear" w:color="auto" w:fill="EEF3FA"/>
          </w:tcPr>
          <w:p>
            <w:pPr>
              <w:spacing w:before="20" w:after="20"/>
              <w:ind w:left="72"/>
            </w:pPr>
            <w:r>
              <w:rPr>
                <w:b w:val="0"/>
                <w:i w:val="0"/>
                <w:color w:val="000000"/>
                <w:sz w:val="18"/>
              </w:rPr>
              <w:t>low</w:t>
            </w:r>
          </w:p>
        </w:tc>
      </w:tr>
      <w:tr>
        <w:trPr>
          <w:trHeight w:val="260"/>
        </w:trPr>
        <w:tc>
          <w:tcPr>
            <w:tcW w:type="dxa" w:w="3226"/>
            <w:vAlign w:val="center"/>
          </w:tcPr>
          <w:p>
            <w:pPr>
              <w:spacing w:before="20" w:after="20"/>
              <w:ind w:left="72"/>
            </w:pPr>
            <w:r>
              <w:rPr>
                <w:b w:val="0"/>
                <w:i w:val="0"/>
                <w:color w:val="000000"/>
                <w:sz w:val="18"/>
              </w:rPr>
              <w:t>Legal</w:t>
            </w:r>
          </w:p>
        </w:tc>
        <w:tc>
          <w:tcPr>
            <w:tcW w:type="dxa" w:w="6854"/>
            <w:vAlign w:val="center"/>
          </w:tcPr>
          <w:p>
            <w:pPr>
              <w:spacing w:before="20" w:after="20"/>
              <w:ind w:left="72"/>
            </w:pPr>
            <w:r>
              <w:rPr>
                <w:b w:val="0"/>
                <w:i w:val="0"/>
                <w:color w:val="000000"/>
                <w:sz w:val="18"/>
              </w:rPr>
              <w:t>medium</w:t>
            </w:r>
          </w:p>
        </w:tc>
      </w:tr>
      <w:tr>
        <w:trPr>
          <w:trHeight w:val="260"/>
        </w:trPr>
        <w:tc>
          <w:tcPr>
            <w:tcW w:type="dxa" w:w="3226"/>
            <w:vAlign w:val="center"/>
            <w:shd w:val="clear" w:color="auto" w:fill="EEF3FA"/>
          </w:tcPr>
          <w:p>
            <w:pPr>
              <w:spacing w:before="20" w:after="20"/>
              <w:ind w:left="72"/>
            </w:pPr>
            <w:r>
              <w:rPr>
                <w:b w:val="0"/>
                <w:i w:val="0"/>
                <w:color w:val="000000"/>
                <w:sz w:val="18"/>
              </w:rPr>
              <w:t>Quality of Earnings</w:t>
            </w:r>
          </w:p>
        </w:tc>
        <w:tc>
          <w:tcPr>
            <w:tcW w:type="dxa" w:w="6854"/>
            <w:vAlign w:val="center"/>
            <w:shd w:val="clear" w:color="auto" w:fill="EEF3FA"/>
          </w:tcPr>
          <w:p>
            <w:pPr>
              <w:spacing w:before="20" w:after="20"/>
              <w:ind w:left="72"/>
            </w:pPr>
            <w:r>
              <w:rPr>
                <w:b w:val="0"/>
                <w:i w:val="0"/>
                <w:color w:val="000000"/>
                <w:sz w:val="18"/>
              </w:rPr>
              <w:t>medium</w:t>
            </w:r>
          </w:p>
        </w:tc>
      </w:tr>
      <w:tr>
        <w:trPr>
          <w:trHeight w:val="260"/>
        </w:trPr>
        <w:tc>
          <w:tcPr>
            <w:tcW w:type="dxa" w:w="3226"/>
            <w:vAlign w:val="center"/>
          </w:tcPr>
          <w:p>
            <w:pPr>
              <w:spacing w:before="20" w:after="20"/>
              <w:ind w:left="72"/>
            </w:pPr>
            <w:r>
              <w:rPr>
                <w:b w:val="0"/>
                <w:i w:val="0"/>
                <w:color w:val="000000"/>
                <w:sz w:val="18"/>
              </w:rPr>
              <w:t>Forecast Support</w:t>
            </w:r>
          </w:p>
        </w:tc>
        <w:tc>
          <w:tcPr>
            <w:tcW w:type="dxa" w:w="6854"/>
            <w:vAlign w:val="center"/>
          </w:tcPr>
          <w:p>
            <w:pPr>
              <w:spacing w:before="20" w:after="20"/>
              <w:ind w:left="72"/>
            </w:pPr>
            <w:r>
              <w:rPr>
                <w:b w:val="0"/>
                <w:i w:val="0"/>
                <w:color w:val="000000"/>
                <w:sz w:val="18"/>
              </w:rPr>
              <w:t>low</w:t>
            </w:r>
          </w:p>
        </w:tc>
      </w:tr>
    </w:tbl>
    <w:p>
      <w:pPr>
        <w:spacing w:before="40" w:after="40"/>
      </w:pPr>
    </w:p>
    <w:p>
      <w:pPr>
        <w:spacing w:before="80" w:after="80"/>
        <w:pBdr>
          <w:bottom w:val="single" w:sz="4" w:space="1" w:color="1F3864"/>
        </w:pBdr>
      </w:pPr>
    </w:p>
    <w:p>
      <w:pPr>
        <w:spacing w:before="240" w:after="60"/>
        <w:pBdr>
          <w:bottom w:val="single" w:sz="8" w:space="1" w:color="1F3864"/>
        </w:pBdr>
      </w:pPr>
      <w:r>
        <w:rPr>
          <w:b/>
          <w:color w:val="1F3864"/>
          <w:sz w:val="26"/>
        </w:rPr>
        <w:t>Closing</w:t>
      </w:r>
    </w:p>
    <w:p>
      <w:pPr>
        <w:spacing w:before="40" w:after="40"/>
      </w:pPr>
      <w:r>
        <w:rPr>
          <w:b w:val="0"/>
          <w:i w:val="0"/>
          <w:color w:val="000000"/>
          <w:sz w:val="19"/>
        </w:rPr>
        <w:t>Elder Care presents a home care platform with a compelling client retention profile, a differentiated cost structure, and a multi-year organic growth track record. The key open questions center on the quality and supportability of the adjusted financial figures — particularly the magnitude of addbacks relative to reported EBITDA, the revenue adjustment stack, and the realizability of acquisition synergies — as well as the absence of several standard operational KPIs that are material to assessing care quality, workforce stability, and payor risk. These items should be prioritized in confirmatory diligence before forming a view on normalized earnings power.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