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40"/>
        </w:rPr>
        <w:t>Elder Care — TL;DR One-Pager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Vertical:</w:t>
      </w:r>
      <w:r>
        <w:rPr>
          <w:b w:val="0"/>
          <w:i w:val="0"/>
          <w:color w:val="000000"/>
          <w:sz w:val="19"/>
        </w:rPr>
        <w:t xml:space="preserve"> healthcare_services</w:t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Generated: 2026-06-29T23:01:39.102326Z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Overall Confidence:</w:t>
      </w:r>
      <w:r>
        <w:rPr>
          <w:b w:val="0"/>
          <w:i w:val="0"/>
          <w:color w:val="000000"/>
          <w:sz w:val="19"/>
        </w:rPr>
        <w:t xml:space="preserve"> low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Headline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LTM Revenue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LTM EBITDA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LTM EBITDA Margin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Revenue CAGR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In One Line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—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Preliminary View</w:t>
      </w:r>
    </w:p>
    <w:p>
      <w:pPr>
        <w:spacing w:before="160" w:after="40"/>
      </w:pPr>
      <w:r>
        <w:rPr>
          <w:b/>
          <w:color w:val="2E75B6"/>
          <w:sz w:val="22"/>
        </w:rPr>
        <w:t>Strengths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Strong revenue growth: clients expanded 376% from 125 (Q1-2020) to 595 (Q4-2024E), with 72% YoY growth in the most recent year driven by acquisitions in NJ and MA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64% private-pay revenue concentration reduces government reimbursement rate risk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 forma adjusted gross margin of 43.4% (TTM Aug-2024) is above typical home care benchmarks; HHA/Live-In line carries 54.2% gross margin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Differentiated global staffing model (41% offshore) enables 24/7 service delivery at reduced cost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Seasoned multi-layer management team with COO (Santander, IBM background) and VP Sales with 15+ years in NY metro long-term care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Multi-state footprint across 6 markets with demonstrated ability to integrate acquisitions (Guided Living Feb-2024)</w:t>
      </w:r>
    </w:p>
    <w:p>
      <w:pPr>
        <w:spacing w:before="160" w:after="40"/>
      </w:pPr>
      <w:r>
        <w:rPr>
          <w:b/>
          <w:color w:val="2E75B6"/>
          <w:sz w:val="22"/>
        </w:rPr>
        <w:t>Concerns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Revenue durability flagged Yellow: 40–70% recurring/contracted revenue band; forward backlog and contracted revenue % not quantified in available documents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Financial data room is materially incomplete: no consolidated EBITDA, gross margin trend, or full-year P&amp;L extracted from source documents; reported EBITDA of $2,773K (2023) is low relative to TTM revenue of $35.1M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Nine Tier 4 addback line items (one-time expenses) in the projection model carry zero dollar amounts and no supporting documentation — addback quality cannot be assessed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Outside counsel engaged (April 2025) for collection of patient receivables — AR quality and DSO require diligence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Key-person concentration: founder David Gilberg holds 92% equity; no non-compete or change-of-control protections identified in employment agreements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Lease assignment consent required from Manhattan and Long Island landlords — transaction execution risk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Professional liability (E&amp;O/malpractice), cyber, D&amp;O, and workers' compensation insurance coverage not confirmed in data room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Caregiver turnover rate and patient panel/census data not available — primary healthcare workforce risk metrics absent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Company Framing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—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Revenue model:</w:t>
      </w:r>
      <w:r>
        <w:rPr>
          <w:b w:val="0"/>
          <w:i w:val="0"/>
          <w:color w:val="000000"/>
          <w:sz w:val="19"/>
        </w:rPr>
        <w:t xml:space="preserve"> — — —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Financial Strip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Revenue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Gross Profit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Gross Margin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EBITDA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EBITDA Margin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Jan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Feb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Mar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Apr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May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Jun 2022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  <w:tc>
          <w:tcPr>
            <w:tcW w:type="dxa" w:w="1371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—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Revenue Quality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Concentration:</w:t>
      </w:r>
      <w:r>
        <w:rPr>
          <w:b w:val="0"/>
          <w:i w:val="0"/>
          <w:color w:val="000000"/>
          <w:sz w:val="19"/>
        </w:rPr>
        <w:t xml:space="preserve"> —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Retention:</w:t>
      </w:r>
      <w:r>
        <w:rPr>
          <w:b w:val="0"/>
          <w:i w:val="0"/>
          <w:color w:val="000000"/>
          <w:sz w:val="19"/>
        </w:rPr>
        <w:t xml:space="preserve"> —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KPI Dashboard</w:t>
      </w:r>
    </w:p>
    <w:p>
      <w:pPr>
        <w:spacing w:before="40" w:after="40"/>
      </w:pPr>
      <w:r>
        <w:rPr>
          <w:b w:val="0"/>
          <w:i/>
          <w:color w:val="000000"/>
          <w:sz w:val="19"/>
        </w:rPr>
        <w:t>No KPI dashboard rows available.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Legal Snapshot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Assessed:</w:t>
      </w:r>
      <w:r>
        <w:rPr>
          <w:b w:val="0"/>
          <w:i w:val="0"/>
          <w:color w:val="000000"/>
          <w:sz w:val="19"/>
        </w:rPr>
        <w:t xml:space="preserve"> 7 / 11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Section confidence:</w:t>
      </w:r>
      <w:r>
        <w:rPr>
          <w:b w:val="0"/>
          <w:i w:val="0"/>
          <w:color w:val="000000"/>
          <w:sz w:val="19"/>
        </w:rPr>
        <w:t xml:space="preserve"> high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'open</w:t>
      </w:r>
      <w:r>
        <w:rPr>
          <w:b w:val="0"/>
          <w:i/>
          <w:color w:val="000000"/>
          <w:sz w:val="19"/>
        </w:rPr>
        <w:t>legal</w:t>
      </w:r>
      <w:r>
        <w:rPr>
          <w:b w:val="0"/>
          <w:i w:val="0"/>
          <w:color w:val="000000"/>
          <w:sz w:val="19"/>
        </w:rPr>
        <w:t>matter</w:t>
      </w:r>
      <w:r>
        <w:rPr>
          <w:b w:val="0"/>
          <w:i/>
          <w:color w:val="000000"/>
          <w:sz w:val="19"/>
        </w:rPr>
        <w:t>other', 'value': 'other: Engagement of outside counsel (Peter Ackerman Esq.) for collection of patient re', 'threshold': 'Any open legal matter', 'severity': 'Red', 'note': 'Open legal matter (other): Engagement of outside counsel (Peter Ackerman Esq.) for collection of patient receivables on behalf of Eldercare Homecare, Inc.. Source: April 30 2025 Fully Executed Retainer Agreement for Collection Efforts by Peter Ackerman Esq.pdf.', 'source</w:t>
      </w:r>
      <w:r>
        <w:rPr>
          <w:b w:val="0"/>
          <w:i w:val="0"/>
          <w:color w:val="000000"/>
          <w:sz w:val="19"/>
        </w:rPr>
        <w:t>doc': 'April 30 2025 Fully Executed Retainer Agreement for Collection Efforts by Peter Ackerman Esq.pdf',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'restrictive</w:t>
      </w:r>
      <w:r>
        <w:rPr>
          <w:b w:val="0"/>
          <w:i/>
          <w:color w:val="000000"/>
          <w:sz w:val="19"/>
        </w:rPr>
        <w:t>covenant', 'value': 'Consultant (unnamed): Consultant shall comply with all mandatory rules and regulations adopted by Company; comply with all applicable laws; not violate public conventions, morals, or standards of decency.', 'threshold': 'Restrictive covenant present', 'severity': 'Yellow', 'note': 'Restrictive covenant (Consultant shall comply with all mandatory rules and regulations adopted by Company; comply with all applicable laws; not violate public conventions, morals, or standards of decency.) in Consultant (unnamed) contract. May limit add-on M&amp;A options. Source: Guided Living - Asset Purchase Agreement - 02.07.24 - Execution Version with Exhibits, Lease, and BOS - signed (1).pdf.', 'source</w:t>
      </w:r>
      <w:r>
        <w:rPr>
          <w:b w:val="0"/>
          <w:i w:val="0"/>
          <w:color w:val="000000"/>
          <w:sz w:val="19"/>
        </w:rPr>
        <w:t>doc': 'Guided Living - Asset Purchase Agreement - 02.07.24 - Execution Version with Exhibits, Lease, and BOS - signed (1).pdf',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'restrictive</w:t>
      </w:r>
      <w:r>
        <w:rPr>
          <w:b w:val="0"/>
          <w:i/>
          <w:color w:val="000000"/>
          <w:sz w:val="19"/>
        </w:rPr>
        <w:t>covenant', 'value': 'Licensor (unnamed — Manhattan): Licensee acknowledges Licensor has not made warranties or representations except as expressly set forth in the License Agreement or other written agreements made concurrently.', 'threshold': 'Restrictive covenant present', 'severity': 'Yellow', 'note': 'Restrictive covenant (Licensee acknowledges Licensor has not made warranties or representations except as expressly set forth in the License Agreement or other written agreements made concurrently.) in Licensor (unnamed — Manhattan) contract. May limit add-on M&amp;A options. Source: Manhattan</w:t>
      </w:r>
      <w:r>
        <w:rPr>
          <w:b w:val="0"/>
          <w:i w:val="0"/>
          <w:color w:val="000000"/>
          <w:sz w:val="19"/>
        </w:rPr>
        <w:t>Lease</w:t>
      </w:r>
      <w:r>
        <w:rPr>
          <w:b w:val="0"/>
          <w:i/>
          <w:color w:val="000000"/>
          <w:sz w:val="19"/>
        </w:rPr>
        <w:t>0121.pdf.', 'source</w:t>
      </w:r>
      <w:r>
        <w:rPr>
          <w:b w:val="0"/>
          <w:i w:val="0"/>
          <w:color w:val="000000"/>
          <w:sz w:val="19"/>
        </w:rPr>
        <w:t>doc': 'Manhattan</w:t>
      </w:r>
      <w:r>
        <w:rPr>
          <w:b w:val="0"/>
          <w:i/>
          <w:color w:val="000000"/>
          <w:sz w:val="19"/>
        </w:rPr>
        <w:t>Lease</w:t>
      </w:r>
      <w:r>
        <w:rPr>
          <w:b w:val="0"/>
          <w:i w:val="0"/>
          <w:color w:val="000000"/>
          <w:sz w:val="19"/>
        </w:rPr>
        <w:t>0121.pdf',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'restrictive</w:t>
      </w:r>
      <w:r>
        <w:rPr>
          <w:b w:val="0"/>
          <w:i/>
          <w:color w:val="000000"/>
          <w:sz w:val="19"/>
        </w:rPr>
        <w:t>covenant', 'value': "Guided Living (Seller): Seller's Owner as Guarantor irrevocably guarantees obligations; Seller shall not make unscheduled changes to working capital accounts; no changes to operations without Buyer's prior written consent.", 'threshold': 'Restrictive covenant present', 'severity': 'Yellow', 'note': "Restrictive covenant (Seller's Owner as Guarantor irrevocably guarantees obligations; Seller shall not make unscheduled changes to working capital accounts; no changes to operations without Buyer's prior written consent.) in Guided Living (Seller) contract. May limit add-on M&amp;A options. Source: Guided Living - Asset Purchase Agreement - 02.07.24 - Execution Version with Exhibits, Lease, and BOS - signed (1).pdf.", 'source</w:t>
      </w:r>
      <w:r>
        <w:rPr>
          <w:b w:val="0"/>
          <w:i w:val="0"/>
          <w:color w:val="000000"/>
          <w:sz w:val="19"/>
        </w:rPr>
        <w:t>doc': 'Guided Living - Asset Purchase Agreement - 02.07.24 - Execution Version with Exhibits, Lease, and BOS - signed (1).pdf',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'restrictive</w:t>
      </w:r>
      <w:r>
        <w:rPr>
          <w:b w:val="0"/>
          <w:i/>
          <w:color w:val="000000"/>
          <w:sz w:val="19"/>
        </w:rPr>
        <w:t>covenant', 'value': 'Landlord (unnamed — Manhattan): Tenant shall not transfer or assign interest in Lease, mortgage, pledge or encumber Lease or Demised Premises without compliance with assignment provisions.', 'threshold': 'Restrictive covenant present', 'severity': 'Yellow', 'note': 'Restrictive covenant (Tenant shall not transfer or assign interest in Lease, mortgage, pledge or encumber Lease or Demised Premises without compliance with assignment provisions.) in Landlord (unnamed — Manhattan) contract. May limit add-on M&amp;A options. Source: Manhattan</w:t>
      </w:r>
      <w:r>
        <w:rPr>
          <w:b w:val="0"/>
          <w:i w:val="0"/>
          <w:color w:val="000000"/>
          <w:sz w:val="19"/>
        </w:rPr>
        <w:t>Lease</w:t>
      </w:r>
      <w:r>
        <w:rPr>
          <w:b w:val="0"/>
          <w:i/>
          <w:color w:val="000000"/>
          <w:sz w:val="19"/>
        </w:rPr>
        <w:t>0424.pdf.', 'source</w:t>
      </w:r>
      <w:r>
        <w:rPr>
          <w:b w:val="0"/>
          <w:i w:val="0"/>
          <w:color w:val="000000"/>
          <w:sz w:val="19"/>
        </w:rPr>
        <w:t>doc': 'Manhattan</w:t>
      </w:r>
      <w:r>
        <w:rPr>
          <w:b w:val="0"/>
          <w:i/>
          <w:color w:val="000000"/>
          <w:sz w:val="19"/>
        </w:rPr>
        <w:t>Lease</w:t>
      </w:r>
      <w:r>
        <w:rPr>
          <w:b w:val="0"/>
          <w:i w:val="0"/>
          <w:color w:val="000000"/>
          <w:sz w:val="19"/>
        </w:rPr>
        <w:t>0424.pdf',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Customer contracts — termination for convenience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Change-of-control clauses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Platform / reseller / channel dependencies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IP ownership, assignment, OSS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{'doc</w:t>
      </w:r>
      <w:r>
        <w:rPr>
          <w:b w:val="0"/>
          <w:i/>
          <w:color w:val="000000"/>
          <w:sz w:val="19"/>
        </w:rPr>
        <w:t>type': 'Healthcare Referral Agreements', 'priority': 'High', 'item</w:t>
      </w:r>
      <w:r>
        <w:rPr>
          <w:b w:val="0"/>
          <w:i w:val="0"/>
          <w:color w:val="000000"/>
          <w:sz w:val="19"/>
        </w:rPr>
        <w:t>id': 'healthcare_referral'}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Quality of Earnings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Addbacks (% of EBITDA):</w:t>
      </w:r>
      <w:r>
        <w:rPr>
          <w:b w:val="0"/>
          <w:i w:val="0"/>
          <w:color w:val="000000"/>
          <w:sz w:val="19"/>
        </w:rPr>
        <w:t xml:space="preserve"> —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Tier summary:</w:t>
      </w:r>
      <w:r>
        <w:rPr>
          <w:b w:val="0"/>
          <w:i w:val="0"/>
          <w:color w:val="000000"/>
          <w:sz w:val="19"/>
        </w:rPr>
        <w:t xml:space="preserve"> The company has several one-time expenses with no documentation or explanation provided. The reported EBITDA for 2023 is $2,773.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IT ($0)', 'threshold': 'Tier 4 classification', 'severity': 'Red', 'note': 'Tier 4 addback: One Time IT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Marketing ($0)', 'threshold': 'Tier 4 classification', 'severity': 'Red', 'note': 'Tier 4 addback: One Time Marketing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Office Supplies ($0)', 'threshold': 'Tier 4 classification', 'severity': 'Red', 'note': 'Tier 4 addback: One Time Office Supplies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Expenses ($0)', 'threshold': 'Tier 4 classification', 'severity': 'Red', 'note': 'Tier 4 addback: One Time Expenses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Professional Fees ($0)', 'threshold': 'Tier 4 classification', 'severity': 'Red', 'note': 'Tier 4 addback: One Time Professional Fees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Miscellaneous ($0)', 'threshold': 'Tier 4 classification', 'severity': 'Red', 'note': 'Tier 4 addback: One Time Miscellaneous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Moving ($0)', 'threshold': 'Tier 4 classification', 'severity': 'Red', 'note': 'Tier 4 addback: One Time Moving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Team Building ($0)', 'threshold': 'Tier 4 classification', 'severity': 'Red', 'note': 'Tier 4 addback: One Time Team Building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{'metric': 'tier4</w:t>
      </w:r>
      <w:r>
        <w:rPr>
          <w:b w:val="0"/>
          <w:i/>
          <w:color w:val="000000"/>
          <w:sz w:val="19"/>
        </w:rPr>
        <w:t>addback', 'value': 'One Time Travel ($0)', 'threshold': 'Tier 4 classification', 'severity': 'Red', 'note': 'Tier 4 addback: One Time Travel ($0) — unlikely to survive buyer QofE. Source: Elder Care Projection Model Refresh</w:t>
      </w:r>
      <w:r>
        <w:rPr>
          <w:b w:val="0"/>
          <w:i w:val="0"/>
          <w:color w:val="000000"/>
          <w:sz w:val="19"/>
        </w:rPr>
        <w:t>vF.xlsx.', 'source</w:t>
      </w:r>
      <w:r>
        <w:rPr>
          <w:b w:val="0"/>
          <w:i/>
          <w:color w:val="000000"/>
          <w:sz w:val="19"/>
        </w:rPr>
        <w:t>doc': 'Elder Care Projection Model Refresh</w:t>
      </w:r>
      <w:r>
        <w:rPr>
          <w:b w:val="0"/>
          <w:i w:val="0"/>
          <w:color w:val="000000"/>
          <w:sz w:val="19"/>
        </w:rPr>
        <w:t>vF.xlsx', 'confidence': 'high'}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Top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Mitigant / Question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open</w:t>
            </w:r>
            <w:r>
              <w:rPr>
                <w:b/>
                <w:i/>
                <w:color w:val="FFFFFF"/>
                <w:sz w:val="18"/>
              </w:rPr>
              <w:t>legal</w:t>
            </w:r>
            <w:r>
              <w:rPr>
                <w:b/>
                <w:i w:val="0"/>
                <w:color w:val="FFFFFF"/>
                <w:sz w:val="18"/>
              </w:rPr>
              <w:t>matter_other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other: Engagement of outside counsel (Peter Ackerman Esq.) for collection of patient re (April 30 2025 Fully Executed Retainer Agreement for Collection Efforts by Peter Ackerman Esq.pdf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Open legal matter (other): Engagement of outside counsel (Peter Ackerman Esq.) for collection of patient receivables on behalf of Eldercare Homecare, Inc.. Source: April 30 2025 Fully Executed Retainer Agreement for Collection Efforts by Peter Ackerman Esq.pdf.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Expenses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Expenses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IT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IT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Marketing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Marketing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Miscellaneous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Miscellaneous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Moving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Moving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Office Supplies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Office Supplies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Professional Fees ($0) (Elder Care Projection Model Refresh_vF.xlsx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Professional Fees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Priority Diligence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legal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{'doc</w:t>
            </w:r>
            <w:r>
              <w:rPr>
                <w:b/>
                <w:i/>
                <w:color w:val="FFFFFF"/>
                <w:sz w:val="18"/>
              </w:rPr>
              <w:t>type': 'Healthcare Referral Agreements', 'priority': 'High', 'item</w:t>
            </w:r>
            <w:r>
              <w:rPr>
                <w:b/>
                <w:i w:val="0"/>
                <w:color w:val="FFFFFF"/>
                <w:sz w:val="18"/>
              </w:rPr>
              <w:t>id': 'healthcare_referral'}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Data Room Gaps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LLM response was truncated by the token limit (Unterminated string starting at: line 674 column 33 (char 24817)). Partial JSON was recovered — records cut off mid-stream are excluded. Consider raising max_tokens or reducing retrieved context size.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sales_motion tag not extracted — sales process description may be absent from retrieved chunks. Check retrieval coverage of GTM/sales sections.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revenue_visibility has no forward revenue signal — backlog, contracted %, and recurring revenue proxies all null. Flag for management Q&amp;A.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recent</w:t>
      </w:r>
      <w:r>
        <w:rPr>
          <w:b w:val="0"/>
          <w:i/>
          <w:color w:val="000000"/>
          <w:sz w:val="19"/>
        </w:rPr>
        <w:t>model</w:t>
      </w:r>
      <w:r>
        <w:rPr>
          <w:b w:val="0"/>
          <w:i w:val="0"/>
          <w:color w:val="000000"/>
          <w:sz w:val="19"/>
        </w:rPr>
        <w:t>changes is empty — no business model, pricing, GTM, or technology changes extracted. Check retrieval of timeline/MD&amp;A sections.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key_dependencies is empty — vendor, platform, channel, and people dependencies not extracted. Check retrieval coverage.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healthcare overlay: referral</w:t>
      </w:r>
      <w:r>
        <w:rPr>
          <w:b w:val="0"/>
          <w:i/>
          <w:color w:val="000000"/>
          <w:sz w:val="19"/>
        </w:rPr>
        <w:t>source</w:t>
      </w:r>
      <w:r>
        <w:rPr>
          <w:b w:val="0"/>
          <w:i w:val="0"/>
          <w:color w:val="000000"/>
          <w:sz w:val="19"/>
        </w:rPr>
        <w:t>breakdown is empty — customer acquisition channel mix not extracted. Referral source breakdown is a primary KPI for healthcare; check retrieval of sales sections.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healthcare overlay: payor_mix is empty — payor/customer type breakdown not extracted. Required for government payor concentration threshold check.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gross_margin array is empty despite revenue records being present. Gross Profit and its margin % were not extracted — check that the P&amp;L table pages were retrieved and that the Gross Profit row was identified.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Multiple revenue periods found but no YoY growth % extracted. The growth % row (subordinate row, inline column, or narrative) was not identified — check system prompt rule 9 and retrieval coverage.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addback_schedule is empty. If an addback or EBITDA adjustment table exists in the data room, check retrieval coverage — the addback tool may need broader query terms or the document may not be workstream-tagged correctly.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Budget vs. actual data was not found in retrieved documents. If the data room includes a management reporting package, board deck, monthly controller report, or rolling forecast, confirm those files are tagged with the FINANCIAL workstream and re-run the agent. Budget vs. actual is required to assess forecast credibility.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Top referral source/customer revenue % not stated — required for concentration threshold evaluation (healthcare)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Payor mix not stated — required field for healthcare overlay; request from management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Staff turnover rate not stated — required for healthcare services workforce risk assessment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Missing KPI [census</w:t>
      </w:r>
      <w:r>
        <w:rPr>
          <w:b w:val="0"/>
          <w:i/>
          <w:color w:val="000000"/>
          <w:sz w:val="19"/>
        </w:rPr>
        <w:t>or</w:t>
      </w:r>
      <w:r>
        <w:rPr>
          <w:b w:val="0"/>
          <w:i w:val="0"/>
          <w:color w:val="000000"/>
          <w:sz w:val="19"/>
        </w:rPr>
        <w:t>patient_panel]: What is the current patient panel size?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Missing KPI [turnover</w:t>
      </w:r>
      <w:r>
        <w:rPr>
          <w:b w:val="0"/>
          <w:i/>
          <w:color w:val="000000"/>
          <w:sz w:val="19"/>
        </w:rPr>
        <w:t>rate</w:t>
      </w:r>
      <w:r>
        <w:rPr>
          <w:b w:val="0"/>
          <w:i w:val="0"/>
          <w:color w:val="000000"/>
          <w:sz w:val="19"/>
        </w:rPr>
        <w:t>pct]: What is the current turnover rate for caregivers?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t4c: chunks retrieved but no extractable terms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coc: chunks retrieved but no extractable terms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platform: chunks retrieved but no extractable terms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[medium] ip: chunks retrieved but no extractable terms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[high] Customer contracts — termination for convenience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[high] Change-of-control clauses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[high] Platform / reseller / channel dependencies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[high] IP ownership, assignment, OSS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Confidence by Area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Business Model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Financial Trends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Customer Quality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KPI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Quality of Earnings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Forecast Support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80" w:after="160"/>
        <w:ind w:left="173" w:right="173"/>
        <w:shd w:val="clear" w:color="auto" w:fill="F2F4F7"/>
      </w:pPr>
      <w:r>
        <w:rPr>
          <w:b/>
          <w:i/>
          <w:color w:val="595959"/>
          <w:sz w:val="19"/>
        </w:rPr>
        <w:t>Demo Disclaimer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&gt;</w:t>
      </w:r>
    </w:p>
    <w:p>
      <w:pPr>
        <w:spacing w:before="80" w:after="160"/>
        <w:ind w:left="173" w:right="173"/>
        <w:shd w:val="clear" w:color="auto" w:fill="F2F4F7"/>
      </w:pPr>
      <w:r>
        <w:rPr>
          <w:b w:val="0"/>
          <w:i/>
          <w:color w:val="595959"/>
          <w:sz w:val="19"/>
        </w:rPr>
        <w:t>Preliminary demo synthesis for diligence orientation only. Not investment advice or a recommendation to buy, sell, or hold.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Closing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This summary is prepared for informational and diligence-scoping purposes only. It does not constitute investment advice, a recommendation to proceed or decline, or a fairness opinion. All figures are sourced from management-provided documents and have not been independently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