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B4297" w14:textId="77777777" w:rsidR="004962F1" w:rsidRDefault="00000000">
      <w:pPr>
        <w:bidi/>
        <w:spacing w:after="0"/>
        <w:jc w:val="center"/>
      </w:pPr>
      <w:r>
        <w:rPr>
          <w:rFonts w:ascii="Traditional Arabic" w:hAnsi="Traditional Arabic" w:cs="Traditional Arabic"/>
          <w:b/>
          <w:bCs/>
          <w:color w:val="1B2A5B"/>
          <w:sz w:val="44"/>
          <w:szCs w:val="44"/>
        </w:rPr>
        <w:t>طبقة | Tabaqa</w:t>
      </w:r>
    </w:p>
    <w:p w14:paraId="2B6669D5" w14:textId="77777777" w:rsidR="004962F1" w:rsidRDefault="00000000">
      <w:pPr>
        <w:bidi/>
        <w:spacing w:after="0"/>
        <w:jc w:val="center"/>
      </w:pPr>
      <w:r>
        <w:rPr>
          <w:rFonts w:ascii="Traditional Arabic" w:hAnsi="Traditional Arabic" w:cs="Traditional Arabic"/>
          <w:b/>
          <w:bCs/>
          <w:color w:val="111111"/>
          <w:sz w:val="32"/>
          <w:szCs w:val="32"/>
        </w:rPr>
        <w:t>تقرير أنواع البيانات — وفق تصنيف FinRegLab</w:t>
      </w:r>
    </w:p>
    <w:p w14:paraId="12F6D517" w14:textId="77777777" w:rsidR="004962F1" w:rsidRDefault="00000000">
      <w:pPr>
        <w:bidi/>
        <w:spacing w:after="160"/>
        <w:jc w:val="center"/>
      </w:pPr>
      <w:r>
        <w:rPr>
          <w:rFonts w:ascii="Traditional Arabic" w:hAnsi="Traditional Arabic" w:cs="Traditional Arabic"/>
          <w:color w:val="1B2A5B"/>
        </w:rPr>
        <w:t>داخلي لفريق العرض · ١٠ يوليو ٢٠٢٦م</w:t>
      </w:r>
    </w:p>
    <w:p w14:paraId="22599C7D" w14:textId="77777777" w:rsidR="004962F1" w:rsidRDefault="00000000" w:rsidP="00B97DAD">
      <w:pPr>
        <w:bidi/>
        <w:spacing w:before="160" w:after="80"/>
      </w:pPr>
      <w:r>
        <w:rPr>
          <w:rFonts w:ascii="Traditional Arabic" w:hAnsi="Traditional Arabic" w:cs="Traditional Arabic"/>
          <w:b/>
          <w:bCs/>
          <w:color w:val="1B2A5B"/>
          <w:sz w:val="30"/>
          <w:szCs w:val="30"/>
        </w:rPr>
        <w:t>١ · لماذا FinRegLab هي المرجع؟</w:t>
      </w:r>
    </w:p>
    <w:p w14:paraId="62D525AC" w14:textId="77777777" w:rsidR="004962F1" w:rsidRDefault="00000000" w:rsidP="00B97DAD">
      <w:pPr>
        <w:bidi/>
        <w:spacing w:after="80"/>
      </w:pPr>
      <w:r>
        <w:rPr>
          <w:rFonts w:ascii="Traditional Arabic" w:hAnsi="Traditional Arabic" w:cs="Traditional Arabic"/>
          <w:color w:val="111111"/>
          <w:sz w:val="25"/>
          <w:szCs w:val="25"/>
        </w:rPr>
        <w:t>FinRegLab مؤسسة أبحاث مستقلة غير ربحية في واشنطن، تختبر تجريبيًا استخدام البيانات الجديدة في قرارات الإقراض. دراستها المرجعية (٢٠١٩–٢٠٢٠) حلّلت بيانات حقيقية من ست شركات تمويل أمريكية (منها Petal وKabbage وOportun) وخلصت إلى ثلاث نتائج تأسيسية: أن بيانات التدفقات النقدية تتنبأ بمخاطر السداد بقوة مستقلة بذاتها؛ وأن قيمتها تكميلية فوق السجل الائتماني التقليدي؛ وأن منفعتها تمتد للفئات محدودة الملف الائتماني. هذه النتائج هي التي جعلت «التقييم القائم على التدفقات النقدية» (Cash-Flow Underwriting) فئة معترفًا بها لدى المنظّمين والمستثمرين. وعندما نقول إن «طبقة» تتبع تصنيف FinRegLab، فنحن نقول تحديدًا: نستخدم الفئة الوحيدة من البيانات البديلة التي عبرت اختبارَي الدليل التجريبي والقبول التنظيمي معًا.</w:t>
      </w:r>
    </w:p>
    <w:p w14:paraId="26133584" w14:textId="77777777" w:rsidR="004962F1" w:rsidRDefault="00000000" w:rsidP="00B97DAD">
      <w:pPr>
        <w:bidi/>
        <w:spacing w:before="160" w:after="80"/>
      </w:pPr>
      <w:r>
        <w:rPr>
          <w:rFonts w:ascii="Traditional Arabic" w:hAnsi="Traditional Arabic" w:cs="Traditional Arabic"/>
          <w:b/>
          <w:bCs/>
          <w:color w:val="1B2A5B"/>
          <w:sz w:val="30"/>
          <w:szCs w:val="30"/>
        </w:rPr>
        <w:t>٢ · خريطة أنواع البيانات في تقييم الائتمان (بالأسماء المتداولة لدى الشركات الناشئة)</w:t>
      </w:r>
    </w:p>
    <w:tbl>
      <w:tblPr>
        <w:tblStyle w:val="TableGrid"/>
        <w:bidiVisual/>
        <w:tblW w:w="0" w:type="auto"/>
        <w:jc w:val="center"/>
        <w:tblLook w:val="04A0" w:firstRow="1" w:lastRow="0" w:firstColumn="1" w:lastColumn="0" w:noHBand="0" w:noVBand="1"/>
      </w:tblPr>
      <w:tblGrid>
        <w:gridCol w:w="2466"/>
        <w:gridCol w:w="2466"/>
        <w:gridCol w:w="2466"/>
        <w:gridCol w:w="2466"/>
      </w:tblGrid>
      <w:tr w:rsidR="004962F1" w14:paraId="10162EA9" w14:textId="77777777">
        <w:trPr>
          <w:jc w:val="center"/>
        </w:trPr>
        <w:tc>
          <w:tcPr>
            <w:tcW w:w="2466" w:type="dxa"/>
          </w:tcPr>
          <w:p w14:paraId="49F8D05C" w14:textId="77777777" w:rsidR="004962F1" w:rsidRDefault="00000000" w:rsidP="00B97DAD">
            <w:pPr>
              <w:bidi/>
              <w:spacing w:after="20"/>
            </w:pPr>
            <w:r>
              <w:rPr>
                <w:rFonts w:ascii="Traditional Arabic" w:hAnsi="Traditional Arabic" w:cs="Traditional Arabic"/>
                <w:b/>
                <w:bCs/>
                <w:color w:val="1B2A5B"/>
                <w:sz w:val="23"/>
                <w:szCs w:val="23"/>
              </w:rPr>
              <w:t>الفئة</w:t>
            </w:r>
          </w:p>
        </w:tc>
        <w:tc>
          <w:tcPr>
            <w:tcW w:w="2466" w:type="dxa"/>
          </w:tcPr>
          <w:p w14:paraId="695E373B" w14:textId="77777777" w:rsidR="004962F1" w:rsidRDefault="00000000" w:rsidP="00B97DAD">
            <w:pPr>
              <w:bidi/>
              <w:spacing w:after="20"/>
            </w:pPr>
            <w:r>
              <w:rPr>
                <w:rFonts w:ascii="Traditional Arabic" w:hAnsi="Traditional Arabic" w:cs="Traditional Arabic"/>
                <w:b/>
                <w:bCs/>
                <w:color w:val="1B2A5B"/>
                <w:sz w:val="23"/>
                <w:szCs w:val="23"/>
              </w:rPr>
              <w:t>الاسم المتداول</w:t>
            </w:r>
          </w:p>
        </w:tc>
        <w:tc>
          <w:tcPr>
            <w:tcW w:w="2466" w:type="dxa"/>
          </w:tcPr>
          <w:p w14:paraId="5E79BC28" w14:textId="77777777" w:rsidR="004962F1" w:rsidRDefault="00000000" w:rsidP="00B97DAD">
            <w:pPr>
              <w:bidi/>
              <w:spacing w:after="20"/>
            </w:pPr>
            <w:r>
              <w:rPr>
                <w:rFonts w:ascii="Traditional Arabic" w:hAnsi="Traditional Arabic" w:cs="Traditional Arabic"/>
                <w:b/>
                <w:bCs/>
                <w:color w:val="1B2A5B"/>
                <w:sz w:val="23"/>
                <w:szCs w:val="23"/>
              </w:rPr>
              <w:t>أمثلة</w:t>
            </w:r>
          </w:p>
        </w:tc>
        <w:tc>
          <w:tcPr>
            <w:tcW w:w="2466" w:type="dxa"/>
          </w:tcPr>
          <w:p w14:paraId="7F342FAE" w14:textId="77777777" w:rsidR="004962F1" w:rsidRDefault="00000000" w:rsidP="00B97DAD">
            <w:pPr>
              <w:bidi/>
              <w:spacing w:after="20"/>
            </w:pPr>
            <w:r>
              <w:rPr>
                <w:rFonts w:ascii="Traditional Arabic" w:hAnsi="Traditional Arabic" w:cs="Traditional Arabic"/>
                <w:b/>
                <w:bCs/>
                <w:color w:val="1B2A5B"/>
                <w:sz w:val="23"/>
                <w:szCs w:val="23"/>
              </w:rPr>
              <w:t>موقف «طبقة»</w:t>
            </w:r>
          </w:p>
        </w:tc>
      </w:tr>
      <w:tr w:rsidR="004962F1" w14:paraId="2EB3D429" w14:textId="77777777">
        <w:trPr>
          <w:jc w:val="center"/>
        </w:trPr>
        <w:tc>
          <w:tcPr>
            <w:tcW w:w="2466" w:type="dxa"/>
          </w:tcPr>
          <w:p w14:paraId="3E08B407" w14:textId="77777777" w:rsidR="004962F1" w:rsidRDefault="00000000" w:rsidP="00B97DAD">
            <w:pPr>
              <w:bidi/>
              <w:spacing w:after="20"/>
            </w:pPr>
            <w:r>
              <w:rPr>
                <w:rFonts w:ascii="Traditional Arabic" w:hAnsi="Traditional Arabic" w:cs="Traditional Arabic"/>
                <w:color w:val="111111"/>
                <w:sz w:val="23"/>
                <w:szCs w:val="23"/>
              </w:rPr>
              <w:t>البيانات الائتمانية التقليدية</w:t>
            </w:r>
          </w:p>
        </w:tc>
        <w:tc>
          <w:tcPr>
            <w:tcW w:w="2466" w:type="dxa"/>
          </w:tcPr>
          <w:p w14:paraId="6EEF57F1" w14:textId="77777777" w:rsidR="004962F1" w:rsidRDefault="00000000" w:rsidP="00B97DAD">
            <w:pPr>
              <w:bidi/>
              <w:spacing w:after="20"/>
            </w:pPr>
            <w:r>
              <w:rPr>
                <w:rFonts w:ascii="Traditional Arabic" w:hAnsi="Traditional Arabic" w:cs="Traditional Arabic"/>
                <w:color w:val="111111"/>
                <w:sz w:val="23"/>
                <w:szCs w:val="23"/>
              </w:rPr>
              <w:t>Traditional / Bureau Data</w:t>
            </w:r>
          </w:p>
        </w:tc>
        <w:tc>
          <w:tcPr>
            <w:tcW w:w="2466" w:type="dxa"/>
          </w:tcPr>
          <w:p w14:paraId="6F0DABDD" w14:textId="77777777" w:rsidR="004962F1" w:rsidRDefault="00000000" w:rsidP="00B97DAD">
            <w:pPr>
              <w:bidi/>
              <w:spacing w:after="20"/>
            </w:pPr>
            <w:r>
              <w:rPr>
                <w:rFonts w:ascii="Traditional Arabic" w:hAnsi="Traditional Arabic" w:cs="Traditional Arabic"/>
                <w:color w:val="111111"/>
                <w:sz w:val="23"/>
                <w:szCs w:val="23"/>
              </w:rPr>
              <w:t>سجل سداد القروض والبطاقات، الالتزامات، الاستعلامات (سمة)</w:t>
            </w:r>
          </w:p>
        </w:tc>
        <w:tc>
          <w:tcPr>
            <w:tcW w:w="2466" w:type="dxa"/>
          </w:tcPr>
          <w:p w14:paraId="7A872C1A" w14:textId="77777777" w:rsidR="004962F1" w:rsidRDefault="00000000" w:rsidP="00B97DAD">
            <w:pPr>
              <w:bidi/>
              <w:spacing w:after="20"/>
            </w:pPr>
            <w:r>
              <w:rPr>
                <w:rFonts w:ascii="Traditional Arabic" w:hAnsi="Traditional Arabic" w:cs="Traditional Arabic"/>
                <w:color w:val="111111"/>
                <w:sz w:val="23"/>
                <w:szCs w:val="23"/>
              </w:rPr>
              <w:t>لا نشترطها — نحو ٣٧٪ من المتقدمين بلا ملف أصلًا</w:t>
            </w:r>
          </w:p>
        </w:tc>
      </w:tr>
      <w:tr w:rsidR="004962F1" w14:paraId="57278FE5" w14:textId="77777777">
        <w:trPr>
          <w:jc w:val="center"/>
        </w:trPr>
        <w:tc>
          <w:tcPr>
            <w:tcW w:w="2466" w:type="dxa"/>
          </w:tcPr>
          <w:p w14:paraId="43DF0655" w14:textId="77777777" w:rsidR="004962F1" w:rsidRDefault="00000000" w:rsidP="00B97DAD">
            <w:pPr>
              <w:bidi/>
              <w:spacing w:after="20"/>
            </w:pPr>
            <w:r>
              <w:rPr>
                <w:rFonts w:ascii="Traditional Arabic" w:hAnsi="Traditional Arabic" w:cs="Traditional Arabic"/>
                <w:color w:val="111111"/>
                <w:sz w:val="23"/>
                <w:szCs w:val="23"/>
              </w:rPr>
              <w:t>بيانات التدفقات النقدية</w:t>
            </w:r>
          </w:p>
        </w:tc>
        <w:tc>
          <w:tcPr>
            <w:tcW w:w="2466" w:type="dxa"/>
          </w:tcPr>
          <w:p w14:paraId="5E02B1C2" w14:textId="77777777" w:rsidR="004962F1" w:rsidRDefault="00000000" w:rsidP="00B97DAD">
            <w:pPr>
              <w:bidi/>
              <w:spacing w:after="20"/>
            </w:pPr>
            <w:r>
              <w:rPr>
                <w:rFonts w:ascii="Traditional Arabic" w:hAnsi="Traditional Arabic" w:cs="Traditional Arabic"/>
                <w:color w:val="111111"/>
                <w:sz w:val="23"/>
                <w:szCs w:val="23"/>
              </w:rPr>
              <w:t>Cash-Flow (Transaction) Data</w:t>
            </w:r>
          </w:p>
        </w:tc>
        <w:tc>
          <w:tcPr>
            <w:tcW w:w="2466" w:type="dxa"/>
          </w:tcPr>
          <w:p w14:paraId="286A593D" w14:textId="77777777" w:rsidR="004962F1" w:rsidRDefault="00000000" w:rsidP="00B97DAD">
            <w:pPr>
              <w:bidi/>
              <w:spacing w:after="20"/>
            </w:pPr>
            <w:r>
              <w:rPr>
                <w:rFonts w:ascii="Traditional Arabic" w:hAnsi="Traditional Arabic" w:cs="Traditional Arabic"/>
                <w:color w:val="111111"/>
                <w:sz w:val="23"/>
                <w:szCs w:val="23"/>
              </w:rPr>
              <w:t>حركة الحساب البنكي والمحفظة: دخل، مصروف، رصيد</w:t>
            </w:r>
          </w:p>
        </w:tc>
        <w:tc>
          <w:tcPr>
            <w:tcW w:w="2466" w:type="dxa"/>
          </w:tcPr>
          <w:p w14:paraId="12EE3302" w14:textId="77777777" w:rsidR="004962F1" w:rsidRDefault="00000000" w:rsidP="00B97DAD">
            <w:pPr>
              <w:bidi/>
              <w:spacing w:after="20"/>
            </w:pPr>
            <w:r>
              <w:rPr>
                <w:rFonts w:ascii="Traditional Arabic" w:hAnsi="Traditional Arabic" w:cs="Traditional Arabic"/>
                <w:color w:val="111111"/>
                <w:sz w:val="23"/>
                <w:szCs w:val="23"/>
              </w:rPr>
              <w:t>فئتنا الحصرية — بموافقة صريحة من صاحبها</w:t>
            </w:r>
          </w:p>
        </w:tc>
      </w:tr>
      <w:tr w:rsidR="004962F1" w14:paraId="7BECA14A" w14:textId="77777777">
        <w:trPr>
          <w:jc w:val="center"/>
        </w:trPr>
        <w:tc>
          <w:tcPr>
            <w:tcW w:w="2466" w:type="dxa"/>
          </w:tcPr>
          <w:p w14:paraId="23C81890" w14:textId="77777777" w:rsidR="004962F1" w:rsidRDefault="00000000" w:rsidP="00B97DAD">
            <w:pPr>
              <w:bidi/>
              <w:spacing w:after="20"/>
            </w:pPr>
            <w:r>
              <w:rPr>
                <w:rFonts w:ascii="Traditional Arabic" w:hAnsi="Traditional Arabic" w:cs="Traditional Arabic"/>
                <w:color w:val="111111"/>
                <w:sz w:val="23"/>
                <w:szCs w:val="23"/>
              </w:rPr>
              <w:t>البيانات البديلة الهامشية</w:t>
            </w:r>
          </w:p>
        </w:tc>
        <w:tc>
          <w:tcPr>
            <w:tcW w:w="2466" w:type="dxa"/>
          </w:tcPr>
          <w:p w14:paraId="4E631405" w14:textId="77777777" w:rsidR="004962F1" w:rsidRDefault="00000000" w:rsidP="00B97DAD">
            <w:pPr>
              <w:bidi/>
              <w:spacing w:after="20"/>
            </w:pPr>
            <w:r>
              <w:rPr>
                <w:rFonts w:ascii="Traditional Arabic" w:hAnsi="Traditional Arabic" w:cs="Traditional Arabic"/>
                <w:color w:val="111111"/>
                <w:sz w:val="23"/>
                <w:szCs w:val="23"/>
              </w:rPr>
              <w:t>Fringe Alternative Data</w:t>
            </w:r>
          </w:p>
        </w:tc>
        <w:tc>
          <w:tcPr>
            <w:tcW w:w="2466" w:type="dxa"/>
          </w:tcPr>
          <w:p w14:paraId="4A03D723" w14:textId="77777777" w:rsidR="004962F1" w:rsidRDefault="00000000" w:rsidP="00B97DAD">
            <w:pPr>
              <w:bidi/>
              <w:spacing w:after="20"/>
            </w:pPr>
            <w:r>
              <w:rPr>
                <w:rFonts w:ascii="Traditional Arabic" w:hAnsi="Traditional Arabic" w:cs="Traditional Arabic"/>
                <w:color w:val="111111"/>
                <w:sz w:val="23"/>
                <w:szCs w:val="23"/>
              </w:rPr>
              <w:t>بيانات الاتصالات، التواصل الاجتماعي، القياس النفسي، بيانات الجهاز</w:t>
            </w:r>
          </w:p>
        </w:tc>
        <w:tc>
          <w:tcPr>
            <w:tcW w:w="2466" w:type="dxa"/>
          </w:tcPr>
          <w:p w14:paraId="106132F5" w14:textId="77777777" w:rsidR="004962F1" w:rsidRDefault="00000000" w:rsidP="00B97DAD">
            <w:pPr>
              <w:bidi/>
              <w:spacing w:after="20"/>
            </w:pPr>
            <w:r>
              <w:rPr>
                <w:rFonts w:ascii="Traditional Arabic" w:hAnsi="Traditional Arabic" w:cs="Traditional Arabic"/>
                <w:color w:val="111111"/>
                <w:sz w:val="23"/>
                <w:szCs w:val="23"/>
              </w:rPr>
              <w:t>لا نلمسها إطلاقًا — مخاطر تنظيمية وأخلاقية</w:t>
            </w:r>
          </w:p>
        </w:tc>
      </w:tr>
    </w:tbl>
    <w:p w14:paraId="3FF48E3E" w14:textId="77777777" w:rsidR="004962F1" w:rsidRDefault="00000000" w:rsidP="00B97DAD">
      <w:pPr>
        <w:bidi/>
        <w:spacing w:before="60" w:after="80"/>
      </w:pPr>
      <w:r>
        <w:rPr>
          <w:rFonts w:ascii="Traditional Arabic" w:hAnsi="Traditional Arabic" w:cs="Traditional Arabic"/>
          <w:color w:val="111111"/>
          <w:sz w:val="23"/>
          <w:szCs w:val="23"/>
        </w:rPr>
        <w:t>ملاحظة اصطلاحية: «البيانات البديلة» بمعناها الواسع تشمل الفئتين الثانية والثالثة معًا؛ والتمييز بينهما هو جوهر هذا التقرير.</w:t>
      </w:r>
    </w:p>
    <w:p w14:paraId="2401ABD4" w14:textId="77777777" w:rsidR="004962F1" w:rsidRDefault="00000000" w:rsidP="00B97DAD">
      <w:pPr>
        <w:bidi/>
        <w:spacing w:before="160" w:after="80"/>
      </w:pPr>
      <w:r>
        <w:rPr>
          <w:rFonts w:ascii="Traditional Arabic" w:hAnsi="Traditional Arabic" w:cs="Traditional Arabic"/>
          <w:b/>
          <w:bCs/>
          <w:color w:val="1B2A5B"/>
          <w:sz w:val="30"/>
          <w:szCs w:val="30"/>
        </w:rPr>
        <w:t>٣ · بيانات «طبقة» بالضبط: جدول واحد، خمسة أعمدة، جيبان</w:t>
      </w:r>
    </w:p>
    <w:p w14:paraId="6F29AC8B" w14:textId="77777777" w:rsidR="004962F1" w:rsidRDefault="00000000" w:rsidP="00B97DAD">
      <w:pPr>
        <w:bidi/>
        <w:spacing w:after="80"/>
      </w:pPr>
      <w:r>
        <w:rPr>
          <w:rFonts w:ascii="Traditional Arabic" w:hAnsi="Traditional Arabic" w:cs="Traditional Arabic"/>
          <w:color w:val="111111"/>
          <w:sz w:val="25"/>
          <w:szCs w:val="25"/>
        </w:rPr>
        <w:t>مدخلنا الكامل هو «يوميات الحساب» — جدول معاملات لا غير:</w:t>
      </w:r>
    </w:p>
    <w:tbl>
      <w:tblPr>
        <w:tblStyle w:val="TableGrid"/>
        <w:bidiVisual/>
        <w:tblW w:w="0" w:type="auto"/>
        <w:jc w:val="center"/>
        <w:tblLook w:val="04A0" w:firstRow="1" w:lastRow="0" w:firstColumn="1" w:lastColumn="0" w:noHBand="0" w:noVBand="1"/>
      </w:tblPr>
      <w:tblGrid>
        <w:gridCol w:w="3289"/>
        <w:gridCol w:w="3289"/>
        <w:gridCol w:w="3289"/>
      </w:tblGrid>
      <w:tr w:rsidR="004962F1" w14:paraId="50CF7F25" w14:textId="77777777">
        <w:trPr>
          <w:jc w:val="center"/>
        </w:trPr>
        <w:tc>
          <w:tcPr>
            <w:tcW w:w="3289" w:type="dxa"/>
          </w:tcPr>
          <w:p w14:paraId="2CCD4A1B" w14:textId="77777777" w:rsidR="004962F1" w:rsidRDefault="00000000" w:rsidP="00B97DAD">
            <w:pPr>
              <w:bidi/>
              <w:spacing w:after="20"/>
            </w:pPr>
            <w:r>
              <w:rPr>
                <w:rFonts w:ascii="Traditional Arabic" w:hAnsi="Traditional Arabic" w:cs="Traditional Arabic"/>
                <w:b/>
                <w:bCs/>
                <w:color w:val="1B2A5B"/>
                <w:sz w:val="23"/>
                <w:szCs w:val="23"/>
              </w:rPr>
              <w:t>العمود</w:t>
            </w:r>
          </w:p>
        </w:tc>
        <w:tc>
          <w:tcPr>
            <w:tcW w:w="3289" w:type="dxa"/>
          </w:tcPr>
          <w:p w14:paraId="5AA0C027" w14:textId="77777777" w:rsidR="004962F1" w:rsidRDefault="00000000" w:rsidP="00B97DAD">
            <w:pPr>
              <w:bidi/>
              <w:spacing w:after="20"/>
            </w:pPr>
            <w:r>
              <w:rPr>
                <w:rFonts w:ascii="Traditional Arabic" w:hAnsi="Traditional Arabic" w:cs="Traditional Arabic"/>
                <w:b/>
                <w:bCs/>
                <w:color w:val="1B2A5B"/>
                <w:sz w:val="23"/>
                <w:szCs w:val="23"/>
              </w:rPr>
              <w:t>ما هو</w:t>
            </w:r>
          </w:p>
        </w:tc>
        <w:tc>
          <w:tcPr>
            <w:tcW w:w="3289" w:type="dxa"/>
          </w:tcPr>
          <w:p w14:paraId="63F889E8" w14:textId="77777777" w:rsidR="004962F1" w:rsidRDefault="00000000" w:rsidP="00B97DAD">
            <w:pPr>
              <w:bidi/>
              <w:spacing w:after="20"/>
            </w:pPr>
            <w:r>
              <w:rPr>
                <w:rFonts w:ascii="Traditional Arabic" w:hAnsi="Traditional Arabic" w:cs="Traditional Arabic"/>
                <w:b/>
                <w:bCs/>
                <w:color w:val="1B2A5B"/>
                <w:sz w:val="23"/>
                <w:szCs w:val="23"/>
              </w:rPr>
              <w:t>مثال</w:t>
            </w:r>
          </w:p>
        </w:tc>
      </w:tr>
      <w:tr w:rsidR="004962F1" w14:paraId="14E05804" w14:textId="77777777">
        <w:trPr>
          <w:jc w:val="center"/>
        </w:trPr>
        <w:tc>
          <w:tcPr>
            <w:tcW w:w="3289" w:type="dxa"/>
          </w:tcPr>
          <w:p w14:paraId="434D7D91" w14:textId="77777777" w:rsidR="004962F1" w:rsidRDefault="00000000" w:rsidP="00B97DAD">
            <w:pPr>
              <w:bidi/>
              <w:spacing w:after="20"/>
            </w:pPr>
            <w:r>
              <w:rPr>
                <w:rFonts w:ascii="Traditional Arabic" w:hAnsi="Traditional Arabic" w:cs="Traditional Arabic"/>
                <w:color w:val="111111"/>
                <w:sz w:val="23"/>
                <w:szCs w:val="23"/>
              </w:rPr>
              <w:t>التاريخ</w:t>
            </w:r>
          </w:p>
        </w:tc>
        <w:tc>
          <w:tcPr>
            <w:tcW w:w="3289" w:type="dxa"/>
          </w:tcPr>
          <w:p w14:paraId="0ED6F653" w14:textId="77777777" w:rsidR="004962F1" w:rsidRDefault="00000000" w:rsidP="00B97DAD">
            <w:pPr>
              <w:bidi/>
              <w:spacing w:after="20"/>
            </w:pPr>
            <w:r>
              <w:rPr>
                <w:rFonts w:ascii="Traditional Arabic" w:hAnsi="Traditional Arabic" w:cs="Traditional Arabic"/>
                <w:color w:val="111111"/>
                <w:sz w:val="23"/>
                <w:szCs w:val="23"/>
              </w:rPr>
              <w:t>متى تمت العملية (ميلادي أو هجري)</w:t>
            </w:r>
          </w:p>
        </w:tc>
        <w:tc>
          <w:tcPr>
            <w:tcW w:w="3289" w:type="dxa"/>
          </w:tcPr>
          <w:p w14:paraId="67B48F0A" w14:textId="77777777" w:rsidR="004962F1" w:rsidRDefault="00000000" w:rsidP="00B97DAD">
            <w:pPr>
              <w:bidi/>
              <w:spacing w:after="20"/>
            </w:pPr>
            <w:r>
              <w:rPr>
                <w:rFonts w:ascii="Traditional Arabic" w:hAnsi="Traditional Arabic" w:cs="Traditional Arabic"/>
                <w:color w:val="111111"/>
                <w:sz w:val="23"/>
                <w:szCs w:val="23"/>
              </w:rPr>
              <w:t>١٤٤٧/١١/٢٥هـ</w:t>
            </w:r>
          </w:p>
        </w:tc>
      </w:tr>
      <w:tr w:rsidR="004962F1" w14:paraId="0A9BDB2F" w14:textId="77777777">
        <w:trPr>
          <w:jc w:val="center"/>
        </w:trPr>
        <w:tc>
          <w:tcPr>
            <w:tcW w:w="3289" w:type="dxa"/>
          </w:tcPr>
          <w:p w14:paraId="7D9D3BB6" w14:textId="77777777" w:rsidR="004962F1" w:rsidRDefault="00000000" w:rsidP="00B97DAD">
            <w:pPr>
              <w:bidi/>
              <w:spacing w:after="20"/>
            </w:pPr>
            <w:r>
              <w:rPr>
                <w:rFonts w:ascii="Traditional Arabic" w:hAnsi="Traditional Arabic" w:cs="Traditional Arabic"/>
                <w:color w:val="111111"/>
                <w:sz w:val="23"/>
                <w:szCs w:val="23"/>
              </w:rPr>
              <w:t>الوصف</w:t>
            </w:r>
          </w:p>
        </w:tc>
        <w:tc>
          <w:tcPr>
            <w:tcW w:w="3289" w:type="dxa"/>
          </w:tcPr>
          <w:p w14:paraId="1408A00B" w14:textId="77777777" w:rsidR="004962F1" w:rsidRDefault="00000000" w:rsidP="00B97DAD">
            <w:pPr>
              <w:bidi/>
              <w:spacing w:after="20"/>
            </w:pPr>
            <w:r>
              <w:rPr>
                <w:rFonts w:ascii="Traditional Arabic" w:hAnsi="Traditional Arabic" w:cs="Traditional Arabic"/>
                <w:color w:val="111111"/>
                <w:sz w:val="23"/>
                <w:szCs w:val="23"/>
              </w:rPr>
              <w:t>ما هي العملية</w:t>
            </w:r>
          </w:p>
        </w:tc>
        <w:tc>
          <w:tcPr>
            <w:tcW w:w="3289" w:type="dxa"/>
          </w:tcPr>
          <w:p w14:paraId="29F08144" w14:textId="77777777" w:rsidR="004962F1" w:rsidRDefault="00000000" w:rsidP="00B97DAD">
            <w:pPr>
              <w:bidi/>
              <w:spacing w:after="20"/>
            </w:pPr>
            <w:r>
              <w:rPr>
                <w:rFonts w:ascii="Traditional Arabic" w:hAnsi="Traditional Arabic" w:cs="Traditional Arabic"/>
                <w:color w:val="111111"/>
                <w:sz w:val="23"/>
                <w:szCs w:val="23"/>
              </w:rPr>
              <w:t>«راتب — مؤسسة …»</w:t>
            </w:r>
          </w:p>
        </w:tc>
      </w:tr>
      <w:tr w:rsidR="004962F1" w14:paraId="7CFA744A" w14:textId="77777777">
        <w:trPr>
          <w:jc w:val="center"/>
        </w:trPr>
        <w:tc>
          <w:tcPr>
            <w:tcW w:w="3289" w:type="dxa"/>
          </w:tcPr>
          <w:p w14:paraId="18344682" w14:textId="77777777" w:rsidR="004962F1" w:rsidRDefault="00000000" w:rsidP="00B97DAD">
            <w:pPr>
              <w:bidi/>
              <w:spacing w:after="20"/>
            </w:pPr>
            <w:r>
              <w:rPr>
                <w:rFonts w:ascii="Traditional Arabic" w:hAnsi="Traditional Arabic" w:cs="Traditional Arabic"/>
                <w:color w:val="111111"/>
                <w:sz w:val="23"/>
                <w:szCs w:val="23"/>
              </w:rPr>
              <w:t>المبلغ</w:t>
            </w:r>
          </w:p>
        </w:tc>
        <w:tc>
          <w:tcPr>
            <w:tcW w:w="3289" w:type="dxa"/>
          </w:tcPr>
          <w:p w14:paraId="2881B80E" w14:textId="77777777" w:rsidR="004962F1" w:rsidRDefault="00000000" w:rsidP="00B97DAD">
            <w:pPr>
              <w:bidi/>
              <w:spacing w:after="20"/>
            </w:pPr>
            <w:r>
              <w:rPr>
                <w:rFonts w:ascii="Traditional Arabic" w:hAnsi="Traditional Arabic" w:cs="Traditional Arabic"/>
                <w:color w:val="111111"/>
                <w:sz w:val="23"/>
                <w:szCs w:val="23"/>
              </w:rPr>
              <w:t>كم دخل أو خرج</w:t>
            </w:r>
          </w:p>
        </w:tc>
        <w:tc>
          <w:tcPr>
            <w:tcW w:w="3289" w:type="dxa"/>
          </w:tcPr>
          <w:p w14:paraId="137EA7DD" w14:textId="77777777" w:rsidR="004962F1" w:rsidRDefault="00000000" w:rsidP="00B97DAD">
            <w:pPr>
              <w:bidi/>
              <w:spacing w:after="20"/>
            </w:pPr>
            <w:r>
              <w:rPr>
                <w:rFonts w:ascii="Traditional Arabic" w:hAnsi="Traditional Arabic" w:cs="Traditional Arabic"/>
                <w:color w:val="111111"/>
                <w:sz w:val="23"/>
                <w:szCs w:val="23"/>
              </w:rPr>
              <w:t>+٥٬٠٠٠ ر.س</w:t>
            </w:r>
          </w:p>
        </w:tc>
      </w:tr>
      <w:tr w:rsidR="004962F1" w14:paraId="342DF818" w14:textId="77777777">
        <w:trPr>
          <w:jc w:val="center"/>
        </w:trPr>
        <w:tc>
          <w:tcPr>
            <w:tcW w:w="3289" w:type="dxa"/>
          </w:tcPr>
          <w:p w14:paraId="2F4C4520" w14:textId="77777777" w:rsidR="004962F1" w:rsidRDefault="00000000" w:rsidP="00B97DAD">
            <w:pPr>
              <w:bidi/>
              <w:spacing w:after="20"/>
            </w:pPr>
            <w:r>
              <w:rPr>
                <w:rFonts w:ascii="Traditional Arabic" w:hAnsi="Traditional Arabic" w:cs="Traditional Arabic"/>
                <w:color w:val="111111"/>
                <w:sz w:val="23"/>
                <w:szCs w:val="23"/>
              </w:rPr>
              <w:t>الرصيد</w:t>
            </w:r>
          </w:p>
        </w:tc>
        <w:tc>
          <w:tcPr>
            <w:tcW w:w="3289" w:type="dxa"/>
          </w:tcPr>
          <w:p w14:paraId="1C04BB69" w14:textId="77777777" w:rsidR="004962F1" w:rsidRDefault="00000000" w:rsidP="00B97DAD">
            <w:pPr>
              <w:bidi/>
              <w:spacing w:after="20"/>
            </w:pPr>
            <w:r>
              <w:rPr>
                <w:rFonts w:ascii="Traditional Arabic" w:hAnsi="Traditional Arabic" w:cs="Traditional Arabic"/>
                <w:color w:val="111111"/>
                <w:sz w:val="23"/>
                <w:szCs w:val="23"/>
              </w:rPr>
              <w:t>ما تبقى بعدها</w:t>
            </w:r>
          </w:p>
        </w:tc>
        <w:tc>
          <w:tcPr>
            <w:tcW w:w="3289" w:type="dxa"/>
          </w:tcPr>
          <w:p w14:paraId="7C967C5D" w14:textId="77777777" w:rsidR="004962F1" w:rsidRDefault="00000000" w:rsidP="00B97DAD">
            <w:pPr>
              <w:bidi/>
              <w:spacing w:after="20"/>
            </w:pPr>
            <w:r>
              <w:rPr>
                <w:rFonts w:ascii="Traditional Arabic" w:hAnsi="Traditional Arabic" w:cs="Traditional Arabic"/>
                <w:color w:val="111111"/>
                <w:sz w:val="23"/>
                <w:szCs w:val="23"/>
              </w:rPr>
              <w:t>٨٬٢٤٠ ر.س</w:t>
            </w:r>
          </w:p>
        </w:tc>
      </w:tr>
      <w:tr w:rsidR="004962F1" w14:paraId="1B026444" w14:textId="77777777">
        <w:trPr>
          <w:jc w:val="center"/>
        </w:trPr>
        <w:tc>
          <w:tcPr>
            <w:tcW w:w="3289" w:type="dxa"/>
          </w:tcPr>
          <w:p w14:paraId="62937161" w14:textId="77777777" w:rsidR="004962F1" w:rsidRDefault="00000000" w:rsidP="00B97DAD">
            <w:pPr>
              <w:bidi/>
              <w:spacing w:after="20"/>
            </w:pPr>
            <w:r>
              <w:rPr>
                <w:rFonts w:ascii="Traditional Arabic" w:hAnsi="Traditional Arabic" w:cs="Traditional Arabic"/>
                <w:color w:val="111111"/>
                <w:sz w:val="23"/>
                <w:szCs w:val="23"/>
              </w:rPr>
              <w:t>المصدر</w:t>
            </w:r>
          </w:p>
        </w:tc>
        <w:tc>
          <w:tcPr>
            <w:tcW w:w="3289" w:type="dxa"/>
          </w:tcPr>
          <w:p w14:paraId="4D718D13" w14:textId="77777777" w:rsidR="004962F1" w:rsidRDefault="00000000" w:rsidP="00B97DAD">
            <w:pPr>
              <w:bidi/>
              <w:spacing w:after="20"/>
            </w:pPr>
            <w:r>
              <w:rPr>
                <w:rFonts w:ascii="Traditional Arabic" w:hAnsi="Traditional Arabic" w:cs="Traditional Arabic"/>
                <w:color w:val="111111"/>
                <w:sz w:val="23"/>
                <w:szCs w:val="23"/>
              </w:rPr>
              <w:t>أي جيب: بنك أم محفظة</w:t>
            </w:r>
          </w:p>
        </w:tc>
        <w:tc>
          <w:tcPr>
            <w:tcW w:w="3289" w:type="dxa"/>
          </w:tcPr>
          <w:p w14:paraId="183DEEE4" w14:textId="77777777" w:rsidR="004962F1" w:rsidRDefault="00000000" w:rsidP="00B97DAD">
            <w:pPr>
              <w:bidi/>
              <w:spacing w:after="20"/>
            </w:pPr>
            <w:r>
              <w:rPr>
                <w:rFonts w:ascii="Traditional Arabic" w:hAnsi="Traditional Arabic" w:cs="Traditional Arabic"/>
                <w:color w:val="111111"/>
                <w:sz w:val="23"/>
                <w:szCs w:val="23"/>
              </w:rPr>
              <w:t>بنك الإنماء / urpay</w:t>
            </w:r>
          </w:p>
        </w:tc>
      </w:tr>
    </w:tbl>
    <w:p w14:paraId="45CD4A76" w14:textId="77777777" w:rsidR="004962F1" w:rsidRDefault="00000000" w:rsidP="00B97DAD">
      <w:pPr>
        <w:bidi/>
        <w:spacing w:before="60" w:after="80"/>
      </w:pPr>
      <w:r>
        <w:rPr>
          <w:rFonts w:ascii="Traditional Arabic" w:hAnsi="Traditional Arabic" w:cs="Traditional Arabic"/>
          <w:color w:val="111111"/>
          <w:sz w:val="25"/>
          <w:szCs w:val="25"/>
        </w:rPr>
        <w:t>وكل ما يظهر بعد ذلك — تصنيف كل ريال وفق تصنيف Plaid للفئات المالية، وستة مؤشرات سلوكية (انتظام الدخل، نسبة الدخل إلى المصروف، مرات كشف الحساب، الرصيد الأدنى، تقلب الرصيد، عبء الالتزامات المتكررة) إضافةً إلى حصة الدخل الموثق — هو اشتقاق حسابي من هذا الجدول نفسه. لا نجمع أي بيانات إضافية.</w:t>
      </w:r>
    </w:p>
    <w:p w14:paraId="6FAE6ED3" w14:textId="77777777" w:rsidR="004962F1" w:rsidRDefault="00000000" w:rsidP="00B97DAD">
      <w:pPr>
        <w:bidi/>
        <w:spacing w:before="80" w:after="80"/>
      </w:pPr>
      <w:r>
        <w:rPr>
          <w:rFonts w:ascii="Traditional Arabic" w:hAnsi="Traditional Arabic" w:cs="Traditional Arabic"/>
          <w:b/>
          <w:bCs/>
          <w:color w:val="111111"/>
          <w:sz w:val="25"/>
          <w:szCs w:val="25"/>
        </w:rPr>
        <w:t>وتُستخدم البيانات على طبقتين منفصلتين:</w:t>
      </w:r>
    </w:p>
    <w:p w14:paraId="11DE8C51" w14:textId="77777777" w:rsidR="004962F1" w:rsidRDefault="00000000" w:rsidP="00B97DAD">
      <w:pPr>
        <w:bidi/>
        <w:spacing w:after="40"/>
        <w:ind w:right="170"/>
      </w:pPr>
      <w:r>
        <w:rPr>
          <w:rFonts w:ascii="Traditional Arabic" w:hAnsi="Traditional Arabic" w:cs="Traditional Arabic"/>
          <w:color w:val="111111"/>
          <w:sz w:val="25"/>
          <w:szCs w:val="25"/>
        </w:rPr>
        <w:lastRenderedPageBreak/>
        <w:t>•  بيانات القرار (لكل متقدم): ٣–٦ أشهر من معاملاته هو وحده، بموافقة صريحة قابلة للسحب. في العرض التجريبي عبر ملفات CSV، وفي الإنتاج عبر واجهات الخدمات المصرفية المفتوحة (Lean — حاصلة على أول ترخيص خدمات مصرفية مفتوحة من ساما، مارس ٢٠٢٦م).</w:t>
      </w:r>
    </w:p>
    <w:p w14:paraId="21B9B60D" w14:textId="77777777" w:rsidR="004962F1" w:rsidRDefault="00000000" w:rsidP="00B97DAD">
      <w:pPr>
        <w:bidi/>
        <w:spacing w:after="40"/>
        <w:ind w:right="170"/>
      </w:pPr>
      <w:r>
        <w:rPr>
          <w:rFonts w:ascii="Traditional Arabic" w:hAnsi="Traditional Arabic" w:cs="Traditional Arabic"/>
          <w:color w:val="111111"/>
          <w:sz w:val="25"/>
          <w:szCs w:val="25"/>
        </w:rPr>
        <w:t>•  بيانات التحقق (مرة واحدة، في المختبر): تعلّم النموذج واختُبر على ثلاث مجموعات حقيقية — Berka التشيكية (إثبات آلية دمج مصدرين: ‎+0.203 AUC)، وUCI تايوان (الضابط السلبي: صفر تحسّن على مصدر واحد — نشرناه ضد أنفسنا)، وAlfaBattle (963,811 طلبًا حقيقيًا: ‎+0.117). المبدأ المعلن: الاتجاهات تنتقل بين الأسواق، أما المقادير فيُعاد ضبطها على محفظة المُقرض السعودي نفسها، بمرساة إحصائية سعودية (الهيئة العامة للإحصاء، التأمينات الاجتماعية، Findex).</w:t>
      </w:r>
    </w:p>
    <w:p w14:paraId="6C89D428" w14:textId="77777777" w:rsidR="004962F1" w:rsidRDefault="00000000" w:rsidP="00B97DAD">
      <w:pPr>
        <w:bidi/>
        <w:spacing w:before="160" w:after="80"/>
      </w:pPr>
      <w:r>
        <w:rPr>
          <w:rFonts w:ascii="Traditional Arabic" w:hAnsi="Traditional Arabic" w:cs="Traditional Arabic"/>
          <w:b/>
          <w:bCs/>
          <w:color w:val="1B2A5B"/>
          <w:sz w:val="30"/>
          <w:szCs w:val="30"/>
        </w:rPr>
        <w:t>٤ · ما لا نستخدمه — وهو جزء من هويتنا</w:t>
      </w:r>
    </w:p>
    <w:p w14:paraId="7E9CEEA6" w14:textId="77777777" w:rsidR="004962F1" w:rsidRDefault="00000000" w:rsidP="00B97DAD">
      <w:pPr>
        <w:bidi/>
        <w:spacing w:after="40"/>
        <w:ind w:right="170"/>
      </w:pPr>
      <w:r>
        <w:rPr>
          <w:rFonts w:ascii="Traditional Arabic" w:hAnsi="Traditional Arabic" w:cs="Traditional Arabic"/>
          <w:color w:val="111111"/>
          <w:sz w:val="25"/>
          <w:szCs w:val="25"/>
        </w:rPr>
        <w:t>•  لا بيانات ديموغرافية: لا عمر، لا جنس، لا جنسية — النموذج لا يستطيع التمييز على ما لا يراه أصلًا.</w:t>
      </w:r>
    </w:p>
    <w:p w14:paraId="657C5AB3" w14:textId="77777777" w:rsidR="004962F1" w:rsidRDefault="00000000" w:rsidP="00B97DAD">
      <w:pPr>
        <w:bidi/>
        <w:spacing w:after="40"/>
        <w:ind w:right="170"/>
      </w:pPr>
      <w:r>
        <w:rPr>
          <w:rFonts w:ascii="Traditional Arabic" w:hAnsi="Traditional Arabic" w:cs="Traditional Arabic"/>
          <w:color w:val="111111"/>
          <w:sz w:val="25"/>
          <w:szCs w:val="25"/>
        </w:rPr>
        <w:t>•  لا ملف «سمة» كشرط دخول — السجل التقليدي مكمّل اختياري، لا بديل.</w:t>
      </w:r>
    </w:p>
    <w:p w14:paraId="6EB083BB" w14:textId="77777777" w:rsidR="004962F1" w:rsidRDefault="00000000" w:rsidP="00B97DAD">
      <w:pPr>
        <w:bidi/>
        <w:spacing w:after="40"/>
        <w:ind w:right="170"/>
      </w:pPr>
      <w:r>
        <w:rPr>
          <w:rFonts w:ascii="Traditional Arabic" w:hAnsi="Traditional Arabic" w:cs="Traditional Arabic"/>
          <w:color w:val="111111"/>
          <w:sz w:val="25"/>
          <w:szCs w:val="25"/>
        </w:rPr>
        <w:t>•  لا بيانات اتصالات ولا تواصل اجتماعي ولا بيانات أجهزة.</w:t>
      </w:r>
    </w:p>
    <w:p w14:paraId="04BA7CB2" w14:textId="77777777" w:rsidR="004962F1" w:rsidRDefault="00000000" w:rsidP="00B97DAD">
      <w:pPr>
        <w:bidi/>
        <w:spacing w:after="40"/>
        <w:ind w:right="170"/>
      </w:pPr>
      <w:r>
        <w:rPr>
          <w:rFonts w:ascii="Traditional Arabic" w:hAnsi="Traditional Arabic" w:cs="Traditional Arabic"/>
          <w:color w:val="111111"/>
          <w:sz w:val="25"/>
          <w:szCs w:val="25"/>
        </w:rPr>
        <w:t>•  لا مستندات ورقية تُصدَّق على الثقة — الدخل يُرصَد في حركة الحساب، لا في شهادة تعريف.</w:t>
      </w:r>
    </w:p>
    <w:p w14:paraId="014E7164" w14:textId="77777777" w:rsidR="004962F1" w:rsidRDefault="00000000" w:rsidP="00B97DAD">
      <w:pPr>
        <w:bidi/>
        <w:spacing w:before="160" w:after="80"/>
      </w:pPr>
      <w:r>
        <w:rPr>
          <w:rFonts w:ascii="Traditional Arabic" w:hAnsi="Traditional Arabic" w:cs="Traditional Arabic"/>
          <w:b/>
          <w:bCs/>
          <w:color w:val="1B2A5B"/>
          <w:sz w:val="30"/>
          <w:szCs w:val="30"/>
        </w:rPr>
        <w:t>٥ · السؤال المتوقع: «إذن أنتم بيانات بديلة؟»</w:t>
      </w:r>
    </w:p>
    <w:p w14:paraId="3960A9B3" w14:textId="77777777" w:rsidR="004962F1" w:rsidRDefault="00000000" w:rsidP="00B97DAD">
      <w:pPr>
        <w:bidi/>
        <w:spacing w:after="80"/>
      </w:pPr>
      <w:r>
        <w:rPr>
          <w:rFonts w:ascii="Traditional Arabic" w:hAnsi="Traditional Arabic" w:cs="Traditional Arabic"/>
          <w:color w:val="111111"/>
          <w:sz w:val="25"/>
          <w:szCs w:val="25"/>
        </w:rPr>
        <w:t>الإجابة الدقيقة: نعم بالمعنى التنظيمي الواسع — لكن من الفئة التي وثّقتها FinRegLab تجريبيًا وقبِلها المنظّمون: بياناتُ تدفقات نقدية من الطرف الأول وبموافقة صاحبها، لا البيانات الهامشية (اتصالات/تواصل) التي أثارت التحفظات عالميًا. والفرق ليس تسويقيًا: هو الفرق بين بياناتٍ يملكها العميل ويوافق عليها ويستطيع سحب موافقته عنها، وبياناتٍ تُجمَع عنه من أطراف ثالثة دون أن يشعر.</w:t>
      </w:r>
    </w:p>
    <w:p w14:paraId="4C5AFD7D" w14:textId="77777777" w:rsidR="004962F1" w:rsidRDefault="00000000" w:rsidP="00B97DAD">
      <w:pPr>
        <w:bidi/>
        <w:spacing w:before="160" w:after="80"/>
      </w:pPr>
      <w:r>
        <w:rPr>
          <w:rFonts w:ascii="Traditional Arabic" w:hAnsi="Traditional Arabic" w:cs="Traditional Arabic"/>
          <w:b/>
          <w:bCs/>
          <w:color w:val="1B2A5B"/>
          <w:sz w:val="30"/>
          <w:szCs w:val="30"/>
        </w:rPr>
        <w:t>٦ · لماذا يطمئن هذا المنظّمَ والمحكّم — بالأرقام</w:t>
      </w:r>
    </w:p>
    <w:p w14:paraId="59BB71F6" w14:textId="77777777" w:rsidR="004962F1" w:rsidRDefault="00000000" w:rsidP="00B97DAD">
      <w:pPr>
        <w:bidi/>
        <w:spacing w:after="40"/>
        <w:ind w:right="170"/>
      </w:pPr>
      <w:r>
        <w:rPr>
          <w:rFonts w:ascii="Traditional Arabic" w:hAnsi="Traditional Arabic" w:cs="Traditional Arabic"/>
          <w:color w:val="111111"/>
          <w:sz w:val="25"/>
          <w:szCs w:val="25"/>
        </w:rPr>
        <w:t>•  FinRegLab: القوة التنبؤية لبيانات التدفقات مستقلة، وتكميلية، وتمتد للفئات محدودة الملف الائتماني.</w:t>
      </w:r>
    </w:p>
    <w:p w14:paraId="070FC423" w14:textId="77777777" w:rsidR="004962F1" w:rsidRDefault="00000000" w:rsidP="00B97DAD">
      <w:pPr>
        <w:bidi/>
        <w:spacing w:after="40"/>
        <w:ind w:right="170"/>
      </w:pPr>
      <w:r>
        <w:rPr>
          <w:rFonts w:ascii="Traditional Arabic" w:hAnsi="Traditional Arabic" w:cs="Traditional Arabic"/>
          <w:color w:val="111111"/>
          <w:sz w:val="25"/>
          <w:szCs w:val="25"/>
        </w:rPr>
        <w:t>•  بنك التسويات الدولية (BIS): نموذج على بيانات المعاملات حقق AUC ‏0.76 مقابل 0.64 للسجل التقليدي.</w:t>
      </w:r>
    </w:p>
    <w:p w14:paraId="02E4170F" w14:textId="77777777" w:rsidR="004962F1" w:rsidRDefault="00000000" w:rsidP="00B97DAD">
      <w:pPr>
        <w:bidi/>
        <w:spacing w:after="40"/>
        <w:ind w:right="170"/>
      </w:pPr>
      <w:r>
        <w:rPr>
          <w:rFonts w:ascii="Traditional Arabic" w:hAnsi="Traditional Arabic" w:cs="Traditional Arabic"/>
          <w:color w:val="111111"/>
          <w:sz w:val="25"/>
          <w:szCs w:val="25"/>
        </w:rPr>
        <w:t>•  Lean داخل حاضنة ساما التنظيمية: رصدت ٣٧ مليار ر.س دخلًا راتبيًا و١٤ مليار ر.س دخلًا غير راتبي — الدخل غير المرئي موجود على نطاق وطني.</w:t>
      </w:r>
    </w:p>
    <w:p w14:paraId="0355519A" w14:textId="77777777" w:rsidR="004962F1" w:rsidRDefault="00000000" w:rsidP="00B97DAD">
      <w:pPr>
        <w:bidi/>
        <w:spacing w:after="40"/>
        <w:ind w:right="170"/>
      </w:pPr>
      <w:r>
        <w:rPr>
          <w:rFonts w:ascii="Traditional Arabic" w:hAnsi="Traditional Arabic" w:cs="Traditional Arabic"/>
          <w:color w:val="111111"/>
          <w:sz w:val="25"/>
          <w:szCs w:val="25"/>
        </w:rPr>
        <w:t>•  «طبقة»: الآلية مثبتة على ثلاث مجموعات حقيقية مع ضابط سلبي منشور، ومتوافقة مع مبادئ الإقراض المسؤول (تعميم ساما 46538/99)، وتخدم مستهدف استراتيجية تطوير القطاع المالي في رفع الشمول.</w:t>
      </w:r>
    </w:p>
    <w:p w14:paraId="7B28286E" w14:textId="77777777" w:rsidR="004962F1" w:rsidRDefault="00000000" w:rsidP="00B97DAD">
      <w:pPr>
        <w:bidi/>
        <w:spacing w:before="160" w:after="80"/>
      </w:pPr>
      <w:r>
        <w:rPr>
          <w:rFonts w:ascii="Traditional Arabic" w:hAnsi="Traditional Arabic" w:cs="Traditional Arabic"/>
          <w:b/>
          <w:bCs/>
          <w:color w:val="111111"/>
          <w:sz w:val="25"/>
          <w:szCs w:val="25"/>
        </w:rPr>
        <w:t>الخلاصة — السطر الذي يُحفَظ:</w:t>
      </w:r>
    </w:p>
    <w:p w14:paraId="4EA41099" w14:textId="77777777" w:rsidR="004962F1" w:rsidRDefault="00000000" w:rsidP="00B97DAD">
      <w:pPr>
        <w:bidi/>
        <w:spacing w:before="40" w:after="80"/>
      </w:pPr>
      <w:r>
        <w:rPr>
          <w:rFonts w:ascii="Traditional Arabic" w:hAnsi="Traditional Arabic" w:cs="Traditional Arabic"/>
          <w:b/>
          <w:bCs/>
          <w:color w:val="1B2A5B"/>
          <w:sz w:val="27"/>
          <w:szCs w:val="27"/>
        </w:rPr>
        <w:t>«سِمة تقرأ ماضيك الائتماني؛ طبقة تقرأ سلوكَ أموالك الحاضر — بموافقتك، من جدول واحد بخمسة أعمدة، وفق الفئة التي وثّقتها FinRegLab.»</w:t>
      </w:r>
    </w:p>
    <w:p w14:paraId="071D8D89" w14:textId="77777777" w:rsidR="004962F1" w:rsidRDefault="00000000" w:rsidP="00B97DAD">
      <w:pPr>
        <w:bidi/>
        <w:spacing w:before="120" w:after="80"/>
      </w:pPr>
      <w:r>
        <w:rPr>
          <w:rFonts w:ascii="Traditional Arabic" w:hAnsi="Traditional Arabic" w:cs="Traditional Arabic"/>
          <w:color w:val="1B2A5B"/>
          <w:sz w:val="20"/>
          <w:szCs w:val="20"/>
        </w:rPr>
        <w:t>أُعدّ داخليًا لفريق طبقة · المصادر التفصيلية: EVIDENCE.md · model_card.json · FinRegLab (2019–2020) · BIS · leantech.me</w:t>
      </w:r>
    </w:p>
    <w:sectPr w:rsidR="004962F1"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Traditional Arabic">
    <w:panose1 w:val="00000000000000000000"/>
    <w:charset w:val="B2"/>
    <w:family w:val="auto"/>
    <w:pitch w:val="variable"/>
    <w:sig w:usb0="00002001" w:usb1="00000000" w:usb2="00000000"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3097280">
    <w:abstractNumId w:val="8"/>
  </w:num>
  <w:num w:numId="2" w16cid:durableId="1967858219">
    <w:abstractNumId w:val="6"/>
  </w:num>
  <w:num w:numId="3" w16cid:durableId="1396471385">
    <w:abstractNumId w:val="5"/>
  </w:num>
  <w:num w:numId="4" w16cid:durableId="1406490782">
    <w:abstractNumId w:val="4"/>
  </w:num>
  <w:num w:numId="5" w16cid:durableId="978340500">
    <w:abstractNumId w:val="7"/>
  </w:num>
  <w:num w:numId="6" w16cid:durableId="1327199774">
    <w:abstractNumId w:val="3"/>
  </w:num>
  <w:num w:numId="7" w16cid:durableId="196285289">
    <w:abstractNumId w:val="2"/>
  </w:num>
  <w:num w:numId="8" w16cid:durableId="1968273074">
    <w:abstractNumId w:val="1"/>
  </w:num>
  <w:num w:numId="9" w16cid:durableId="185237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2F1"/>
    <w:rsid w:val="00AA1D8D"/>
    <w:rsid w:val="00B47730"/>
    <w:rsid w:val="00B97DAD"/>
    <w:rsid w:val="00CB0664"/>
    <w:rsid w:val="00E502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A552A"/>
  <w14:defaultImageDpi w14:val="300"/>
  <w15:docId w15:val="{0084F417-3C09-1D48-8F6C-6F47C192D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671</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ILYAS MOHAMMED NASSER ALGHAMDI</cp:lastModifiedBy>
  <cp:revision>4</cp:revision>
  <cp:lastPrinted>2026-07-10T19:07:00Z</cp:lastPrinted>
  <dcterms:created xsi:type="dcterms:W3CDTF">2026-07-10T19:07:00Z</dcterms:created>
  <dcterms:modified xsi:type="dcterms:W3CDTF">2026-07-10T19:35:00Z</dcterms:modified>
  <cp:category/>
</cp:coreProperties>
</file>