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AD82" w14:textId="5B4F2CBD" w:rsidR="00201C4B" w:rsidRPr="00201C4B" w:rsidRDefault="00201C4B" w:rsidP="00201C4B">
      <w:pPr>
        <w:rPr>
          <w:b/>
          <w:bCs/>
        </w:rPr>
      </w:pPr>
      <w:r w:rsidRPr="00201C4B">
        <w:rPr>
          <w:b/>
          <w:bCs/>
        </w:rPr>
        <w:t>3.</w:t>
      </w:r>
      <w:r w:rsidR="00B24E0A">
        <w:rPr>
          <w:b/>
          <w:bCs/>
          <w:lang w:val="en-US"/>
        </w:rPr>
        <w:t>4</w:t>
      </w:r>
      <w:r w:rsidRPr="00201C4B">
        <w:rPr>
          <w:b/>
          <w:bCs/>
        </w:rPr>
        <w:t xml:space="preserve"> Structure &amp; Investor Protection</w:t>
      </w:r>
    </w:p>
    <w:p w14:paraId="366B37F5" w14:textId="77777777" w:rsidR="00201C4B" w:rsidRPr="00201C4B" w:rsidRDefault="00201C4B" w:rsidP="00201C4B">
      <w:pPr>
        <w:rPr>
          <w:b/>
          <w:bCs/>
        </w:rPr>
      </w:pPr>
      <w:r w:rsidRPr="00201C4B">
        <w:rPr>
          <w:b/>
          <w:bCs/>
        </w:rPr>
        <w:t>Swiss Issuer + SPV Structure + Independent Oversight</w:t>
      </w:r>
    </w:p>
    <w:p w14:paraId="4A4E82DA" w14:textId="77777777" w:rsidR="00201C4B" w:rsidRPr="00201C4B" w:rsidRDefault="00201C4B" w:rsidP="00201C4B">
      <w:r w:rsidRPr="00201C4B">
        <w:t>The investment framework combines institutional-grade structuring with operational flexibility.</w:t>
      </w:r>
    </w:p>
    <w:p w14:paraId="40FEBEA9" w14:textId="77777777" w:rsidR="00201C4B" w:rsidRPr="00201C4B" w:rsidRDefault="00201C4B" w:rsidP="00201C4B">
      <w:pPr>
        <w:rPr>
          <w:b/>
          <w:bCs/>
        </w:rPr>
      </w:pPr>
      <w:r w:rsidRPr="00201C4B">
        <w:rPr>
          <w:b/>
          <w:bCs/>
        </w:rPr>
        <w:t>Core Components</w:t>
      </w:r>
    </w:p>
    <w:p w14:paraId="07E52E97" w14:textId="18E6EBAC" w:rsidR="00201C4B" w:rsidRPr="00201C4B" w:rsidRDefault="00201C4B" w:rsidP="00201C4B">
      <w:pPr>
        <w:numPr>
          <w:ilvl w:val="0"/>
          <w:numId w:val="1"/>
        </w:numPr>
      </w:pPr>
      <w:r w:rsidRPr="00201C4B">
        <w:rPr>
          <w:b/>
          <w:bCs/>
        </w:rPr>
        <w:t>Swiss-issued AMC</w:t>
      </w:r>
      <w:r w:rsidRPr="00201C4B">
        <w:t xml:space="preserve"> </w:t>
      </w:r>
      <w:r>
        <w:t>-</w:t>
      </w:r>
      <w:r w:rsidRPr="00201C4B">
        <w:t xml:space="preserve"> Investors participate via an ISIN through their bank.</w:t>
      </w:r>
    </w:p>
    <w:p w14:paraId="7E391E7C" w14:textId="0C1D24F9" w:rsidR="00201C4B" w:rsidRPr="00201C4B" w:rsidRDefault="00201C4B" w:rsidP="00201C4B">
      <w:pPr>
        <w:numPr>
          <w:ilvl w:val="0"/>
          <w:numId w:val="1"/>
        </w:numPr>
      </w:pPr>
      <w:r w:rsidRPr="00201C4B">
        <w:rPr>
          <w:b/>
          <w:bCs/>
        </w:rPr>
        <w:t>Dedicated SPV per vessel</w:t>
      </w:r>
      <w:r w:rsidRPr="00201C4B">
        <w:t xml:space="preserve"> </w:t>
      </w:r>
      <w:r>
        <w:t>-</w:t>
      </w:r>
      <w:r w:rsidRPr="00201C4B">
        <w:t xml:space="preserve"> Each asset is legally ring-fenced.</w:t>
      </w:r>
    </w:p>
    <w:p w14:paraId="70536DC2" w14:textId="4CD56B64" w:rsidR="00201C4B" w:rsidRPr="00201C4B" w:rsidRDefault="00201C4B" w:rsidP="00201C4B">
      <w:pPr>
        <w:numPr>
          <w:ilvl w:val="0"/>
          <w:numId w:val="1"/>
        </w:numPr>
      </w:pPr>
      <w:r w:rsidRPr="00201C4B">
        <w:rPr>
          <w:b/>
          <w:bCs/>
        </w:rPr>
        <w:t>Independent Auditor</w:t>
      </w:r>
      <w:r w:rsidRPr="00201C4B">
        <w:t xml:space="preserve"> </w:t>
      </w:r>
      <w:r>
        <w:t>-</w:t>
      </w:r>
      <w:r w:rsidRPr="00201C4B">
        <w:t xml:space="preserve"> Financial oversight.</w:t>
      </w:r>
    </w:p>
    <w:p w14:paraId="4BA6AF46" w14:textId="4E3947A8" w:rsidR="00201C4B" w:rsidRPr="00201C4B" w:rsidRDefault="00201C4B" w:rsidP="00201C4B">
      <w:pPr>
        <w:numPr>
          <w:ilvl w:val="0"/>
          <w:numId w:val="1"/>
        </w:numPr>
      </w:pPr>
      <w:r w:rsidRPr="00201C4B">
        <w:rPr>
          <w:b/>
          <w:bCs/>
        </w:rPr>
        <w:t>External Valuation Agent</w:t>
      </w:r>
      <w:r w:rsidRPr="00201C4B">
        <w:t xml:space="preserve"> </w:t>
      </w:r>
      <w:r>
        <w:t>-</w:t>
      </w:r>
      <w:r w:rsidRPr="00201C4B">
        <w:t xml:space="preserve"> Independent asset valuation.</w:t>
      </w:r>
    </w:p>
    <w:p w14:paraId="549EFDC0" w14:textId="4904382B" w:rsidR="00201C4B" w:rsidRPr="00201C4B" w:rsidRDefault="00201C4B" w:rsidP="00201C4B">
      <w:pPr>
        <w:numPr>
          <w:ilvl w:val="0"/>
          <w:numId w:val="1"/>
        </w:numPr>
      </w:pPr>
      <w:r w:rsidRPr="00201C4B">
        <w:rPr>
          <w:b/>
          <w:bCs/>
        </w:rPr>
        <w:t>SPV Administrator</w:t>
      </w:r>
      <w:r w:rsidRPr="00201C4B">
        <w:t xml:space="preserve"> </w:t>
      </w:r>
      <w:r>
        <w:t>-</w:t>
      </w:r>
      <w:r w:rsidRPr="00201C4B">
        <w:t xml:space="preserve"> Corporate governance and reporting.</w:t>
      </w:r>
    </w:p>
    <w:p w14:paraId="7279891C" w14:textId="08077640" w:rsidR="00201C4B" w:rsidRPr="00201C4B" w:rsidRDefault="00201C4B" w:rsidP="00201C4B">
      <w:pPr>
        <w:numPr>
          <w:ilvl w:val="0"/>
          <w:numId w:val="1"/>
        </w:numPr>
      </w:pPr>
      <w:r w:rsidRPr="00201C4B">
        <w:rPr>
          <w:b/>
          <w:bCs/>
        </w:rPr>
        <w:t>Custodian Bank (DVP settlement)</w:t>
      </w:r>
      <w:r w:rsidRPr="00201C4B">
        <w:t xml:space="preserve"> </w:t>
      </w:r>
      <w:r>
        <w:t>-</w:t>
      </w:r>
      <w:r w:rsidRPr="00201C4B">
        <w:t xml:space="preserve"> Secure transaction execution.</w:t>
      </w:r>
    </w:p>
    <w:p w14:paraId="3B8DF99F" w14:textId="77777777" w:rsidR="00201C4B" w:rsidRPr="00201C4B" w:rsidRDefault="00201C4B" w:rsidP="00201C4B">
      <w:r w:rsidRPr="00201C4B">
        <w:t>Investor holdings are maintained within established private banking custody systems.</w:t>
      </w:r>
    </w:p>
    <w:p w14:paraId="50AE2BBE" w14:textId="47B5F442" w:rsidR="00201C4B" w:rsidRPr="00201C4B" w:rsidRDefault="00201C4B" w:rsidP="00201C4B"/>
    <w:p w14:paraId="44D0EFD7" w14:textId="77777777" w:rsidR="00201C4B" w:rsidRPr="00201C4B" w:rsidRDefault="00201C4B" w:rsidP="00201C4B">
      <w:pPr>
        <w:rPr>
          <w:b/>
          <w:bCs/>
        </w:rPr>
      </w:pPr>
      <w:r w:rsidRPr="00201C4B">
        <w:rPr>
          <w:b/>
          <w:bCs/>
        </w:rPr>
        <w:t>Risk Mitigation Principles</w:t>
      </w:r>
    </w:p>
    <w:p w14:paraId="1E8DE073" w14:textId="77777777" w:rsidR="00201C4B" w:rsidRPr="00201C4B" w:rsidRDefault="00201C4B" w:rsidP="00201C4B">
      <w:pPr>
        <w:numPr>
          <w:ilvl w:val="0"/>
          <w:numId w:val="2"/>
        </w:numPr>
      </w:pPr>
      <w:r w:rsidRPr="00201C4B">
        <w:t>Tangible asset backing with intrinsic value</w:t>
      </w:r>
    </w:p>
    <w:p w14:paraId="43E87158" w14:textId="77777777" w:rsidR="00201C4B" w:rsidRPr="00201C4B" w:rsidRDefault="00201C4B" w:rsidP="00201C4B">
      <w:pPr>
        <w:numPr>
          <w:ilvl w:val="0"/>
          <w:numId w:val="2"/>
        </w:numPr>
      </w:pPr>
      <w:r w:rsidRPr="00201C4B">
        <w:t>Active secondary vessel market enabling divestment</w:t>
      </w:r>
    </w:p>
    <w:p w14:paraId="47512771" w14:textId="77777777" w:rsidR="00201C4B" w:rsidRPr="00201C4B" w:rsidRDefault="00201C4B" w:rsidP="00201C4B">
      <w:pPr>
        <w:numPr>
          <w:ilvl w:val="0"/>
          <w:numId w:val="2"/>
        </w:numPr>
      </w:pPr>
      <w:r w:rsidRPr="00201C4B">
        <w:t>Disciplined acquisition pricing</w:t>
      </w:r>
    </w:p>
    <w:p w14:paraId="0F62F82A" w14:textId="77777777" w:rsidR="00201C4B" w:rsidRPr="00201C4B" w:rsidRDefault="00201C4B" w:rsidP="00201C4B">
      <w:pPr>
        <w:numPr>
          <w:ilvl w:val="0"/>
          <w:numId w:val="2"/>
        </w:numPr>
      </w:pPr>
      <w:r w:rsidRPr="00201C4B">
        <w:t>Phased capital deployment to reduce timing risk</w:t>
      </w:r>
    </w:p>
    <w:p w14:paraId="62D71C20" w14:textId="2A685501" w:rsidR="00201C4B" w:rsidRPr="00201C4B" w:rsidRDefault="00201C4B" w:rsidP="00201C4B"/>
    <w:p w14:paraId="715EF2A8" w14:textId="77777777" w:rsidR="00201C4B" w:rsidRPr="00201C4B" w:rsidRDefault="00201C4B" w:rsidP="00201C4B">
      <w:pPr>
        <w:rPr>
          <w:b/>
          <w:bCs/>
        </w:rPr>
      </w:pPr>
      <w:r w:rsidRPr="00201C4B">
        <w:rPr>
          <w:b/>
          <w:bCs/>
        </w:rPr>
        <w:t>Regulatory &amp; Transparency Framework</w:t>
      </w:r>
    </w:p>
    <w:p w14:paraId="628FFA9C" w14:textId="77777777" w:rsidR="00201C4B" w:rsidRPr="00201C4B" w:rsidRDefault="00201C4B" w:rsidP="00201C4B">
      <w:r w:rsidRPr="00201C4B">
        <w:t>The Swiss Financial Market Supervisory Authority (FINMA) imposes enhanced due diligence and cost transparency standards on structured products, reinforcing investor protection and disclosure discipline.</w:t>
      </w:r>
    </w:p>
    <w:p w14:paraId="4DEC9F92" w14:textId="77777777" w:rsidR="00F66016" w:rsidRPr="00201C4B" w:rsidRDefault="00F66016" w:rsidP="00F66016">
      <w:pPr>
        <w:rPr>
          <w:b/>
          <w:bCs/>
        </w:rPr>
      </w:pPr>
    </w:p>
    <w:p w14:paraId="03CC6A6B" w14:textId="77777777" w:rsidR="00454383" w:rsidRDefault="00454383" w:rsidP="00454383">
      <w:pPr>
        <w:rPr>
          <w:b/>
          <w:bCs/>
          <w:lang w:val="en-US"/>
        </w:rPr>
      </w:pPr>
    </w:p>
    <w:sectPr w:rsidR="00454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5003"/>
    <w:multiLevelType w:val="multilevel"/>
    <w:tmpl w:val="9536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675BC"/>
    <w:multiLevelType w:val="multilevel"/>
    <w:tmpl w:val="1720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25018">
    <w:abstractNumId w:val="1"/>
  </w:num>
  <w:num w:numId="2" w16cid:durableId="6180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C5"/>
    <w:rsid w:val="00201C4B"/>
    <w:rsid w:val="00454383"/>
    <w:rsid w:val="00B24E0A"/>
    <w:rsid w:val="00E814C5"/>
    <w:rsid w:val="00F3220D"/>
    <w:rsid w:val="00F66016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3E75D"/>
  <w15:chartTrackingRefBased/>
  <w15:docId w15:val="{C330435C-8D5F-49D8-A5E1-7DA32E2B3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383"/>
  </w:style>
  <w:style w:type="paragraph" w:styleId="1">
    <w:name w:val="heading 1"/>
    <w:basedOn w:val="a"/>
    <w:next w:val="a"/>
    <w:link w:val="10"/>
    <w:uiPriority w:val="9"/>
    <w:qFormat/>
    <w:rsid w:val="00E8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1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14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14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14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4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4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4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14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14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14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14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14C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60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3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1C9DE-D97F-4B6D-ABC3-777045C1A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5</cp:revision>
  <dcterms:created xsi:type="dcterms:W3CDTF">2026-03-03T15:28:00Z</dcterms:created>
  <dcterms:modified xsi:type="dcterms:W3CDTF">2026-03-04T13:38:00Z</dcterms:modified>
</cp:coreProperties>
</file>