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467F" w14:textId="4514CD7E" w:rsidR="009B2D15" w:rsidRPr="009B2D15" w:rsidRDefault="009B2D15" w:rsidP="009B2D15">
      <w:pPr>
        <w:pStyle w:val="Ttulo2"/>
        <w:rPr>
          <w:rFonts w:ascii="Montserrat Alternates ExtraBold" w:hAnsi="Montserrat Alternates ExtraBold"/>
          <w:b/>
          <w:bCs/>
          <w:color w:val="C00000"/>
          <w:sz w:val="32"/>
          <w:szCs w:val="32"/>
        </w:rPr>
      </w:pPr>
      <w:r w:rsidRPr="009B2D15">
        <w:rPr>
          <w:rFonts w:ascii="Montserrat Alternates ExtraBold" w:hAnsi="Montserrat Alternates ExtraBold"/>
          <w:b/>
          <w:bCs/>
          <w:color w:val="C00000"/>
          <w:sz w:val="32"/>
          <w:szCs w:val="32"/>
        </w:rPr>
        <w:t>Práctica tema 1</w:t>
      </w:r>
      <w:r>
        <w:rPr>
          <w:rFonts w:ascii="Montserrat Alternates ExtraBold" w:hAnsi="Montserrat Alternates ExtraBold"/>
          <w:b/>
          <w:bCs/>
          <w:color w:val="C00000"/>
          <w:sz w:val="32"/>
          <w:szCs w:val="32"/>
        </w:rPr>
        <w:t>.</w:t>
      </w:r>
      <w:r w:rsidRPr="009B2D15">
        <w:rPr>
          <w:rFonts w:ascii="Montserrat Alternates ExtraBold" w:hAnsi="Montserrat Alternates ExtraBold"/>
          <w:b/>
          <w:bCs/>
          <w:color w:val="C00000"/>
          <w:sz w:val="32"/>
          <w:szCs w:val="32"/>
        </w:rPr>
        <w:t xml:space="preserve"> Identificación de estándares</w:t>
      </w:r>
    </w:p>
    <w:p w14:paraId="3ED8CC63" w14:textId="3A4913D5" w:rsidR="00D10CFA" w:rsidRPr="00D10CFA" w:rsidRDefault="00D10CFA" w:rsidP="00D10CFA">
      <w:pPr>
        <w:pStyle w:val="Ttulo2"/>
      </w:pPr>
      <w:r w:rsidRPr="00D10CFA">
        <w:t>Sobre el estándar elegido en el wiki asignación de estándares para la actividad 1, indicar de forma concisa lo siguiente:</w:t>
      </w:r>
      <w:r w:rsidR="005A7994">
        <w:t xml:space="preserve"> </w:t>
      </w:r>
      <w:r w:rsidR="005A7994" w:rsidRPr="005A7994">
        <w:t xml:space="preserve">IEEE 1003 </w:t>
      </w:r>
      <w:r w:rsidR="005A7994">
        <w:t>–</w:t>
      </w:r>
      <w:r w:rsidR="005A7994" w:rsidRPr="005A7994">
        <w:t xml:space="preserve"> POSIX</w:t>
      </w:r>
      <w:r w:rsidR="005A7994">
        <w:t>.</w:t>
      </w:r>
    </w:p>
    <w:p w14:paraId="1E25D625" w14:textId="58C73AC3" w:rsidR="00D10CFA" w:rsidRDefault="00D10CFA" w:rsidP="00543978">
      <w:pPr>
        <w:pStyle w:val="Ttulo3"/>
        <w:numPr>
          <w:ilvl w:val="0"/>
          <w:numId w:val="3"/>
        </w:numPr>
      </w:pPr>
      <w:r w:rsidRPr="00D10CFA">
        <w:t>Descripción breve (máximo 3 párrafos) del estándar</w:t>
      </w:r>
      <w:r>
        <w:t>.</w:t>
      </w:r>
    </w:p>
    <w:p w14:paraId="0EFDB21A" w14:textId="77777777" w:rsidR="00586FC9" w:rsidRDefault="00586FC9" w:rsidP="00543978">
      <w:pPr>
        <w:ind w:left="708"/>
      </w:pPr>
      <w:r w:rsidRPr="00586FC9">
        <w:t>El estándar IEEE 1003, POSIX (</w:t>
      </w:r>
      <w:r w:rsidRPr="00586FC9">
        <w:rPr>
          <w:i/>
          <w:iCs/>
        </w:rPr>
        <w:t>Portable Operating System Interface</w:t>
      </w:r>
      <w:r w:rsidRPr="00586FC9">
        <w:t>), define un conjunto de normas estandarizadas para las interfaces de programación (API), shells de comandos y utilidades de sistemas operativos.</w:t>
      </w:r>
    </w:p>
    <w:p w14:paraId="3A19DE35" w14:textId="5B4FC593" w:rsidR="00D10CFA" w:rsidRDefault="00586FC9" w:rsidP="00543978">
      <w:pPr>
        <w:ind w:left="708"/>
      </w:pPr>
      <w:r w:rsidRPr="00586FC9">
        <w:t>Su principal objetivo es garantizar la portabilidad del código fuente, permitiendo que un software desarrollado en un sistema compatible (GNU/Linux, macOS</w:t>
      </w:r>
      <w:r>
        <w:t xml:space="preserve"> o </w:t>
      </w:r>
      <w:r w:rsidRPr="00586FC9">
        <w:t>Unix) pueda compilarse y ejecutarse en otros sin necesidad de reescribir su lógica interna.</w:t>
      </w:r>
    </w:p>
    <w:p w14:paraId="6F49AF45" w14:textId="77777777" w:rsidR="00543978" w:rsidRPr="00D10CFA" w:rsidRDefault="00543978" w:rsidP="00543978">
      <w:pPr>
        <w:ind w:left="708"/>
      </w:pPr>
    </w:p>
    <w:p w14:paraId="2C951DAA" w14:textId="1100919A" w:rsidR="00D10CFA" w:rsidRDefault="00D10CFA" w:rsidP="00543978">
      <w:pPr>
        <w:pStyle w:val="Ttulo3"/>
        <w:numPr>
          <w:ilvl w:val="0"/>
          <w:numId w:val="3"/>
        </w:numPr>
      </w:pPr>
      <w:r w:rsidRPr="00D10CFA">
        <w:t>Ventajas que aporta (frente a si no existiese el estándar)</w:t>
      </w:r>
      <w:r w:rsidR="00543978">
        <w:t>.</w:t>
      </w:r>
    </w:p>
    <w:p w14:paraId="3B0851B1" w14:textId="55649E4A" w:rsidR="00543978" w:rsidRDefault="00716F38" w:rsidP="00543978">
      <w:pPr>
        <w:ind w:left="708"/>
      </w:pPr>
      <w:r>
        <w:t>Su</w:t>
      </w:r>
      <w:r w:rsidR="0018775A" w:rsidRPr="0018775A">
        <w:t xml:space="preserve"> principal ventaja de este estándar es la portabilidad: permite a los desarrolladores escribir un programa una sola vez y compilarlo en múltiples sistemas distintos, ahorrando tiempo, reduciendo costes económicos y evitando depender de un único proveedor.</w:t>
      </w:r>
    </w:p>
    <w:p w14:paraId="276F7345" w14:textId="77777777" w:rsidR="00543978" w:rsidRPr="00543978" w:rsidRDefault="00543978" w:rsidP="00543978">
      <w:pPr>
        <w:ind w:left="708"/>
      </w:pPr>
    </w:p>
    <w:p w14:paraId="225F62E6" w14:textId="77777777" w:rsidR="00543978" w:rsidRDefault="00D10CFA" w:rsidP="00D10CFA">
      <w:pPr>
        <w:pStyle w:val="Ttulo3"/>
        <w:numPr>
          <w:ilvl w:val="0"/>
          <w:numId w:val="3"/>
        </w:numPr>
      </w:pPr>
      <w:r w:rsidRPr="00D10CFA">
        <w:t>Clasificación del estándar:</w:t>
      </w:r>
    </w:p>
    <w:p w14:paraId="5E10629B" w14:textId="19F0FE1E" w:rsidR="00D10CFA" w:rsidRDefault="00D10CFA" w:rsidP="00543978">
      <w:pPr>
        <w:pStyle w:val="Ttulo3"/>
        <w:numPr>
          <w:ilvl w:val="1"/>
          <w:numId w:val="3"/>
        </w:numPr>
      </w:pPr>
      <w:r w:rsidRPr="00D10CFA">
        <w:t>Según la materia que estandarizan.</w:t>
      </w:r>
    </w:p>
    <w:p w14:paraId="1FA2AC60" w14:textId="12B52F0B" w:rsidR="00543978" w:rsidRDefault="00E12197" w:rsidP="00543978">
      <w:pPr>
        <w:ind w:left="1080"/>
      </w:pPr>
      <w:r w:rsidRPr="00E12197">
        <w:t>Estándar de software (API y diseño de sistemas operativos).</w:t>
      </w:r>
    </w:p>
    <w:p w14:paraId="7240D939" w14:textId="77777777" w:rsidR="00543978" w:rsidRPr="00543978" w:rsidRDefault="00543978" w:rsidP="00543978">
      <w:pPr>
        <w:ind w:left="1080"/>
      </w:pPr>
    </w:p>
    <w:p w14:paraId="35A3ACF3" w14:textId="4F4EB7E0" w:rsidR="00D10CFA" w:rsidRDefault="00D10CFA" w:rsidP="00543978">
      <w:pPr>
        <w:pStyle w:val="Ttulo3"/>
        <w:numPr>
          <w:ilvl w:val="1"/>
          <w:numId w:val="3"/>
        </w:numPr>
      </w:pPr>
      <w:r w:rsidRPr="00D10CFA">
        <w:t>Según su origen o creación. Explicar.</w:t>
      </w:r>
    </w:p>
    <w:p w14:paraId="4DB6DC2E" w14:textId="63D535D9" w:rsidR="00543978" w:rsidRDefault="00F17FC3" w:rsidP="00543978">
      <w:pPr>
        <w:ind w:left="1080"/>
      </w:pPr>
      <w:r w:rsidRPr="00F17FC3">
        <w:t>Estándar</w:t>
      </w:r>
      <w:r>
        <w:t xml:space="preserve"> de iure</w:t>
      </w:r>
      <w:r w:rsidRPr="00F17FC3">
        <w:t>. Es un estándar formalmente consensuado, aprobado y mantenido por organizaciones reguladoras reconocidas de forma oficial</w:t>
      </w:r>
      <w:r w:rsidR="00E76766">
        <w:t xml:space="preserve"> (</w:t>
      </w:r>
      <w:r w:rsidRPr="00F17FC3">
        <w:t xml:space="preserve">IEEE, The Open Group </w:t>
      </w:r>
      <w:r w:rsidR="00E76766">
        <w:t>e</w:t>
      </w:r>
      <w:r w:rsidRPr="00F17FC3">
        <w:t xml:space="preserve"> ISO/IEC</w:t>
      </w:r>
      <w:r w:rsidR="00E76766">
        <w:t>)</w:t>
      </w:r>
      <w:r w:rsidRPr="00F17FC3">
        <w:t>.</w:t>
      </w:r>
    </w:p>
    <w:p w14:paraId="21535752" w14:textId="77777777" w:rsidR="00543978" w:rsidRPr="00543978" w:rsidRDefault="00543978" w:rsidP="00543978">
      <w:pPr>
        <w:ind w:left="1080"/>
      </w:pPr>
    </w:p>
    <w:p w14:paraId="632EBB8B" w14:textId="49C0018E" w:rsidR="00D10CFA" w:rsidRDefault="00D10CFA" w:rsidP="00543978">
      <w:pPr>
        <w:pStyle w:val="Ttulo3"/>
        <w:numPr>
          <w:ilvl w:val="1"/>
          <w:numId w:val="3"/>
        </w:numPr>
      </w:pPr>
      <w:r w:rsidRPr="00D10CFA">
        <w:t>Según sus posibilidades de aplicación (abierto-cerrado). Explicar.</w:t>
      </w:r>
    </w:p>
    <w:p w14:paraId="6FF800FB" w14:textId="305B36AF" w:rsidR="00543978" w:rsidRPr="00C32CCE" w:rsidRDefault="00C32CCE" w:rsidP="00543978">
      <w:pPr>
        <w:ind w:left="1080"/>
      </w:pPr>
      <w:r w:rsidRPr="00C32CCE">
        <w:t>E</w:t>
      </w:r>
      <w:r>
        <w:t>s un e</w:t>
      </w:r>
      <w:r w:rsidRPr="00C32CCE">
        <w:t>stándar abierto</w:t>
      </w:r>
      <w:r>
        <w:t>, c</w:t>
      </w:r>
      <w:r w:rsidRPr="00C32CCE">
        <w:t>ualquier persona puede acceder a las especificaciones técnicas del documento e implementarlas en su propio código de forma libre para asegurar que su sistema sea compatible.</w:t>
      </w:r>
    </w:p>
    <w:p w14:paraId="09F14CBF" w14:textId="77777777" w:rsidR="00543978" w:rsidRPr="00543978" w:rsidRDefault="00543978" w:rsidP="00543978">
      <w:pPr>
        <w:ind w:left="1080"/>
      </w:pPr>
    </w:p>
    <w:p w14:paraId="12DDB876" w14:textId="3D10F472" w:rsidR="00D10CFA" w:rsidRDefault="00D10CFA" w:rsidP="00543978">
      <w:pPr>
        <w:pStyle w:val="Ttulo3"/>
        <w:numPr>
          <w:ilvl w:val="1"/>
          <w:numId w:val="3"/>
        </w:numPr>
      </w:pPr>
      <w:r w:rsidRPr="00D10CFA">
        <w:lastRenderedPageBreak/>
        <w:t>Indicar su ámbito de aplicación (internacional, nacional, local, empresa...).</w:t>
      </w:r>
    </w:p>
    <w:p w14:paraId="6668B2DD" w14:textId="19F651CE" w:rsidR="00543978" w:rsidRDefault="00D45491" w:rsidP="00543978">
      <w:pPr>
        <w:ind w:left="1080"/>
      </w:pPr>
      <w:r w:rsidRPr="00D45491">
        <w:t>Su ámbito de aplicación es internacional. Es uno de los estándares más adoptados por la industria del software a nivel mundial.</w:t>
      </w:r>
    </w:p>
    <w:p w14:paraId="0AAFC138" w14:textId="77777777" w:rsidR="00543978" w:rsidRPr="00543978" w:rsidRDefault="00543978" w:rsidP="00543978">
      <w:pPr>
        <w:ind w:left="1080"/>
      </w:pPr>
    </w:p>
    <w:p w14:paraId="5EFA4F19" w14:textId="204AD6FC" w:rsidR="00D10CFA" w:rsidRDefault="00D10CFA" w:rsidP="00543978">
      <w:pPr>
        <w:pStyle w:val="Ttulo3"/>
        <w:numPr>
          <w:ilvl w:val="1"/>
          <w:numId w:val="3"/>
        </w:numPr>
      </w:pPr>
      <w:r w:rsidRPr="00D10CFA">
        <w:t>Indicar si se conoce si tiene carácter legal o vinculante en algún caso. Explicar.</w:t>
      </w:r>
    </w:p>
    <w:p w14:paraId="7AC63F2D" w14:textId="4A909462" w:rsidR="00804C30" w:rsidRPr="00D3186F" w:rsidRDefault="00D45491" w:rsidP="00965520">
      <w:pPr>
        <w:ind w:left="1080"/>
      </w:pPr>
      <w:r>
        <w:t>N</w:t>
      </w:r>
      <w:r w:rsidRPr="00D45491">
        <w:t xml:space="preserve">o existe una ley general que obligue a usarlo, </w:t>
      </w:r>
      <w:r w:rsidR="00965520">
        <w:t xml:space="preserve">pero </w:t>
      </w:r>
      <w:r w:rsidRPr="00D45491">
        <w:t>s</w:t>
      </w:r>
      <w:r w:rsidR="00965520">
        <w:t>i</w:t>
      </w:r>
      <w:r w:rsidRPr="00D45491">
        <w:t xml:space="preserve"> tiene un carácter vinculante estricto en el sector de la administración pública.</w:t>
      </w:r>
      <w:r w:rsidR="00965520">
        <w:t xml:space="preserve"> G</w:t>
      </w:r>
      <w:r w:rsidRPr="00D45491">
        <w:t xml:space="preserve">obiernos como el de Estados Unidos </w:t>
      </w:r>
      <w:r w:rsidR="00965520">
        <w:t xml:space="preserve">y </w:t>
      </w:r>
      <w:r w:rsidRPr="00D45491">
        <w:t>organismos de la Unión Europea han establecido por ley que cualquier sistema operativo adquirido mediante licitación pública debe cumplir con el estándar POSIX</w:t>
      </w:r>
      <w:r w:rsidR="00965520">
        <w:t xml:space="preserve"> y de </w:t>
      </w:r>
      <w:r w:rsidRPr="00D45491">
        <w:t xml:space="preserve">esta </w:t>
      </w:r>
      <w:r w:rsidR="00965520">
        <w:t>forma</w:t>
      </w:r>
      <w:r w:rsidRPr="00D45491">
        <w:t xml:space="preserve"> garantizar la interoperabilidad de la infraestructura</w:t>
      </w:r>
      <w:r w:rsidR="00965520">
        <w:t xml:space="preserve"> estatal</w:t>
      </w:r>
      <w:r w:rsidRPr="00D45491">
        <w:t>.</w:t>
      </w:r>
    </w:p>
    <w:sectPr w:rsidR="00804C30" w:rsidRPr="00D318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230B9" w14:textId="77777777" w:rsidR="0093213A" w:rsidRDefault="0093213A" w:rsidP="00303D03">
      <w:pPr>
        <w:spacing w:after="0" w:line="240" w:lineRule="auto"/>
      </w:pPr>
      <w:r>
        <w:separator/>
      </w:r>
    </w:p>
  </w:endnote>
  <w:endnote w:type="continuationSeparator" w:id="0">
    <w:p w14:paraId="7D8DDE69" w14:textId="77777777" w:rsidR="0093213A" w:rsidRDefault="0093213A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B223" w14:textId="77777777" w:rsidR="00990CCB" w:rsidRDefault="00990C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1DFC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9C93D" w14:textId="77777777" w:rsidR="0093213A" w:rsidRDefault="0093213A" w:rsidP="00303D03">
      <w:pPr>
        <w:spacing w:after="0" w:line="240" w:lineRule="auto"/>
      </w:pPr>
      <w:r>
        <w:separator/>
      </w:r>
    </w:p>
  </w:footnote>
  <w:footnote w:type="continuationSeparator" w:id="0">
    <w:p w14:paraId="32DE505C" w14:textId="77777777" w:rsidR="0093213A" w:rsidRDefault="0093213A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0827" w14:textId="77777777" w:rsidR="00990CCB" w:rsidRDefault="00990C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543F08F8" w:rsidR="00BF19CA" w:rsidRPr="00BF19CA" w:rsidRDefault="00BF19CA" w:rsidP="006C5413">
    <w:pPr>
      <w:pStyle w:val="Encabezado"/>
      <w:rPr>
        <w:b/>
        <w:bCs/>
        <w:color w:val="C00000"/>
      </w:rPr>
    </w:pPr>
    <w:r w:rsidRPr="00BF19CA">
      <w:rPr>
        <w:b/>
        <w:bCs/>
        <w:color w:val="C00000"/>
      </w:rPr>
      <w:t xml:space="preserve">Legislación y </w:t>
    </w:r>
    <w:r>
      <w:rPr>
        <w:b/>
        <w:bCs/>
        <w:color w:val="C00000"/>
      </w:rPr>
      <w:t>E</w:t>
    </w:r>
    <w:r w:rsidRPr="00BF19CA">
      <w:rPr>
        <w:b/>
        <w:bCs/>
        <w:color w:val="C00000"/>
      </w:rPr>
      <w:t>standarización</w:t>
    </w:r>
    <w:r w:rsidR="006C5413">
      <w:rPr>
        <w:b/>
        <w:bCs/>
        <w:color w:val="C00000"/>
      </w:rPr>
      <w:tab/>
    </w:r>
    <w:r w:rsidR="006C5413">
      <w:rPr>
        <w:b/>
        <w:bCs/>
        <w:color w:val="C00000"/>
      </w:rPr>
      <w:tab/>
      <w:t xml:space="preserve">           Alejandro Gómez Amaro</w:t>
    </w:r>
  </w:p>
  <w:p w14:paraId="559D62D8" w14:textId="75E3CF95" w:rsidR="00303D03" w:rsidRDefault="00303D0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E8B4" w14:textId="77777777" w:rsidR="00990CCB" w:rsidRDefault="00990C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F3116"/>
    <w:multiLevelType w:val="hybridMultilevel"/>
    <w:tmpl w:val="9C9EFA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C3DD1"/>
    <w:multiLevelType w:val="multilevel"/>
    <w:tmpl w:val="7A0A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848257">
    <w:abstractNumId w:val="0"/>
  </w:num>
  <w:num w:numId="2" w16cid:durableId="939993542">
    <w:abstractNumId w:val="2"/>
  </w:num>
  <w:num w:numId="3" w16cid:durableId="590166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101E24"/>
    <w:rsid w:val="00145F35"/>
    <w:rsid w:val="001509E7"/>
    <w:rsid w:val="0018775A"/>
    <w:rsid w:val="001E0739"/>
    <w:rsid w:val="00295BAF"/>
    <w:rsid w:val="002E5EB9"/>
    <w:rsid w:val="00303D03"/>
    <w:rsid w:val="00362FA5"/>
    <w:rsid w:val="00376E9D"/>
    <w:rsid w:val="004840D9"/>
    <w:rsid w:val="00486390"/>
    <w:rsid w:val="004A0ABA"/>
    <w:rsid w:val="004D64AE"/>
    <w:rsid w:val="005374F4"/>
    <w:rsid w:val="00543978"/>
    <w:rsid w:val="00586F68"/>
    <w:rsid w:val="00586FC9"/>
    <w:rsid w:val="005A7994"/>
    <w:rsid w:val="005C3AD2"/>
    <w:rsid w:val="00642889"/>
    <w:rsid w:val="006B08C0"/>
    <w:rsid w:val="006B2841"/>
    <w:rsid w:val="006B6145"/>
    <w:rsid w:val="006C5413"/>
    <w:rsid w:val="00716F38"/>
    <w:rsid w:val="0072281F"/>
    <w:rsid w:val="00744B68"/>
    <w:rsid w:val="00765093"/>
    <w:rsid w:val="00804C30"/>
    <w:rsid w:val="00890C36"/>
    <w:rsid w:val="00896A18"/>
    <w:rsid w:val="008B37AF"/>
    <w:rsid w:val="008F09B8"/>
    <w:rsid w:val="00931E35"/>
    <w:rsid w:val="0093213A"/>
    <w:rsid w:val="00965520"/>
    <w:rsid w:val="00990CCB"/>
    <w:rsid w:val="009A3CE2"/>
    <w:rsid w:val="009B2D15"/>
    <w:rsid w:val="009F3906"/>
    <w:rsid w:val="00A02A3C"/>
    <w:rsid w:val="00AC6638"/>
    <w:rsid w:val="00B56C29"/>
    <w:rsid w:val="00B85195"/>
    <w:rsid w:val="00B94103"/>
    <w:rsid w:val="00BF19CA"/>
    <w:rsid w:val="00C32CCE"/>
    <w:rsid w:val="00C61982"/>
    <w:rsid w:val="00D10CFA"/>
    <w:rsid w:val="00D227A3"/>
    <w:rsid w:val="00D3186F"/>
    <w:rsid w:val="00D45491"/>
    <w:rsid w:val="00D93E0A"/>
    <w:rsid w:val="00E12197"/>
    <w:rsid w:val="00E354DA"/>
    <w:rsid w:val="00E76766"/>
    <w:rsid w:val="00F153DE"/>
    <w:rsid w:val="00F17FC3"/>
    <w:rsid w:val="00F320D0"/>
    <w:rsid w:val="00FD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710B"/>
  <w15:chartTrackingRefBased/>
  <w15:docId w15:val="{184D28BE-6CBC-46B5-BF26-6DB0101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A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character" w:styleId="Hipervnculo">
    <w:name w:val="Hyperlink"/>
    <w:basedOn w:val="Fuentedeprrafopredeter"/>
    <w:uiPriority w:val="99"/>
    <w:unhideWhenUsed/>
    <w:rsid w:val="00D10C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0C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52</cp:revision>
  <dcterms:created xsi:type="dcterms:W3CDTF">2026-02-18T11:50:00Z</dcterms:created>
  <dcterms:modified xsi:type="dcterms:W3CDTF">2026-02-19T12:05:00Z</dcterms:modified>
</cp:coreProperties>
</file>