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F4E79"/>
          <w:sz w:val="27"/>
        </w:rPr>
        <w:t>Guía operativa para el uso seguro de tablas Delta</w:t>
      </w:r>
    </w:p>
    <w:p>
      <w:pPr>
        <w:spacing w:after="60"/>
        <w:jc w:val="center"/>
      </w:pPr>
      <w:r>
        <w:rPr>
          <w:rFonts w:ascii="Arial" w:hAnsi="Arial"/>
          <w:b w:val="0"/>
          <w:i/>
          <w:color w:val="595959"/>
          <w:sz w:val="17"/>
        </w:rPr>
        <w:t>Referencia corporativa breve - Entorno bancario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10"/>
      </w:tblGrid>
      <w:tr>
        <w:tc>
          <w:tcPr>
            <w:tcW w:type="dxa" w:w="10610"/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6"/>
              </w:rPr>
              <w:t xml:space="preserve">Principio rector: </w:t>
            </w:r>
            <w:r>
              <w:rPr>
                <w:rFonts w:ascii="Arial" w:hAnsi="Arial"/>
                <w:b w:val="0"/>
                <w:i w:val="0"/>
                <w:sz w:val="16"/>
              </w:rPr>
              <w:t>"limpiar datos" no significa "borrar la tabla". DROP TABLE casi nunca debe ser el primer paso. Toda actuación sobre una tabla Delta debe ser identificable, justificada, trazable y reversible.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1. Naturaleza de una tabla Delta</w:t>
      </w:r>
    </w:p>
    <w:p>
      <w:pPr>
        <w:spacing w:after="20"/>
      </w:pPr>
      <w:r>
        <w:rPr>
          <w:rFonts w:ascii="Arial" w:hAnsi="Arial"/>
          <w:b/>
          <w:i w:val="0"/>
          <w:sz w:val="15"/>
        </w:rPr>
        <w:t xml:space="preserve">Una tabla Delta no es un Excel, un CSV ni un directorio aislado de archivos. </w:t>
      </w:r>
      <w:r>
        <w:rPr>
          <w:rFonts w:ascii="Arial" w:hAnsi="Arial"/>
          <w:b w:val="0"/>
          <w:i w:val="0"/>
          <w:sz w:val="15"/>
        </w:rPr>
        <w:t>Es una capa transaccional sobre datos físicos, normalmente Parquet, gobernada por el directorio _delta_log. Ese log registra las operaciones que determinan el estado vigente de la tabla y habilita histórico, auditoría, versionado y recuperación.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2. Comandos mínimos de inspección antes de actuar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7"/>
        <w:gridCol w:w="3537"/>
        <w:gridCol w:w="3537"/>
      </w:tblGrid>
      <w:tr>
        <w:tc>
          <w:tcPr>
            <w:tcW w:type="dxa" w:w="3537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Comando</w:t>
            </w:r>
          </w:p>
        </w:tc>
        <w:tc>
          <w:tcPr>
            <w:tcW w:type="dxa" w:w="3537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Qué responde</w:t>
            </w:r>
          </w:p>
        </w:tc>
        <w:tc>
          <w:tcPr>
            <w:tcW w:type="dxa" w:w="3537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Valor para negocio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DESCRIBE DETAIL tabla;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Qué es la tabla por dentro: formato, ubicación, tamaño, archivos y propiedades.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Coste, rendimiento, ubicación correcta del dato, soporte a gobierno y control técnico.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DESCRIBE HISTORY tabla;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Quién hizo qué, cuándo, con qué operación y sobre qué versión.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Auditoría, trazabilidad, análisis de incidentes y atribución de responsabilidad.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SHOW CREATE TABLE tabla;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Cómo fue definida: columnas, particiones, propiedades y DDL.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Reproducibilidad, migraciones DEV/TEST/PROD, revisión estructural y control de cambios.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3. Riesgos operativos que deben evitarse</w:t>
      </w:r>
    </w:p>
    <w:p>
      <w:pPr>
        <w:spacing w:after="10"/>
        <w:ind w:left="115"/>
      </w:pPr>
      <w:r>
        <w:rPr>
          <w:rFonts w:ascii="Arial" w:hAnsi="Arial"/>
          <w:b/>
          <w:i w:val="0"/>
          <w:sz w:val="15"/>
        </w:rPr>
        <w:t xml:space="preserve">DROP TABLE como respuesta automática a datos erróneos: </w:t>
      </w:r>
      <w:r>
        <w:rPr>
          <w:rFonts w:ascii="Arial" w:hAnsi="Arial"/>
          <w:b w:val="0"/>
          <w:i w:val="0"/>
          <w:sz w:val="15"/>
        </w:rPr>
        <w:t>puede romper catálogo, dependencias, pipelines, dashboards y trazabilidad. Primero debe diagnosticarse si el problema está en filas, columnas, particiones, carga o versión.</w:t>
      </w:r>
    </w:p>
    <w:p>
      <w:pPr>
        <w:spacing w:after="10"/>
        <w:ind w:left="115"/>
      </w:pPr>
      <w:r>
        <w:rPr>
          <w:rFonts w:ascii="Arial" w:hAnsi="Arial"/>
          <w:b/>
          <w:i w:val="0"/>
          <w:sz w:val="15"/>
        </w:rPr>
        <w:t xml:space="preserve">overwrite sin alcance controlado: </w:t>
      </w:r>
      <w:r>
        <w:rPr>
          <w:rFonts w:ascii="Arial" w:hAnsi="Arial"/>
          <w:b w:val="0"/>
          <w:i w:val="0"/>
          <w:sz w:val="15"/>
        </w:rPr>
        <w:t>puede reemplazar más datos de los previstos. En producción debe estar revisado, justificado y, si aplica, acotado mediante replaceWhere u otra estrategia equivalente.</w:t>
      </w:r>
    </w:p>
    <w:p>
      <w:pPr>
        <w:spacing w:after="10"/>
        <w:ind w:left="115"/>
      </w:pPr>
      <w:r>
        <w:rPr>
          <w:rFonts w:ascii="Arial" w:hAnsi="Arial"/>
          <w:b/>
          <w:i w:val="0"/>
          <w:sz w:val="15"/>
        </w:rPr>
        <w:t xml:space="preserve">borrado del path físico o de _delta_log: </w:t>
      </w:r>
      <w:r>
        <w:rPr>
          <w:rFonts w:ascii="Arial" w:hAnsi="Arial"/>
          <w:b w:val="0"/>
          <w:i w:val="0"/>
          <w:sz w:val="15"/>
        </w:rPr>
        <w:t>puede destruir la memoria transaccional de la tabla. Sin el log, Delta no puede reconstruir de forma fiable el estado de los datos.</w:t>
      </w:r>
    </w:p>
    <w:p>
      <w:pPr>
        <w:spacing w:after="10"/>
        <w:ind w:left="115"/>
      </w:pPr>
      <w:r>
        <w:rPr>
          <w:rFonts w:ascii="Arial" w:hAnsi="Arial"/>
          <w:b/>
          <w:i w:val="0"/>
          <w:sz w:val="15"/>
        </w:rPr>
        <w:t xml:space="preserve">ejecución completa de notebooks sin revisión: </w:t>
      </w:r>
      <w:r>
        <w:rPr>
          <w:rFonts w:ascii="Arial" w:hAnsi="Arial"/>
          <w:b w:val="0"/>
          <w:i w:val="0"/>
          <w:sz w:val="15"/>
        </w:rPr>
        <w:t>mezclar lectura, transformación y escritura incrementa el riesgo de cambios no intencionados. Las celdas de escritura deben estar separadas y señalizadas.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4. Protocolo mínimo antes de modificar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</w:tblGrid>
      <w:tr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Pregunta</w:t>
            </w:r>
          </w:p>
        </w:tc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Evidencia mínima</w:t>
            </w:r>
          </w:p>
        </w:tc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Criterio de salida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Alcance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¿Qué tabla y entorno toco?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catalog.schema.tabla + DEV/TEST/PROD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No hay ambigüedad.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Operación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¿Qué acción ejecuto?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SQL/celda revisada: append, update, delete, merge, overwrite, alter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 conoce el impacto.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Impacto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¿Quién consume esta tabla?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Pipelines, dashboards, dependencias, ventana operativa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No sorprende a terceros.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Rollback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¿Puedo deshacerlo?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DESCRIBE HISTORY + versión válida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Existe plan de recuperación.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Validación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¿Cómo mido éxito?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Conteos, esquema, duplicados, reglas de negocio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Resultado comprobable.</w:t>
            </w:r>
          </w:p>
        </w:tc>
      </w:tr>
    </w:tbl>
    <w:p>
      <w:pPr>
        <w:pageBreakBefore/>
      </w:pPr>
    </w:p>
    <w:p>
      <w:pPr>
        <w:spacing w:after="60"/>
        <w:jc w:val="center"/>
      </w:pPr>
      <w:r>
        <w:rPr>
          <w:rFonts w:ascii="Arial" w:hAnsi="Arial"/>
          <w:b/>
          <w:i w:val="0"/>
          <w:color w:val="1F4E79"/>
          <w:sz w:val="25"/>
        </w:rPr>
        <w:t>Pauta corporativa de actuación, recuperación y responsabilidades</w:t>
      </w:r>
    </w:p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5. Cuando el objetivo es limpiar datos</w:t>
      </w:r>
    </w:p>
    <w:p>
      <w:pPr>
        <w:spacing w:after="20"/>
      </w:pPr>
      <w:r>
        <w:rPr>
          <w:rFonts w:ascii="Arial" w:hAnsi="Arial"/>
          <w:b/>
          <w:i w:val="0"/>
          <w:sz w:val="15"/>
        </w:rPr>
        <w:t xml:space="preserve">La limpieza de datos empieza por diagnóstico, no por eliminación. </w:t>
      </w:r>
      <w:r>
        <w:rPr>
          <w:rFonts w:ascii="Arial" w:hAnsi="Arial"/>
          <w:b w:val="0"/>
          <w:i w:val="0"/>
          <w:sz w:val="15"/>
        </w:rPr>
        <w:t>Debe determinarse si el problema afecta a registros concretos, una partición, una carga, una regla de negocio, el esquema o el estado completo de la tabla. DROP TABLE solo debe considerarse ante tablas temporales, datos descartables, rediseño aprobado o recreación planificada con owner identificado.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7"/>
        <w:gridCol w:w="3537"/>
        <w:gridCol w:w="3537"/>
      </w:tblGrid>
      <w:tr>
        <w:tc>
          <w:tcPr>
            <w:tcW w:type="dxa" w:w="3537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Situación</w:t>
            </w:r>
          </w:p>
        </w:tc>
        <w:tc>
          <w:tcPr>
            <w:tcW w:type="dxa" w:w="3537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Acción preferente</w:t>
            </w:r>
          </w:p>
        </w:tc>
        <w:tc>
          <w:tcPr>
            <w:tcW w:type="dxa" w:w="3537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Motivo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Filas incorrectas acotables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DELETE o UPDATE con condición explícita.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Corrige sin destruir definición ni dependencias.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Partición o fecha errónea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Reescritura parcial controlada.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Reduce alcance y riesgo operativo.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Carga duplicada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Deduplicación con validación de conteos.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Evita pérdidas accidentales.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Error reciente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RESTORE TABLE a versión validada.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Recupera un estado conocido.</w:t>
            </w:r>
          </w:p>
        </w:tc>
      </w:tr>
      <w:tr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3"/>
              </w:rPr>
              <w:t>Rediseño total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Recreación planificada con backup, DDL y aprobación.</w:t>
            </w:r>
          </w:p>
        </w:tc>
        <w:tc>
          <w:tcPr>
            <w:tcW w:type="dxa" w:w="3537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3"/>
              </w:rPr>
              <w:t>Convierte destrucción en cambio gobernado.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6. Recuperación ante incidente</w:t>
      </w:r>
    </w:p>
    <w:p>
      <w:pPr>
        <w:spacing w:after="20"/>
      </w:pPr>
      <w:r>
        <w:rPr>
          <w:rFonts w:ascii="Arial" w:hAnsi="Arial"/>
          <w:b/>
          <w:i w:val="0"/>
          <w:sz w:val="15"/>
        </w:rPr>
        <w:t xml:space="preserve">Ante un resultado inesperado, la primera medida es detener nuevas escrituras. </w:t>
      </w:r>
      <w:r>
        <w:rPr>
          <w:rFonts w:ascii="Arial" w:hAnsi="Arial"/>
          <w:b w:val="0"/>
          <w:i w:val="0"/>
          <w:sz w:val="15"/>
        </w:rPr>
        <w:t>Después debe revisarse DESCRIBE HISTORY, localizar la operación causante, identificar la última versión válida, consultar con VERSION AS OF y, si procede, restaurar con RESTORE TABLE. Si se ha eliminado _delta_log o se ha ejecutado VACUUM sobre datos necesarios, puede requerirse backup externo o no ser posible recuperar.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10"/>
      </w:tblGrid>
      <w:tr>
        <w:tc>
          <w:tcPr>
            <w:tcW w:type="dxa" w:w="1061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4"/>
              </w:rPr>
              <w:t>DESCRIBE HISTORY tabla;  -&gt;  SELECT * FROM tabla VERSION AS OF n;  -&gt;  RESTORE TABLE tabla TO VERSION AS OF n;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7. Modelo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2"/>
        <w:gridCol w:w="2652"/>
        <w:gridCol w:w="2652"/>
        <w:gridCol w:w="2652"/>
      </w:tblGrid>
      <w:tr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Rol</w:t>
            </w:r>
          </w:p>
        </w:tc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Puede hacer</w:t>
            </w:r>
          </w:p>
        </w:tc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No debería hacer sin revisión</w:t>
            </w:r>
          </w:p>
        </w:tc>
        <w:tc>
          <w:tcPr>
            <w:tcW w:type="dxa" w:w="2652"/>
            <w:shd w:fill="1F4E79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Responsabilidad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Analista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SELECT, consultas, vistas, validaciones.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DROP, overwrite, ALTER, borrado de paths.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Consumir datos y reportar anomalías.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Data Engineer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MERGE, escritura controlada, pipelines, optimización.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Operaciones destructivas sin rollback.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Cambios seguros y reproducibles.</w:t>
            </w:r>
          </w:p>
        </w:tc>
      </w:tr>
      <w:tr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/>
                <w:sz w:val="12"/>
              </w:rPr>
              <w:t>Owner/Admin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Permisos, catálogo, aprobación, auditoría.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Delegar privilegios críticos sin control.</w:t>
            </w:r>
          </w:p>
        </w:tc>
        <w:tc>
          <w:tcPr>
            <w:tcW w:type="dxa" w:w="2652"/>
          </w:tcPr>
          <w:p>
            <w:pPr>
              <w:spacing w:after="0" w:before="0" w:line="216" w:lineRule="auto"/>
            </w:pPr>
            <w:r/>
            <w:r>
              <w:rPr>
                <w:rFonts w:ascii="Arial" w:hAnsi="Arial"/>
                <w:b w:val="0"/>
                <w:sz w:val="12"/>
              </w:rPr>
              <w:t>Gobierno, trazabilidad y continuidad.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i w:val="0"/>
          <w:color w:val="1F4E79"/>
          <w:sz w:val="18"/>
        </w:rPr>
        <w:t>8. Criterio final de ejecución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10"/>
      </w:tblGrid>
      <w:tr>
        <w:tc>
          <w:tcPr>
            <w:tcW w:type="dxa" w:w="10610"/>
            <w:shd w:fill="E2F0D9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15"/>
              </w:rPr>
              <w:t xml:space="preserve">No ejecutar en producción si no se puede explicar: </w:t>
            </w:r>
            <w:r>
              <w:rPr>
                <w:rFonts w:ascii="Arial" w:hAnsi="Arial"/>
                <w:b w:val="0"/>
                <w:i w:val="0"/>
                <w:sz w:val="15"/>
              </w:rPr>
              <w:t>qué tabla se modifica, por qué se modifica, qué impacto tiene, qué versión previa es válida y cómo se revierte. Delta protege transacciones y conserva histórico, pero no sustituye la responsabilidad operativa ni el gobierno del dato.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3"/>
      </w:rPr>
      <w:t>Documento de referencia interna - Uso seguro de tablas Delta en entorno bancario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21" w:lineRule="auto"/>
    </w:pPr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