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proofErr w:type="spellStart"/>
            <w:proofErr w:type="spellEnd"/>
            <w:r>
              <w:t>26.03.2017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ООО "АБИСОФТ"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proofErr w:type="spellStart"/>
            <w:proofErr w:type="spellEnd"/>
            <w:r>
              <w:t>ОБЩЕСТВО С ОГРАНИЧЕННОЙ ОТВЕТСТВЕННОСТЬЮ "АБИСОФТ"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proofErr w:type="spellStart"/>
            <w:proofErr w:type="spellEnd"/>
            <w:r>
              <w:t>08.01.2002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color w:val="000000" w:themeColor="text1"/>
                <w:lang w:val="en-US"/>
              </w:rPr>
              <w:t>27 июля 2008 Общество с ограниченной ответственностью "Абисофт", 08 декабря 2002 Общество с ограниченной ответственностью "ИКЦ Гарант"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proofErr w:type="spellStart"/>
            <w:proofErr w:type="spellEnd"/>
            <w:r>
              <w:rPr>
                <w:color w:val="000000" w:themeColor="text1"/>
              </w:rPr>
              <w:t>1027739710338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561441936069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proofErr w:type="spellStart"/>
            <w:proofErr w:type="spellEnd"/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129344,ГОРОД МОСКВА, УЛИЦА ВЕРХОЯНСКАЯ,18,2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proofErr w:type="spellStart"/>
            <w:proofErr w:type="spellEnd"/>
            <w:r>
              <w:rPr>
                <w:b/>
                <w:bCs/>
              </w:rPr>
              <w:t>129344, Российская Федерация, г. Москва, Верхоянская ул., д.18, кор. 2, ОКАТО: 45280556000</w:t>
            </w:r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7-499-7887117, Факс: 7-499-7887117, E-mail: tender@abisoft.ru, www.abisoft.ru</w:t>
            </w:r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proofErr w:type="spellStart"/>
            <w:proofErr w:type="spellEnd"/>
            <w:r>
              <w:t>16 000,00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proofErr w:type="spellStart"/>
            <w:proofErr w:type="spellEnd"/>
            <w:r>
              <w:t>руб.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proofErr w:type="spellStart"/>
            <w:proofErr w:type="spellEnd"/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proofErr w:type="spellStart"/>
            <w:proofErr w:type="spellEnd"/>
            <w:r>
              <w:t>Действующая компания Недобросовес тный поставщик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proofErr w:type="spellStart"/>
            <w:proofErr w:type="spellEnd"/>
            <w:r>
              <w:t>Генеральный директор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ПЫЛЬЦОВ ВАДИМ ВЯЧЕСЛАВОВИЧ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561441936069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proofErr w:type="spellStart"/>
            <w:proofErr w:type="spellEnd"/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proofErr w:type="spellStart"/>
            <w:proofErr w:type="spellEnd"/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proofErr w:type="spellStart"/>
            <w:proofErr w:type="spellEnd"/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proofErr w:type="spellStart"/>
            <w:proofErr w:type="spellEnd"/>
            <w:bookmarkStart w:name="_GoBack" w:id="0"/>
            <w:bookmarkEnd w:id="0"/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50%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ПЫЛЬЦОВ ВАДИМ ВЯЧЕСЛАВОВИЧ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561441936069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50%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lang w:val="en-US"/>
              </w:rPr>
              <w:t>ВОРОНИН СЕРГЕЙ ВИКТОРОВИЧ</w:t>
            </w:r>
            <w:r w:rsidRPr="40CB88FC" w:rsidR="40CB88FC"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772729678426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</w:tcPr>
          <w:p w:rsidR="00FA6F7F" w:rsidRDefault="00FA6F7F" w14:paraId="098AD853" w14:textId="77777777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2F0B521F" w14:textId="77777777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37524551" w14:textId="77777777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0C9351" w14:textId="77777777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7AE564D" w14:textId="77777777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6220080" w14:textId="77777777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3A3D67C" w14:textId="77777777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BE7CDA1" w14:textId="77777777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6DEE72E" w14:textId="77777777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A3DE6BD" w14:textId="77777777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48E2F85" w14:textId="77777777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95904E" w14:textId="77777777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12</revision>
  <dcterms:created xsi:type="dcterms:W3CDTF">2016-06-15T10:45:00.0000000Z</dcterms:created>
  <dcterms:modified xsi:type="dcterms:W3CDTF">2017-03-26T10:25:24.9378797Z</dcterms:modified>
</coreProperties>
</file>