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120C3" w:rsidRDefault="1537DFBF" w14:paraId="2088C4BE" w14:textId="755F26B6">
      <w:r>
        <w:t>GGIR Parameter Notes</w:t>
      </w:r>
    </w:p>
    <w:p w:rsidR="001120C3" w:rsidRDefault="1537DFBF" w14:paraId="5F951106" w14:textId="1FD1EB40">
      <w:r w:rsidRPr="1537DFBF">
        <w:rPr>
          <w:b/>
          <w:bCs/>
        </w:rPr>
        <w:t>strategy</w:t>
      </w:r>
      <w:r>
        <w:t xml:space="preserve">: how to deal with knowledge about study protocol. </w:t>
      </w:r>
    </w:p>
    <w:p w:rsidR="001120C3" w:rsidP="6AF84DAC" w:rsidRDefault="7D8C90D1" w14:paraId="2ED7C81A" w14:textId="3BC12736">
      <w:pPr>
        <w:ind w:left="720"/>
        <w:rPr>
          <w:highlight w:val="green"/>
        </w:rPr>
      </w:pPr>
      <w:commentRangeStart w:id="0"/>
      <w:r w:rsidRPr="7D8C90D1">
        <w:rPr>
          <w:highlight w:val="green"/>
        </w:rPr>
        <w:t xml:space="preserve">Value = 1 means select data based on </w:t>
      </w:r>
      <w:proofErr w:type="spellStart"/>
      <w:proofErr w:type="gramStart"/>
      <w:r w:rsidRPr="7D8C90D1">
        <w:rPr>
          <w:highlight w:val="green"/>
        </w:rPr>
        <w:t>hrs.del.start</w:t>
      </w:r>
      <w:proofErr w:type="spellEnd"/>
      <w:proofErr w:type="gramEnd"/>
      <w:r w:rsidRPr="7D8C90D1">
        <w:rPr>
          <w:highlight w:val="green"/>
        </w:rPr>
        <w:t xml:space="preserve">, </w:t>
      </w:r>
      <w:proofErr w:type="spellStart"/>
      <w:r w:rsidRPr="7D8C90D1">
        <w:rPr>
          <w:highlight w:val="green"/>
        </w:rPr>
        <w:t>hrs.del.end</w:t>
      </w:r>
      <w:proofErr w:type="spellEnd"/>
      <w:r w:rsidRPr="7D8C90D1">
        <w:rPr>
          <w:highlight w:val="green"/>
        </w:rPr>
        <w:t xml:space="preserve">, and </w:t>
      </w:r>
      <w:proofErr w:type="spellStart"/>
      <w:r w:rsidRPr="7D8C90D1">
        <w:rPr>
          <w:highlight w:val="green"/>
        </w:rPr>
        <w:t>maxdur</w:t>
      </w:r>
      <w:proofErr w:type="spellEnd"/>
      <w:r w:rsidRPr="7D8C90D1">
        <w:rPr>
          <w:highlight w:val="green"/>
        </w:rPr>
        <w:t>.</w:t>
      </w:r>
      <w:commentRangeEnd w:id="0"/>
      <w:r w:rsidR="001120C3">
        <w:commentReference w:id="0"/>
      </w:r>
      <w:r>
        <w:t xml:space="preserve"> </w:t>
      </w:r>
    </w:p>
    <w:p w:rsidR="1537DFBF" w:rsidP="7D8C90D1" w:rsidRDefault="004D493A" w14:paraId="22B1E321" w14:textId="2834CBBF">
      <w:pPr>
        <w:ind w:left="1440"/>
        <w:rPr>
          <w:highlight w:val="green"/>
        </w:rPr>
      </w:pPr>
      <w:proofErr w:type="spellStart"/>
      <w:r w:rsidRPr="7D8C90D1">
        <w:rPr>
          <w:highlight w:val="green"/>
        </w:rPr>
        <w:t>H</w:t>
      </w:r>
      <w:r>
        <w:rPr>
          <w:highlight w:val="green"/>
        </w:rPr>
        <w:t>rs</w:t>
      </w:r>
      <w:r w:rsidRPr="7D8C90D1" w:rsidR="7D8C90D1">
        <w:rPr>
          <w:highlight w:val="green"/>
        </w:rPr>
        <w:t>.del.start</w:t>
      </w:r>
      <w:proofErr w:type="spellEnd"/>
      <w:r w:rsidRPr="7D8C90D1" w:rsidR="7D8C90D1">
        <w:rPr>
          <w:highlight w:val="green"/>
        </w:rPr>
        <w:t xml:space="preserve"> - how many HOURS after start of experiment did wearing of monitor start?</w:t>
      </w:r>
    </w:p>
    <w:p w:rsidR="7D8C90D1" w:rsidP="7D8C90D1" w:rsidRDefault="7D8C90D1" w14:paraId="093F725D" w14:textId="1DAFA39B">
      <w:pPr>
        <w:ind w:left="1440"/>
        <w:rPr>
          <w:highlight w:val="green"/>
        </w:rPr>
      </w:pPr>
      <w:r w:rsidRPr="7D8C90D1">
        <w:rPr>
          <w:highlight w:val="green"/>
        </w:rPr>
        <w:t xml:space="preserve">-we will use 0 </w:t>
      </w:r>
      <w:proofErr w:type="spellStart"/>
      <w:r w:rsidRPr="7D8C90D1">
        <w:rPr>
          <w:highlight w:val="green"/>
        </w:rPr>
        <w:t>hrs</w:t>
      </w:r>
      <w:proofErr w:type="spellEnd"/>
      <w:r w:rsidRPr="7D8C90D1">
        <w:rPr>
          <w:highlight w:val="green"/>
        </w:rPr>
        <w:t xml:space="preserve"> as default, adjust if needed per Pp</w:t>
      </w:r>
    </w:p>
    <w:p w:rsidR="1537DFBF" w:rsidP="7D8C90D1" w:rsidRDefault="7D8C90D1" w14:paraId="24CFC46E" w14:textId="2034A6FB">
      <w:pPr>
        <w:ind w:left="1440"/>
        <w:rPr>
          <w:highlight w:val="green"/>
        </w:rPr>
      </w:pPr>
      <w:proofErr w:type="spellStart"/>
      <w:r w:rsidRPr="7D8C90D1">
        <w:rPr>
          <w:highlight w:val="green"/>
        </w:rPr>
        <w:t>hrs.del.end</w:t>
      </w:r>
      <w:proofErr w:type="spellEnd"/>
      <w:r w:rsidRPr="7D8C90D1">
        <w:rPr>
          <w:highlight w:val="green"/>
        </w:rPr>
        <w:t xml:space="preserve"> - how many HOURS before the end of the experiment did wearing of monitor definitely end?</w:t>
      </w:r>
    </w:p>
    <w:p w:rsidR="7D8C90D1" w:rsidP="7D8C90D1" w:rsidRDefault="7D8C90D1" w14:paraId="5DE06DA2" w14:textId="3B0A6377">
      <w:pPr>
        <w:ind w:left="1440"/>
        <w:rPr>
          <w:highlight w:val="green"/>
        </w:rPr>
      </w:pPr>
      <w:r w:rsidRPr="7D8C90D1">
        <w:rPr>
          <w:highlight w:val="green"/>
        </w:rPr>
        <w:t>-use 0 as default, adjust if needed</w:t>
      </w:r>
    </w:p>
    <w:p w:rsidR="1537DFBF" w:rsidP="7D8C90D1" w:rsidRDefault="7D8C90D1" w14:paraId="31337994" w14:textId="21FCE208">
      <w:pPr>
        <w:ind w:left="1440"/>
        <w:rPr>
          <w:rFonts w:ascii="Calibri" w:hAnsi="Calibri" w:eastAsia="Calibri" w:cs="Calibri"/>
          <w:highlight w:val="green"/>
        </w:rPr>
      </w:pPr>
      <w:proofErr w:type="spellStart"/>
      <w:r w:rsidRPr="7D8C90D1">
        <w:rPr>
          <w:highlight w:val="green"/>
        </w:rPr>
        <w:t>maxdur</w:t>
      </w:r>
      <w:proofErr w:type="spellEnd"/>
      <w:r w:rsidRPr="7D8C90D1">
        <w:rPr>
          <w:highlight w:val="green"/>
        </w:rPr>
        <w:t xml:space="preserve"> - </w:t>
      </w:r>
      <w:r w:rsidRPr="7D8C90D1">
        <w:rPr>
          <w:rFonts w:ascii="Calibri" w:hAnsi="Calibri" w:eastAsia="Calibri" w:cs="Calibri"/>
          <w:highlight w:val="green"/>
        </w:rPr>
        <w:t>How many DAYS after start of experiment did experiment definitely stop? (set to zero if unknown = default)</w:t>
      </w:r>
    </w:p>
    <w:p w:rsidR="7D8C90D1" w:rsidP="7D8C90D1" w:rsidRDefault="7D8C90D1" w14:paraId="219FC822" w14:textId="06E0CBE0">
      <w:pPr>
        <w:ind w:left="1440"/>
        <w:rPr>
          <w:rFonts w:ascii="Calibri" w:hAnsi="Calibri" w:eastAsia="Calibri" w:cs="Calibri"/>
          <w:highlight w:val="green"/>
        </w:rPr>
      </w:pPr>
      <w:r w:rsidRPr="7D8C90D1">
        <w:rPr>
          <w:rFonts w:ascii="Calibri" w:hAnsi="Calibri" w:eastAsia="Calibri" w:cs="Calibri"/>
          <w:highlight w:val="green"/>
        </w:rPr>
        <w:t>-set to 10 days, adjust if needed</w:t>
      </w:r>
    </w:p>
    <w:p w:rsidR="001120C3" w:rsidP="6AF84DAC" w:rsidRDefault="6AF84DAC" w14:paraId="06703C46" w14:textId="62B7241C">
      <w:pPr>
        <w:ind w:left="720"/>
      </w:pPr>
      <w:r>
        <w:t xml:space="preserve">Value = 2 makes that only the data between the first midnight and the last midnight is used for imputation. </w:t>
      </w:r>
    </w:p>
    <w:p w:rsidR="001120C3" w:rsidP="1537DFBF" w:rsidRDefault="7D8C90D1" w14:paraId="3780CC5C" w14:textId="669FC865">
      <w:pPr>
        <w:ind w:left="720"/>
        <w:rPr>
          <w:rFonts w:ascii="Calibri" w:hAnsi="Calibri" w:eastAsia="Calibri" w:cs="Calibri"/>
        </w:rPr>
      </w:pPr>
      <w:commentRangeStart w:id="1"/>
      <w:r>
        <w:t xml:space="preserve">Value = 3 only selects the most active X days in the file where X is specified by argument </w:t>
      </w:r>
      <w:proofErr w:type="spellStart"/>
      <w:r>
        <w:t>ndayswindow</w:t>
      </w:r>
      <w:proofErr w:type="spellEnd"/>
      <w:r>
        <w:t xml:space="preserve">. </w:t>
      </w:r>
      <w:commentRangeEnd w:id="1"/>
      <w:r w:rsidR="001120C3">
        <w:commentReference w:id="1"/>
      </w:r>
    </w:p>
    <w:p w:rsidR="1537DFBF" w:rsidP="7D8C90D1" w:rsidRDefault="7D8C90D1" w14:paraId="361C129C" w14:textId="145FBD9A">
      <w:pPr>
        <w:ind w:left="1440"/>
        <w:rPr>
          <w:rFonts w:ascii="Calibri" w:hAnsi="Calibri" w:eastAsia="Calibri" w:cs="Calibri"/>
        </w:rPr>
      </w:pPr>
      <w:r w:rsidRPr="7D8C90D1">
        <w:rPr>
          <w:rFonts w:ascii="Calibri" w:hAnsi="Calibri" w:eastAsia="Calibri" w:cs="Calibri"/>
          <w:color w:val="000000" w:themeColor="text1"/>
        </w:rPr>
        <w:t xml:space="preserve">If strategy is set to value 3, then check out arguments </w:t>
      </w:r>
      <w:proofErr w:type="spellStart"/>
      <w:r w:rsidRPr="7D8C90D1">
        <w:rPr>
          <w:rFonts w:ascii="Calibri" w:hAnsi="Calibri" w:eastAsia="Calibri" w:cs="Calibri"/>
          <w:color w:val="000000" w:themeColor="text1"/>
        </w:rPr>
        <w:t>ndayswindow</w:t>
      </w:r>
      <w:proofErr w:type="spellEnd"/>
      <w:r w:rsidRPr="7D8C90D1">
        <w:rPr>
          <w:rFonts w:ascii="Calibri" w:hAnsi="Calibri" w:eastAsia="Calibri" w:cs="Calibri"/>
          <w:color w:val="000000" w:themeColor="text1"/>
        </w:rPr>
        <w:t xml:space="preserve"> (</w:t>
      </w:r>
      <w:r w:rsidRPr="7D8C90D1">
        <w:rPr>
          <w:rFonts w:ascii="Calibri" w:hAnsi="Calibri" w:eastAsia="Calibri" w:cs="Calibri"/>
        </w:rPr>
        <w:t>If strategy is set to 3 then this is the size of the window as a number of days)</w:t>
      </w:r>
    </w:p>
    <w:p w:rsidR="1537DFBF" w:rsidP="1537DFBF" w:rsidRDefault="1537DFBF" w14:paraId="248C03C4" w14:textId="2D899AC5">
      <w:pPr>
        <w:ind w:left="720"/>
        <w:rPr>
          <w:rFonts w:eastAsiaTheme="minorEastAsia"/>
          <w:color w:val="000000" w:themeColor="text1"/>
        </w:rPr>
      </w:pPr>
      <w:r w:rsidRPr="1537DFBF">
        <w:rPr>
          <w:rFonts w:eastAsiaTheme="minorEastAsia"/>
          <w:color w:val="000000" w:themeColor="text1"/>
        </w:rPr>
        <w:t>Value = 4 to only use the data after the first midnight</w:t>
      </w:r>
    </w:p>
    <w:p w:rsidR="001120C3" w:rsidRDefault="001120C3" w14:paraId="415FD63A" w14:textId="2A3951BA"/>
    <w:p w:rsidR="6AF84DAC" w:rsidP="6AF84DAC" w:rsidRDefault="7D8C90D1" w14:paraId="43505FB6" w14:textId="0038D12D">
      <w:proofErr w:type="spellStart"/>
      <w:r w:rsidRPr="7D8C90D1">
        <w:rPr>
          <w:b/>
          <w:bCs/>
        </w:rPr>
        <w:t>includedaycrit</w:t>
      </w:r>
      <w:proofErr w:type="spellEnd"/>
      <w:r>
        <w:t xml:space="preserve"> – </w:t>
      </w:r>
      <w:r w:rsidRPr="7D8C90D1">
        <w:rPr>
          <w:rFonts w:ascii="Calibri" w:hAnsi="Calibri" w:eastAsia="Calibri" w:cs="Calibri"/>
          <w:sz w:val="24"/>
          <w:szCs w:val="24"/>
        </w:rPr>
        <w:t>minimum required number of valid hours in day specific analysis</w:t>
      </w:r>
      <w:r>
        <w:t xml:space="preserve"> </w:t>
      </w:r>
    </w:p>
    <w:p w:rsidR="7D8C90D1" w:rsidP="7D8C90D1" w:rsidRDefault="7D8C90D1" w14:paraId="378FE48E" w14:textId="4459FBFB">
      <w:r>
        <w:t xml:space="preserve">-go with 10 </w:t>
      </w:r>
      <w:proofErr w:type="spellStart"/>
      <w:r>
        <w:t>hrs</w:t>
      </w:r>
      <w:proofErr w:type="spellEnd"/>
    </w:p>
    <w:p w:rsidR="6AF84DAC" w:rsidP="6AF84DAC" w:rsidRDefault="6AF84DAC" w14:paraId="16261B51" w14:textId="5D4DDB6B">
      <w:pPr>
        <w:ind w:left="720"/>
      </w:pPr>
      <w:r>
        <w:t>-10 seems pretty standard</w:t>
      </w:r>
    </w:p>
    <w:p w:rsidR="6AF84DAC" w:rsidP="6AF84DAC" w:rsidRDefault="6AF84DAC" w14:paraId="500E61D0" w14:textId="32286615">
      <w:pPr>
        <w:ind w:left="720"/>
      </w:pPr>
      <w:r w:rsidRPr="6AF84DAC">
        <w:rPr>
          <w:rFonts w:ascii="Arial" w:hAnsi="Arial" w:eastAsia="Arial" w:cs="Arial"/>
          <w:color w:val="000000" w:themeColor="text1"/>
        </w:rPr>
        <w:t xml:space="preserve">-Matthews et al. (2012) - “Some consensus has emerged around the use of a </w:t>
      </w:r>
      <w:r w:rsidRPr="6AF84DAC">
        <w:rPr>
          <w:rFonts w:ascii="Arial" w:hAnsi="Arial" w:eastAsia="Arial" w:cs="Arial"/>
          <w:color w:val="000000" w:themeColor="text1"/>
          <w:highlight w:val="green"/>
        </w:rPr>
        <w:t>10-hour</w:t>
      </w:r>
      <w:r w:rsidRPr="6AF84DAC">
        <w:rPr>
          <w:rFonts w:ascii="Arial" w:hAnsi="Arial" w:eastAsia="Arial" w:cs="Arial"/>
          <w:color w:val="000000" w:themeColor="text1"/>
        </w:rPr>
        <w:t xml:space="preserve"> per day minimum to determine adequate wearing in most studies, but some studies may select alternate thresholds depending on their objectives and the population studied.” (</w:t>
      </w:r>
      <w:hyperlink r:id="rId9">
        <w:r w:rsidRPr="6AF84DAC">
          <w:rPr>
            <w:rStyle w:val="Hyperlink"/>
            <w:rFonts w:ascii="Arial" w:hAnsi="Arial" w:eastAsia="Arial" w:cs="Arial"/>
          </w:rPr>
          <w:t>https://www.ncbi.nlm.nih.gov/pmc/articles/PMC3543867/</w:t>
        </w:r>
      </w:hyperlink>
      <w:r w:rsidRPr="6AF84DAC">
        <w:rPr>
          <w:rFonts w:ascii="Arial" w:hAnsi="Arial" w:eastAsia="Arial" w:cs="Arial"/>
          <w:color w:val="000000" w:themeColor="text1"/>
        </w:rPr>
        <w:t>)</w:t>
      </w:r>
    </w:p>
    <w:p w:rsidR="6AF84DAC" w:rsidP="6AF84DAC" w:rsidRDefault="6AF84DAC" w14:paraId="3E4E47D9" w14:textId="488B935D">
      <w:pPr>
        <w:ind w:left="720"/>
      </w:pPr>
      <w:r w:rsidRPr="6AF84DAC">
        <w:rPr>
          <w:rFonts w:ascii="Arial" w:hAnsi="Arial" w:eastAsia="Arial" w:cs="Arial"/>
          <w:color w:val="000000" w:themeColor="text1"/>
        </w:rPr>
        <w:t xml:space="preserve">-Tudor-Locke et al. (2012) - “Researchers were also almost </w:t>
      </w:r>
      <w:proofErr w:type="spellStart"/>
      <w:r w:rsidRPr="6AF84DAC">
        <w:rPr>
          <w:rFonts w:ascii="Arial" w:hAnsi="Arial" w:eastAsia="Arial" w:cs="Arial"/>
          <w:color w:val="000000" w:themeColor="text1"/>
        </w:rPr>
        <w:t>p</w:t>
      </w:r>
      <w:r w:rsidR="004D493A">
        <w:rPr>
          <w:rFonts w:ascii="Arial" w:hAnsi="Arial" w:eastAsia="Arial" w:cs="Arial"/>
          <w:color w:val="000000" w:themeColor="text1"/>
        </w:rPr>
        <w:t>#P</w:t>
      </w:r>
      <w:r w:rsidRPr="6AF84DAC">
        <w:rPr>
          <w:rFonts w:ascii="Arial" w:hAnsi="Arial" w:eastAsia="Arial" w:cs="Arial"/>
          <w:color w:val="000000" w:themeColor="text1"/>
        </w:rPr>
        <w:t>erfectly</w:t>
      </w:r>
      <w:proofErr w:type="spellEnd"/>
      <w:r w:rsidRPr="6AF84DAC">
        <w:rPr>
          <w:rFonts w:ascii="Arial" w:hAnsi="Arial" w:eastAsia="Arial" w:cs="Arial"/>
          <w:color w:val="000000" w:themeColor="text1"/>
        </w:rPr>
        <w:t xml:space="preserve"> consistent in defining a valid day as 10 or more hours of wear time, which is also the definition provided by SAS syntax. (In 2 of the 4 studies that did not report </w:t>
      </w:r>
      <w:proofErr w:type="spellStart"/>
      <w:r w:rsidRPr="6AF84DAC">
        <w:rPr>
          <w:rFonts w:ascii="Arial" w:hAnsi="Arial" w:eastAsia="Arial" w:cs="Arial"/>
          <w:color w:val="000000" w:themeColor="text1"/>
        </w:rPr>
        <w:t>nonwear</w:t>
      </w:r>
      <w:proofErr w:type="spellEnd"/>
      <w:r w:rsidRPr="6AF84DAC">
        <w:rPr>
          <w:rFonts w:ascii="Arial" w:hAnsi="Arial" w:eastAsia="Arial" w:cs="Arial"/>
          <w:color w:val="000000" w:themeColor="text1"/>
        </w:rPr>
        <w:t xml:space="preserve"> criteria, we assumed that they used this definition because they reported using SAS syntax.) </w:t>
      </w:r>
      <w:proofErr w:type="spellStart"/>
      <w:r w:rsidRPr="6AF84DAC">
        <w:rPr>
          <w:rFonts w:ascii="Arial" w:hAnsi="Arial" w:eastAsia="Arial" w:cs="Arial"/>
          <w:color w:val="000000" w:themeColor="text1"/>
        </w:rPr>
        <w:t>Mâsse</w:t>
      </w:r>
      <w:proofErr w:type="spellEnd"/>
      <w:r w:rsidRPr="6AF84DAC">
        <w:rPr>
          <w:rFonts w:ascii="Arial" w:hAnsi="Arial" w:eastAsia="Arial" w:cs="Arial"/>
          <w:color w:val="000000" w:themeColor="text1"/>
        </w:rPr>
        <w:t xml:space="preserve"> et al (</w:t>
      </w:r>
      <w:hyperlink w:anchor="R57" r:id="rId10">
        <w:r w:rsidRPr="6AF84DAC">
          <w:rPr>
            <w:rStyle w:val="Hyperlink"/>
            <w:rFonts w:ascii="Arial" w:hAnsi="Arial" w:eastAsia="Arial" w:cs="Arial"/>
          </w:rPr>
          <w:t>57</w:t>
        </w:r>
      </w:hyperlink>
      <w:r w:rsidRPr="6AF84DAC">
        <w:rPr>
          <w:rFonts w:ascii="Arial" w:hAnsi="Arial" w:eastAsia="Arial" w:cs="Arial"/>
          <w:color w:val="000000" w:themeColor="text1"/>
        </w:rPr>
        <w:t xml:space="preserve">) compared results of studies that used different definitions of a valid day, and although they did not recommend a specific number of hours of wear time to define a valid day, they noted that the strictest requirement (≥12 h/d) negatively affected sample size. They also speculated that stricter requirements might unduly limit inclusion of </w:t>
      </w:r>
      <w:r w:rsidRPr="6AF84DAC">
        <w:rPr>
          <w:rFonts w:ascii="Arial" w:hAnsi="Arial" w:eastAsia="Arial" w:cs="Arial"/>
          <w:color w:val="000000" w:themeColor="text1"/>
        </w:rPr>
        <w:lastRenderedPageBreak/>
        <w:t>inactive people, thereby affecting overall data distribution.” (</w:t>
      </w:r>
      <w:hyperlink r:id="rId11">
        <w:r w:rsidRPr="6AF84DAC">
          <w:rPr>
            <w:rStyle w:val="Hyperlink"/>
            <w:rFonts w:ascii="Arial" w:hAnsi="Arial" w:eastAsia="Arial" w:cs="Arial"/>
          </w:rPr>
          <w:t>https://www.ncbi.nlm.nih.gov/pmc/articles/PMC3457743/</w:t>
        </w:r>
      </w:hyperlink>
      <w:r w:rsidRPr="6AF84DAC">
        <w:rPr>
          <w:rFonts w:ascii="Arial" w:hAnsi="Arial" w:eastAsia="Arial" w:cs="Arial"/>
          <w:color w:val="000000" w:themeColor="text1"/>
        </w:rPr>
        <w:t>)</w:t>
      </w:r>
    </w:p>
    <w:p w:rsidR="6AF84DAC" w:rsidP="6AF84DAC" w:rsidRDefault="6AF84DAC" w14:paraId="741C1703" w14:textId="617D31C1">
      <w:pPr>
        <w:ind w:firstLine="720"/>
        <w:rPr>
          <w:rFonts w:ascii="Arial" w:hAnsi="Arial" w:eastAsia="Arial" w:cs="Arial"/>
          <w:color w:val="000000" w:themeColor="text1"/>
        </w:rPr>
      </w:pPr>
    </w:p>
    <w:p w:rsidR="001120C3" w:rsidRDefault="7D8C90D1" w14:paraId="0C9DD15C" w14:textId="53C71DEA">
      <w:proofErr w:type="spellStart"/>
      <w:r w:rsidRPr="7D8C90D1">
        <w:rPr>
          <w:b/>
          <w:bCs/>
        </w:rPr>
        <w:t>mvpathreshold</w:t>
      </w:r>
      <w:proofErr w:type="spellEnd"/>
      <w:r>
        <w:t xml:space="preserve"> - Threshold for MVPA estimation. This can be a single number or an array of numbers, e.g. </w:t>
      </w:r>
      <w:proofErr w:type="gramStart"/>
      <w:r>
        <w:t>c(</w:t>
      </w:r>
      <w:proofErr w:type="gramEnd"/>
      <w:r>
        <w:t xml:space="preserve">100,120). In the </w:t>
      </w:r>
      <w:proofErr w:type="spellStart"/>
      <w:r>
        <w:t>later</w:t>
      </w:r>
      <w:proofErr w:type="spellEnd"/>
      <w:r>
        <w:t xml:space="preserve"> case the code will estimate MVPA </w:t>
      </w:r>
      <w:proofErr w:type="spellStart"/>
      <w:r>
        <w:t>seperately</w:t>
      </w:r>
      <w:proofErr w:type="spellEnd"/>
      <w:r>
        <w:t xml:space="preserve"> for each threshold. If this variable is left blank </w:t>
      </w:r>
      <w:proofErr w:type="gramStart"/>
      <w:r>
        <w:t>c(</w:t>
      </w:r>
      <w:proofErr w:type="gramEnd"/>
      <w:r>
        <w:t>) then MVPA is not estimated</w:t>
      </w:r>
    </w:p>
    <w:p w:rsidR="7D8C90D1" w:rsidP="7D8C90D1" w:rsidRDefault="7D8C90D1" w14:paraId="034FCE10" w14:textId="7759178F">
      <w:pPr>
        <w:ind w:left="720"/>
        <w:rPr>
          <w:highlight w:val="green"/>
        </w:rPr>
      </w:pPr>
      <w:r w:rsidRPr="7D8C90D1">
        <w:rPr>
          <w:highlight w:val="green"/>
        </w:rPr>
        <w:t xml:space="preserve">-we should set multiple (3) common thresholds, depending on journal we can pick which one to use but have the data for all 3 thresholds, do a lit review to find 3 common ones to use then verify w/ </w:t>
      </w:r>
      <w:proofErr w:type="spellStart"/>
      <w:r w:rsidRPr="7D8C90D1">
        <w:rPr>
          <w:highlight w:val="green"/>
        </w:rPr>
        <w:t>kevin</w:t>
      </w:r>
      <w:proofErr w:type="spellEnd"/>
    </w:p>
    <w:p w:rsidR="001120C3" w:rsidP="6AF84DAC" w:rsidRDefault="6AF84DAC" w14:paraId="311C3BF5" w14:textId="53106D13">
      <w:pPr>
        <w:ind w:left="720"/>
        <w:rPr>
          <w:rFonts w:ascii="Arial" w:hAnsi="Arial" w:eastAsia="Arial" w:cs="Arial"/>
          <w:color w:val="000000" w:themeColor="text1"/>
        </w:rPr>
      </w:pPr>
      <w:r w:rsidRPr="6AF84DAC">
        <w:rPr>
          <w:rFonts w:ascii="Arial" w:hAnsi="Arial" w:eastAsia="Arial" w:cs="Arial"/>
          <w:color w:val="000000" w:themeColor="text1"/>
        </w:rPr>
        <w:t>-no default?</w:t>
      </w:r>
    </w:p>
    <w:p w:rsidR="001120C3" w:rsidP="6AF84DAC" w:rsidRDefault="6AF84DAC" w14:paraId="294E70E3" w14:textId="6A12A6BE">
      <w:pPr>
        <w:ind w:left="720"/>
      </w:pPr>
      <w:r w:rsidRPr="6AF84DAC">
        <w:rPr>
          <w:rFonts w:ascii="Arial" w:hAnsi="Arial" w:eastAsia="Arial" w:cs="Arial"/>
          <w:color w:val="000000" w:themeColor="text1"/>
        </w:rPr>
        <w:t xml:space="preserve">-not as much consensus on this, overall a lot of debate - </w:t>
      </w:r>
      <w:proofErr w:type="spellStart"/>
      <w:r w:rsidRPr="6AF84DAC">
        <w:rPr>
          <w:rFonts w:ascii="Arial" w:hAnsi="Arial" w:eastAsia="Arial" w:cs="Arial"/>
          <w:color w:val="000000" w:themeColor="text1"/>
        </w:rPr>
        <w:t>Pedišić</w:t>
      </w:r>
      <w:proofErr w:type="spellEnd"/>
      <w:r w:rsidRPr="6AF84DAC">
        <w:rPr>
          <w:rFonts w:ascii="Arial" w:hAnsi="Arial" w:eastAsia="Arial" w:cs="Arial"/>
          <w:color w:val="000000" w:themeColor="text1"/>
        </w:rPr>
        <w:t xml:space="preserve"> &amp; Bauman (2015) - “Across 15 calibration studies of </w:t>
      </w:r>
      <w:proofErr w:type="spellStart"/>
      <w:r w:rsidRPr="6AF84DAC">
        <w:rPr>
          <w:rFonts w:ascii="Arial" w:hAnsi="Arial" w:eastAsia="Arial" w:cs="Arial"/>
          <w:color w:val="000000" w:themeColor="text1"/>
        </w:rPr>
        <w:t>Actigraph</w:t>
      </w:r>
      <w:proofErr w:type="spellEnd"/>
      <w:r w:rsidRPr="6AF84DAC">
        <w:rPr>
          <w:rFonts w:ascii="Arial" w:hAnsi="Arial" w:eastAsia="Arial" w:cs="Arial"/>
          <w:color w:val="000000" w:themeColor="text1"/>
        </w:rPr>
        <w:t xml:space="preserve"> accelerometers, the lower threshold for MVPA for adults ranged from 191 to 3285 counts per minute (</w:t>
      </w:r>
      <w:proofErr w:type="spellStart"/>
      <w:r w:rsidRPr="6AF84DAC">
        <w:rPr>
          <w:rFonts w:ascii="Arial" w:hAnsi="Arial" w:eastAsia="Arial" w:cs="Arial"/>
          <w:color w:val="000000" w:themeColor="text1"/>
        </w:rPr>
        <w:t>cpm</w:t>
      </w:r>
      <w:proofErr w:type="spellEnd"/>
      <w:r w:rsidRPr="6AF84DAC">
        <w:rPr>
          <w:rFonts w:ascii="Arial" w:hAnsi="Arial" w:eastAsia="Arial" w:cs="Arial"/>
          <w:color w:val="000000" w:themeColor="text1"/>
        </w:rPr>
        <w:t xml:space="preserve">).” </w:t>
      </w:r>
      <w:r w:rsidRPr="6AF84DAC">
        <w:rPr>
          <w:rFonts w:ascii="Times New Roman" w:hAnsi="Times New Roman" w:eastAsia="Times New Roman" w:cs="Times New Roman"/>
          <w:color w:val="000000" w:themeColor="text1"/>
          <w:sz w:val="23"/>
          <w:szCs w:val="23"/>
        </w:rPr>
        <w:t>(</w:t>
      </w:r>
      <w:hyperlink r:id="rId12">
        <w:r w:rsidRPr="6AF84DAC">
          <w:rPr>
            <w:rStyle w:val="Hyperlink"/>
            <w:rFonts w:ascii="Times New Roman" w:hAnsi="Times New Roman" w:eastAsia="Times New Roman" w:cs="Times New Roman"/>
            <w:sz w:val="23"/>
            <w:szCs w:val="23"/>
          </w:rPr>
          <w:t>https://bjsm.bmj.com/content/bjsports/49/4/219.full.pdf?legid=bjsports%3B49/4/219&amp;casa_token=9RMc7AqSxfkAAAAA:k6w3m78ym9XKuxqXN9D9Mq--5j-W2gGzhSEgAfHnZmbyPlsCONplUjBMgib7v9kdErZHid1KG6_8</w:t>
        </w:r>
      </w:hyperlink>
      <w:r w:rsidRPr="6AF84DAC">
        <w:rPr>
          <w:rFonts w:ascii="Times New Roman" w:hAnsi="Times New Roman" w:eastAsia="Times New Roman" w:cs="Times New Roman"/>
          <w:color w:val="000000" w:themeColor="text1"/>
          <w:sz w:val="23"/>
          <w:szCs w:val="23"/>
        </w:rPr>
        <w:t>)</w:t>
      </w:r>
    </w:p>
    <w:p w:rsidR="001120C3" w:rsidRDefault="1537DFBF" w14:paraId="51FB15D3" w14:textId="0F45EB67">
      <w:proofErr w:type="spellStart"/>
      <w:r w:rsidRPr="1537DFBF">
        <w:rPr>
          <w:b/>
          <w:bCs/>
        </w:rPr>
        <w:t>boutcriter</w:t>
      </w:r>
      <w:proofErr w:type="spellEnd"/>
      <w:r>
        <w:t xml:space="preserve"> - The variable </w:t>
      </w:r>
      <w:proofErr w:type="spellStart"/>
      <w:r>
        <w:t>boutcriter</w:t>
      </w:r>
      <w:proofErr w:type="spellEnd"/>
      <w:r>
        <w:t xml:space="preserve"> is a number between 0 and 1 and defines what fraction of a bout needs to be above the </w:t>
      </w:r>
      <w:proofErr w:type="spellStart"/>
      <w:r>
        <w:t>mvpathreshold</w:t>
      </w:r>
      <w:proofErr w:type="spellEnd"/>
    </w:p>
    <w:p w:rsidR="001120C3" w:rsidP="7D8C90D1" w:rsidRDefault="7D8C90D1" w14:paraId="1A5CC4CD" w14:textId="1A88620B">
      <w:pPr>
        <w:ind w:left="720"/>
        <w:rPr>
          <w:rStyle w:val="Hyperlink"/>
          <w:rFonts w:ascii="Arial" w:hAnsi="Arial" w:eastAsia="Arial" w:cs="Arial"/>
        </w:rPr>
      </w:pPr>
      <w:r w:rsidRPr="7D8C90D1">
        <w:rPr>
          <w:rFonts w:ascii="Arial" w:hAnsi="Arial" w:eastAsia="Arial" w:cs="Arial"/>
          <w:color w:val="000000" w:themeColor="text1"/>
        </w:rPr>
        <w:t>-</w:t>
      </w:r>
      <w:commentRangeStart w:id="2"/>
      <w:r w:rsidRPr="7D8C90D1">
        <w:rPr>
          <w:rFonts w:ascii="Arial" w:hAnsi="Arial" w:eastAsia="Arial" w:cs="Arial"/>
          <w:color w:val="000000" w:themeColor="text1"/>
        </w:rPr>
        <w:t xml:space="preserve">this might be helpful? Effect of breaks in MVPA in young women - </w:t>
      </w:r>
      <w:proofErr w:type="spellStart"/>
      <w:r w:rsidRPr="7D8C90D1">
        <w:rPr>
          <w:rFonts w:ascii="Arial" w:hAnsi="Arial" w:eastAsia="Arial" w:cs="Arial"/>
          <w:color w:val="000000" w:themeColor="text1"/>
        </w:rPr>
        <w:t>Ayabe</w:t>
      </w:r>
      <w:proofErr w:type="spellEnd"/>
      <w:r w:rsidRPr="7D8C90D1">
        <w:rPr>
          <w:rFonts w:ascii="Arial" w:hAnsi="Arial" w:eastAsia="Arial" w:cs="Arial"/>
          <w:color w:val="000000" w:themeColor="text1"/>
        </w:rPr>
        <w:t xml:space="preserve"> &amp; </w:t>
      </w:r>
      <w:proofErr w:type="spellStart"/>
      <w:r w:rsidRPr="7D8C90D1">
        <w:rPr>
          <w:rFonts w:ascii="Arial" w:hAnsi="Arial" w:eastAsia="Arial" w:cs="Arial"/>
          <w:color w:val="000000" w:themeColor="text1"/>
        </w:rPr>
        <w:t>Kumahara</w:t>
      </w:r>
      <w:proofErr w:type="spellEnd"/>
      <w:r w:rsidRPr="7D8C90D1">
        <w:rPr>
          <w:rFonts w:ascii="Arial" w:hAnsi="Arial" w:eastAsia="Arial" w:cs="Arial"/>
          <w:color w:val="000000" w:themeColor="text1"/>
        </w:rPr>
        <w:t xml:space="preserve"> (2020) - </w:t>
      </w:r>
      <w:hyperlink r:id="rId13">
        <w:r w:rsidRPr="7D8C90D1">
          <w:rPr>
            <w:rStyle w:val="Hyperlink"/>
            <w:rFonts w:ascii="Arial" w:hAnsi="Arial" w:eastAsia="Arial" w:cs="Arial"/>
          </w:rPr>
          <w:t>https://www.sciencedirect.com/science/article/pii/S0966636220302332?casa_token=D7l2kRaE1q8AAAAA:LzkWrOtf60TdkNGj5gzj3sSyjWb--Y0sl9IN4eALmrA4-54EAXSkDHssA</w:t>
        </w:r>
        <w:r w:rsidRPr="7D8C90D1">
          <w:rPr>
            <w:rStyle w:val="Hyperlink"/>
            <w:rFonts w:ascii="Arial" w:hAnsi="Arial" w:eastAsia="Arial" w:cs="Arial"/>
          </w:rPr>
          <w:t>H</w:t>
        </w:r>
        <w:r w:rsidRPr="7D8C90D1">
          <w:rPr>
            <w:rStyle w:val="Hyperlink"/>
            <w:rFonts w:ascii="Arial" w:hAnsi="Arial" w:eastAsia="Arial" w:cs="Arial"/>
          </w:rPr>
          <w:t>ZqsGriDbxWxX74Yzo</w:t>
        </w:r>
      </w:hyperlink>
      <w:commentRangeEnd w:id="2"/>
      <w:r w:rsidR="001120C3">
        <w:commentReference w:id="2"/>
      </w:r>
    </w:p>
    <w:p w:rsidR="1537DFBF" w:rsidP="1537DFBF" w:rsidRDefault="1537DFBF" w14:paraId="419D639B" w14:textId="1F8CACC8">
      <w:pPr>
        <w:ind w:left="720"/>
        <w:rPr>
          <w:rFonts w:ascii="Arial" w:hAnsi="Arial" w:eastAsia="Arial" w:cs="Arial"/>
        </w:rPr>
      </w:pPr>
    </w:p>
    <w:p w:rsidR="001120C3" w:rsidP="1537DFBF" w:rsidRDefault="1537DFBF" w14:paraId="28D69FF8" w14:textId="04328888">
      <w:pPr>
        <w:rPr>
          <w:rFonts w:ascii="Calibri" w:hAnsi="Calibri" w:eastAsia="Calibri" w:cs="Calibri"/>
          <w:b/>
          <w:bCs/>
        </w:rPr>
      </w:pPr>
      <w:r w:rsidRPr="1537DFBF">
        <w:rPr>
          <w:b/>
          <w:bCs/>
        </w:rPr>
        <w:t xml:space="preserve">2.3.3 </w:t>
      </w:r>
      <w:r w:rsidRPr="1537DFBF">
        <w:rPr>
          <w:rFonts w:ascii="Calibri" w:hAnsi="Calibri" w:eastAsia="Calibri" w:cs="Calibri"/>
          <w:b/>
          <w:bCs/>
        </w:rPr>
        <w:t xml:space="preserve">Configure what fraction of a bout needs to meet the threshold (cut-point) </w:t>
      </w:r>
      <w:proofErr w:type="spellStart"/>
      <w:r w:rsidRPr="1537DFBF">
        <w:rPr>
          <w:rFonts w:ascii="Calibri" w:hAnsi="Calibri" w:eastAsia="Calibri" w:cs="Calibri"/>
          <w:b/>
          <w:bCs/>
        </w:rPr>
        <w:t>crtieria</w:t>
      </w:r>
      <w:proofErr w:type="spellEnd"/>
      <w:r w:rsidRPr="1537DFBF">
        <w:rPr>
          <w:rFonts w:ascii="Calibri" w:hAnsi="Calibri" w:eastAsia="Calibri" w:cs="Calibri"/>
          <w:b/>
          <w:bCs/>
        </w:rPr>
        <w:t xml:space="preserve"> </w:t>
      </w:r>
      <w:r w:rsidRPr="1537DFBF">
        <w:rPr>
          <w:rFonts w:ascii="Consolas" w:hAnsi="Consolas" w:eastAsia="Consolas" w:cs="Consolas"/>
          <w:b/>
          <w:bCs/>
        </w:rPr>
        <w:t>boutcriter.in</w:t>
      </w:r>
      <w:r w:rsidRPr="1537DFBF">
        <w:rPr>
          <w:rFonts w:ascii="Calibri" w:hAnsi="Calibri" w:eastAsia="Calibri" w:cs="Calibri"/>
          <w:b/>
          <w:bCs/>
        </w:rPr>
        <w:t xml:space="preserve">, </w:t>
      </w:r>
      <w:proofErr w:type="spellStart"/>
      <w:r w:rsidRPr="1537DFBF">
        <w:rPr>
          <w:rFonts w:ascii="Consolas" w:hAnsi="Consolas" w:eastAsia="Consolas" w:cs="Consolas"/>
          <w:b/>
          <w:bCs/>
        </w:rPr>
        <w:t>boutcriter.lig</w:t>
      </w:r>
      <w:proofErr w:type="spellEnd"/>
      <w:r w:rsidRPr="1537DFBF">
        <w:rPr>
          <w:rFonts w:ascii="Calibri" w:hAnsi="Calibri" w:eastAsia="Calibri" w:cs="Calibri"/>
          <w:b/>
          <w:bCs/>
        </w:rPr>
        <w:t xml:space="preserve">, </w:t>
      </w:r>
      <w:proofErr w:type="spellStart"/>
      <w:proofErr w:type="gramStart"/>
      <w:r w:rsidRPr="1537DFBF">
        <w:rPr>
          <w:rFonts w:ascii="Consolas" w:hAnsi="Consolas" w:eastAsia="Consolas" w:cs="Consolas"/>
          <w:b/>
          <w:bCs/>
        </w:rPr>
        <w:t>boutcriter.mvpa</w:t>
      </w:r>
      <w:proofErr w:type="spellEnd"/>
      <w:proofErr w:type="gramEnd"/>
      <w:r w:rsidRPr="1537DFBF">
        <w:rPr>
          <w:rFonts w:ascii="Calibri" w:hAnsi="Calibri" w:eastAsia="Calibri" w:cs="Calibri"/>
          <w:b/>
          <w:bCs/>
        </w:rPr>
        <w:t xml:space="preserve">. Note that </w:t>
      </w:r>
      <w:proofErr w:type="spellStart"/>
      <w:proofErr w:type="gramStart"/>
      <w:r w:rsidRPr="1537DFBF">
        <w:rPr>
          <w:rFonts w:ascii="Calibri" w:hAnsi="Calibri" w:eastAsia="Calibri" w:cs="Calibri"/>
          <w:b/>
          <w:bCs/>
        </w:rPr>
        <w:t>bout.metric</w:t>
      </w:r>
      <w:proofErr w:type="spellEnd"/>
      <w:proofErr w:type="gramEnd"/>
      <w:r w:rsidRPr="1537DFBF">
        <w:rPr>
          <w:rFonts w:ascii="Calibri" w:hAnsi="Calibri" w:eastAsia="Calibri" w:cs="Calibri"/>
          <w:b/>
          <w:bCs/>
        </w:rPr>
        <w:t xml:space="preserve"> and the </w:t>
      </w:r>
      <w:proofErr w:type="spellStart"/>
      <w:r w:rsidRPr="1537DFBF">
        <w:rPr>
          <w:rFonts w:ascii="Calibri" w:hAnsi="Calibri" w:eastAsia="Calibri" w:cs="Calibri"/>
          <w:b/>
          <w:bCs/>
        </w:rPr>
        <w:t>boutcriter</w:t>
      </w:r>
      <w:proofErr w:type="spellEnd"/>
      <w:r w:rsidRPr="1537DFBF">
        <w:rPr>
          <w:rFonts w:ascii="Calibri" w:hAnsi="Calibri" w:eastAsia="Calibri" w:cs="Calibri"/>
          <w:b/>
          <w:bCs/>
        </w:rPr>
        <w:t xml:space="preserve"> arguments are complementary. When </w:t>
      </w:r>
      <w:proofErr w:type="spellStart"/>
      <w:proofErr w:type="gramStart"/>
      <w:r w:rsidRPr="1537DFBF">
        <w:rPr>
          <w:rFonts w:ascii="Calibri" w:hAnsi="Calibri" w:eastAsia="Calibri" w:cs="Calibri"/>
          <w:b/>
          <w:bCs/>
        </w:rPr>
        <w:t>bout.metric</w:t>
      </w:r>
      <w:proofErr w:type="spellEnd"/>
      <w:proofErr w:type="gramEnd"/>
      <w:r w:rsidRPr="1537DFBF">
        <w:rPr>
          <w:rFonts w:ascii="Calibri" w:hAnsi="Calibri" w:eastAsia="Calibri" w:cs="Calibri"/>
          <w:b/>
          <w:bCs/>
        </w:rPr>
        <w:t xml:space="preserve"> = 4 combined with </w:t>
      </w:r>
      <w:proofErr w:type="spellStart"/>
      <w:r w:rsidRPr="1537DFBF">
        <w:rPr>
          <w:rFonts w:ascii="Calibri" w:hAnsi="Calibri" w:eastAsia="Calibri" w:cs="Calibri"/>
          <w:b/>
          <w:bCs/>
        </w:rPr>
        <w:t>boutcriter.mvpa</w:t>
      </w:r>
      <w:proofErr w:type="spellEnd"/>
      <w:r w:rsidRPr="1537DFBF">
        <w:rPr>
          <w:rFonts w:ascii="Calibri" w:hAnsi="Calibri" w:eastAsia="Calibri" w:cs="Calibri"/>
          <w:b/>
          <w:bCs/>
        </w:rPr>
        <w:t xml:space="preserve">=0.8 means that an MVPA bout can have interruptions (i.e., the time out of MVPA intensity) that meet the following criteria: </w:t>
      </w:r>
    </w:p>
    <w:p w:rsidR="001120C3" w:rsidP="1537DFBF" w:rsidRDefault="1537DFBF" w14:paraId="2C81EFA5" w14:textId="2755DE23">
      <w:pPr>
        <w:pStyle w:val="ListParagraph"/>
        <w:numPr>
          <w:ilvl w:val="0"/>
          <w:numId w:val="2"/>
        </w:numPr>
        <w:rPr>
          <w:rFonts w:eastAsiaTheme="minorEastAsia"/>
        </w:rPr>
      </w:pPr>
      <w:r w:rsidRPr="1537DFBF">
        <w:rPr>
          <w:rFonts w:ascii="Calibri" w:hAnsi="Calibri" w:eastAsia="Calibri" w:cs="Calibri"/>
        </w:rPr>
        <w:t>A single interruption can last &lt; 1 min</w:t>
      </w:r>
    </w:p>
    <w:p w:rsidR="001120C3" w:rsidP="1537DFBF" w:rsidRDefault="1537DFBF" w14:paraId="46806F67" w14:textId="7B013F1B">
      <w:pPr>
        <w:pStyle w:val="ListParagraph"/>
        <w:numPr>
          <w:ilvl w:val="0"/>
          <w:numId w:val="2"/>
        </w:numPr>
        <w:rPr>
          <w:rFonts w:eastAsiaTheme="minorEastAsia"/>
        </w:rPr>
      </w:pPr>
      <w:r w:rsidRPr="1537DFBF">
        <w:rPr>
          <w:rFonts w:ascii="Calibri" w:hAnsi="Calibri" w:eastAsia="Calibri" w:cs="Calibri"/>
        </w:rPr>
        <w:t>Repeated interruptions are allowed provided that their total time does not exceed 20% of the bout duration</w:t>
      </w:r>
    </w:p>
    <w:p w:rsidR="001120C3" w:rsidP="6C64966B" w:rsidRDefault="7D8C90D1" w14:paraId="7B42C273" w14:textId="1BE255D2">
      <w:pPr>
        <w:pStyle w:val="ListParagraph"/>
        <w:numPr>
          <w:ilvl w:val="0"/>
          <w:numId w:val="2"/>
        </w:numPr>
        <w:rPr>
          <w:rFonts w:eastAsia="" w:eastAsiaTheme="minorEastAsia"/>
        </w:rPr>
      </w:pPr>
      <w:r w:rsidRPr="6C64966B" w:rsidR="6C64966B">
        <w:rPr>
          <w:rFonts w:ascii="Calibri" w:hAnsi="Calibri" w:eastAsia="Calibri" w:cs="Calibri"/>
        </w:rPr>
        <w:t xml:space="preserve">The time spent in the interruptions is included in the duration of the MVPA bout. For example: A 25-minute bout can have two </w:t>
      </w:r>
      <w:proofErr w:type="gramStart"/>
      <w:r w:rsidRPr="6C64966B" w:rsidR="6C64966B">
        <w:rPr>
          <w:rFonts w:ascii="Calibri" w:hAnsi="Calibri" w:eastAsia="Calibri" w:cs="Calibri"/>
        </w:rPr>
        <w:t>1 minute</w:t>
      </w:r>
      <w:proofErr w:type="gramEnd"/>
      <w:r w:rsidRPr="6C64966B" w:rsidR="6C64966B">
        <w:rPr>
          <w:rFonts w:ascii="Calibri" w:hAnsi="Calibri" w:eastAsia="Calibri" w:cs="Calibri"/>
        </w:rPr>
        <w:t xml:space="preserve"> interruption, </w:t>
      </w:r>
      <w:commentRangeStart w:id="1387403750"/>
      <w:r w:rsidRPr="6C64966B" w:rsidR="6C64966B">
        <w:rPr>
          <w:rFonts w:ascii="Calibri" w:hAnsi="Calibri" w:eastAsia="Calibri" w:cs="Calibri"/>
        </w:rPr>
        <w:t>but not a single 2-minute interruption.</w:t>
      </w:r>
      <w:commentRangeEnd w:id="1387403750"/>
      <w:r>
        <w:rPr>
          <w:rStyle w:val="CommentReference"/>
        </w:rPr>
        <w:commentReference w:id="1387403750"/>
      </w:r>
      <w:r w:rsidRPr="6C64966B" w:rsidR="6C64966B">
        <w:rPr>
          <w:rFonts w:ascii="Calibri" w:hAnsi="Calibri" w:eastAsia="Calibri" w:cs="Calibri"/>
        </w:rPr>
        <w:t xml:space="preserve"> Here, the full 25 minutes would count towards the duration of the MVPA bout.</w:t>
      </w:r>
    </w:p>
    <w:p w:rsidR="7D8C90D1" w:rsidP="7D8C90D1" w:rsidRDefault="7D8C90D1" w14:paraId="5FAD2E99" w14:textId="595A95B5">
      <w:pPr>
        <w:ind w:left="720"/>
        <w:rPr>
          <w:rFonts w:ascii="Calibri" w:hAnsi="Calibri" w:eastAsia="Calibri" w:cs="Calibri"/>
          <w:highlight w:val="green"/>
        </w:rPr>
      </w:pPr>
      <w:r w:rsidRPr="7D8C90D1">
        <w:rPr>
          <w:rFonts w:ascii="Calibri" w:hAnsi="Calibri" w:eastAsia="Calibri" w:cs="Calibri"/>
          <w:highlight w:val="green"/>
        </w:rPr>
        <w:t xml:space="preserve">-use </w:t>
      </w:r>
      <w:proofErr w:type="spellStart"/>
      <w:proofErr w:type="gramStart"/>
      <w:r w:rsidRPr="7D8C90D1">
        <w:rPr>
          <w:rFonts w:ascii="Calibri" w:hAnsi="Calibri" w:eastAsia="Calibri" w:cs="Calibri"/>
          <w:highlight w:val="green"/>
        </w:rPr>
        <w:t>bout.metric</w:t>
      </w:r>
      <w:proofErr w:type="spellEnd"/>
      <w:proofErr w:type="gramEnd"/>
      <w:r w:rsidRPr="7D8C90D1">
        <w:rPr>
          <w:rFonts w:ascii="Calibri" w:hAnsi="Calibri" w:eastAsia="Calibri" w:cs="Calibri"/>
          <w:highlight w:val="green"/>
        </w:rPr>
        <w:t xml:space="preserve"> = 4 as recommended by GGIR</w:t>
      </w:r>
    </w:p>
    <w:p w:rsidR="001120C3" w:rsidP="1537DFBF" w:rsidRDefault="001120C3" w14:paraId="3DE60533" w14:textId="6CC8B0DE"/>
    <w:p w:rsidR="1537DFBF" w:rsidP="1537DFBF" w:rsidRDefault="1537DFBF" w14:paraId="62DD15BE" w14:textId="21730BA9">
      <w:pPr>
        <w:rPr>
          <w:b/>
          <w:bCs/>
        </w:rPr>
      </w:pPr>
      <w:r w:rsidRPr="1537DFBF">
        <w:rPr>
          <w:b/>
          <w:bCs/>
        </w:rPr>
        <w:t xml:space="preserve">2.3.4 Published </w:t>
      </w:r>
      <w:proofErr w:type="spellStart"/>
      <w:r w:rsidRPr="1537DFBF">
        <w:rPr>
          <w:b/>
          <w:bCs/>
        </w:rPr>
        <w:t>Cutpoints</w:t>
      </w:r>
      <w:proofErr w:type="spellEnd"/>
    </w:p>
    <w:p w:rsidR="1537DFBF" w:rsidRDefault="1537DFBF" w14:paraId="27E1D38A" w14:textId="2F1AD0DB">
      <w:proofErr w:type="gramStart"/>
      <w:r w:rsidRPr="1537DFBF">
        <w:rPr>
          <w:rFonts w:ascii="Calibri" w:hAnsi="Calibri" w:eastAsia="Calibri" w:cs="Calibri"/>
        </w:rPr>
        <w:lastRenderedPageBreak/>
        <w:t>Cut-points</w:t>
      </w:r>
      <w:proofErr w:type="gramEnd"/>
      <w:r w:rsidRPr="1537DFBF">
        <w:rPr>
          <w:rFonts w:ascii="Calibri" w:hAnsi="Calibri" w:eastAsia="Calibri" w:cs="Calibri"/>
        </w:rPr>
        <w:t xml:space="preserve"> to estimate time spent in acceleration levels that are roughly liked to levels of energy metabolism have been proposed by:</w:t>
      </w:r>
    </w:p>
    <w:p w:rsidR="1537DFBF" w:rsidP="7D8C90D1" w:rsidRDefault="001C5AA8" w14:paraId="357EE67F" w14:textId="306A91B5">
      <w:pPr>
        <w:pStyle w:val="ListParagraph"/>
        <w:numPr>
          <w:ilvl w:val="0"/>
          <w:numId w:val="1"/>
        </w:numPr>
        <w:rPr>
          <w:rFonts w:eastAsiaTheme="minorEastAsia"/>
          <w:color w:val="0563C1"/>
        </w:rPr>
      </w:pPr>
      <w:hyperlink r:id="rId14">
        <w:proofErr w:type="spellStart"/>
        <w:r w:rsidRPr="7D8C90D1" w:rsidR="7D8C90D1">
          <w:rPr>
            <w:rStyle w:val="Hyperlink"/>
            <w:rFonts w:ascii="Calibri" w:hAnsi="Calibri" w:eastAsia="Calibri" w:cs="Calibri"/>
          </w:rPr>
          <w:t>Esliger</w:t>
        </w:r>
        <w:proofErr w:type="spellEnd"/>
        <w:r w:rsidRPr="7D8C90D1" w:rsidR="7D8C90D1">
          <w:rPr>
            <w:rStyle w:val="Hyperlink"/>
            <w:rFonts w:ascii="Calibri" w:hAnsi="Calibri" w:eastAsia="Calibri" w:cs="Calibri"/>
          </w:rPr>
          <w:t xml:space="preserve"> et al 2011</w:t>
        </w:r>
      </w:hyperlink>
      <w:r w:rsidRPr="7D8C90D1" w:rsidR="7D8C90D1">
        <w:rPr>
          <w:rFonts w:ascii="Calibri" w:hAnsi="Calibri" w:eastAsia="Calibri" w:cs="Calibri"/>
        </w:rPr>
        <w:t>: wrist and waist in adults.</w:t>
      </w:r>
    </w:p>
    <w:p w:rsidR="1537DFBF" w:rsidP="7D8C90D1" w:rsidRDefault="7D8C90D1" w14:paraId="5417FCA5" w14:textId="4D4A7768">
      <w:pPr>
        <w:pStyle w:val="ListParagraph"/>
        <w:numPr>
          <w:ilvl w:val="1"/>
          <w:numId w:val="1"/>
        </w:numPr>
        <w:rPr>
          <w:color w:val="0563C1"/>
        </w:rPr>
      </w:pPr>
      <w:r w:rsidRPr="7D8C90D1">
        <w:rPr>
          <w:rFonts w:ascii="Calibri" w:hAnsi="Calibri" w:eastAsia="Calibri" w:cs="Calibri"/>
        </w:rPr>
        <w:t>Male &amp; female adults ages 40-65</w:t>
      </w:r>
    </w:p>
    <w:p w:rsidR="1537DFBF" w:rsidP="1537DFBF" w:rsidRDefault="001C5AA8" w14:paraId="38C96565" w14:textId="281A754F">
      <w:pPr>
        <w:pStyle w:val="ListParagraph"/>
        <w:numPr>
          <w:ilvl w:val="0"/>
          <w:numId w:val="1"/>
        </w:numPr>
        <w:rPr>
          <w:rFonts w:eastAsiaTheme="minorEastAsia"/>
          <w:strike/>
          <w:color w:val="0563C1"/>
        </w:rPr>
      </w:pPr>
      <w:hyperlink r:id="rId15">
        <w:r w:rsidRPr="1537DFBF" w:rsidR="1537DFBF">
          <w:rPr>
            <w:rStyle w:val="Hyperlink"/>
            <w:rFonts w:ascii="Calibri" w:hAnsi="Calibri" w:eastAsia="Calibri" w:cs="Calibri"/>
            <w:strike/>
          </w:rPr>
          <w:t>Schaefer et al 2014</w:t>
        </w:r>
      </w:hyperlink>
      <w:r w:rsidRPr="1537DFBF" w:rsidR="1537DFBF">
        <w:rPr>
          <w:rFonts w:ascii="Calibri" w:hAnsi="Calibri" w:eastAsia="Calibri" w:cs="Calibri"/>
          <w:strike/>
        </w:rPr>
        <w:t xml:space="preserve">: wrist in </w:t>
      </w:r>
      <w:proofErr w:type="gramStart"/>
      <w:r w:rsidRPr="1537DFBF" w:rsidR="1537DFBF">
        <w:rPr>
          <w:rFonts w:ascii="Calibri" w:hAnsi="Calibri" w:eastAsia="Calibri" w:cs="Calibri"/>
          <w:strike/>
        </w:rPr>
        <w:t>6-11 year old</w:t>
      </w:r>
      <w:proofErr w:type="gramEnd"/>
      <w:r w:rsidRPr="1537DFBF" w:rsidR="1537DFBF">
        <w:rPr>
          <w:rFonts w:ascii="Calibri" w:hAnsi="Calibri" w:eastAsia="Calibri" w:cs="Calibri"/>
          <w:strike/>
        </w:rPr>
        <w:t xml:space="preserve"> children.</w:t>
      </w:r>
    </w:p>
    <w:p w:rsidR="1537DFBF" w:rsidP="1537DFBF" w:rsidRDefault="001C5AA8" w14:paraId="32D9DA69" w14:textId="09202C21">
      <w:pPr>
        <w:pStyle w:val="ListParagraph"/>
        <w:numPr>
          <w:ilvl w:val="0"/>
          <w:numId w:val="1"/>
        </w:numPr>
        <w:rPr>
          <w:rFonts w:eastAsiaTheme="minorEastAsia"/>
          <w:strike/>
          <w:color w:val="0563C1"/>
        </w:rPr>
      </w:pPr>
      <w:hyperlink r:id="rId16">
        <w:r w:rsidRPr="1537DFBF" w:rsidR="1537DFBF">
          <w:rPr>
            <w:rStyle w:val="Hyperlink"/>
            <w:rFonts w:ascii="Calibri" w:hAnsi="Calibri" w:eastAsia="Calibri" w:cs="Calibri"/>
            <w:strike/>
          </w:rPr>
          <w:t>Roscoe et al 2017</w:t>
        </w:r>
      </w:hyperlink>
      <w:r w:rsidRPr="1537DFBF" w:rsidR="1537DFBF">
        <w:rPr>
          <w:rFonts w:ascii="Calibri" w:hAnsi="Calibri" w:eastAsia="Calibri" w:cs="Calibri"/>
          <w:strike/>
        </w:rPr>
        <w:t xml:space="preserve">: wrist in </w:t>
      </w:r>
      <w:proofErr w:type="gramStart"/>
      <w:r w:rsidRPr="1537DFBF" w:rsidR="1537DFBF">
        <w:rPr>
          <w:rFonts w:ascii="Calibri" w:hAnsi="Calibri" w:eastAsia="Calibri" w:cs="Calibri"/>
          <w:strike/>
        </w:rPr>
        <w:t>4-5 year old</w:t>
      </w:r>
      <w:proofErr w:type="gramEnd"/>
      <w:r w:rsidRPr="1537DFBF" w:rsidR="1537DFBF">
        <w:rPr>
          <w:rFonts w:ascii="Calibri" w:hAnsi="Calibri" w:eastAsia="Calibri" w:cs="Calibri"/>
          <w:strike/>
        </w:rPr>
        <w:t xml:space="preserve"> pre-school children.</w:t>
      </w:r>
    </w:p>
    <w:p w:rsidR="1537DFBF" w:rsidP="1537DFBF" w:rsidRDefault="001C5AA8" w14:paraId="74C7E0B1" w14:textId="1629AEFA">
      <w:pPr>
        <w:pStyle w:val="ListParagraph"/>
        <w:numPr>
          <w:ilvl w:val="0"/>
          <w:numId w:val="1"/>
        </w:numPr>
        <w:rPr>
          <w:rFonts w:eastAsiaTheme="minorEastAsia"/>
          <w:color w:val="0563C1"/>
        </w:rPr>
      </w:pPr>
      <w:hyperlink r:id="rId17">
        <w:r w:rsidRPr="1537DFBF" w:rsidR="1537DFBF">
          <w:rPr>
            <w:rStyle w:val="Hyperlink"/>
            <w:rFonts w:ascii="Calibri" w:hAnsi="Calibri" w:eastAsia="Calibri" w:cs="Calibri"/>
          </w:rPr>
          <w:t>Phillips et al 2013</w:t>
        </w:r>
      </w:hyperlink>
      <w:r w:rsidRPr="1537DFBF" w:rsidR="1537DFBF">
        <w:rPr>
          <w:rFonts w:ascii="Calibri" w:hAnsi="Calibri" w:eastAsia="Calibri" w:cs="Calibri"/>
        </w:rPr>
        <w:t xml:space="preserve">: wrist and hip in </w:t>
      </w:r>
      <w:proofErr w:type="gramStart"/>
      <w:r w:rsidRPr="1537DFBF" w:rsidR="1537DFBF">
        <w:rPr>
          <w:rFonts w:ascii="Calibri" w:hAnsi="Calibri" w:eastAsia="Calibri" w:cs="Calibri"/>
        </w:rPr>
        <w:t xml:space="preserve">8-14 year </w:t>
      </w:r>
      <w:proofErr w:type="spellStart"/>
      <w:r w:rsidRPr="1537DFBF" w:rsidR="1537DFBF">
        <w:rPr>
          <w:rFonts w:ascii="Calibri" w:hAnsi="Calibri" w:eastAsia="Calibri" w:cs="Calibri"/>
        </w:rPr>
        <w:t>olds</w:t>
      </w:r>
      <w:proofErr w:type="spellEnd"/>
      <w:proofErr w:type="gramEnd"/>
      <w:r w:rsidRPr="1537DFBF" w:rsidR="1537DFBF">
        <w:rPr>
          <w:rFonts w:ascii="Calibri" w:hAnsi="Calibri" w:eastAsia="Calibri" w:cs="Calibri"/>
        </w:rPr>
        <w:t>.</w:t>
      </w:r>
    </w:p>
    <w:p w:rsidR="1537DFBF" w:rsidP="7D8C90D1" w:rsidRDefault="001C5AA8" w14:paraId="31727881" w14:textId="50EC2DC2">
      <w:pPr>
        <w:pStyle w:val="ListParagraph"/>
        <w:numPr>
          <w:ilvl w:val="0"/>
          <w:numId w:val="1"/>
        </w:numPr>
        <w:rPr>
          <w:rFonts w:eastAsiaTheme="minorEastAsia"/>
          <w:strike/>
          <w:color w:val="0563C1"/>
        </w:rPr>
      </w:pPr>
      <w:hyperlink r:id="rId18">
        <w:proofErr w:type="spellStart"/>
        <w:r w:rsidRPr="7D8C90D1" w:rsidR="7D8C90D1">
          <w:rPr>
            <w:rStyle w:val="Hyperlink"/>
            <w:rFonts w:ascii="Calibri" w:hAnsi="Calibri" w:eastAsia="Calibri" w:cs="Calibri"/>
            <w:strike/>
          </w:rPr>
          <w:t>Vaha-Ypya</w:t>
        </w:r>
        <w:proofErr w:type="spellEnd"/>
        <w:r w:rsidRPr="7D8C90D1" w:rsidR="7D8C90D1">
          <w:rPr>
            <w:rStyle w:val="Hyperlink"/>
            <w:rFonts w:ascii="Calibri" w:hAnsi="Calibri" w:eastAsia="Calibri" w:cs="Calibri"/>
            <w:strike/>
          </w:rPr>
          <w:t xml:space="preserve"> et al 2015</w:t>
        </w:r>
      </w:hyperlink>
      <w:r w:rsidRPr="7D8C90D1" w:rsidR="7D8C90D1">
        <w:rPr>
          <w:rFonts w:ascii="Calibri" w:hAnsi="Calibri" w:eastAsia="Calibri" w:cs="Calibri"/>
          <w:strike/>
        </w:rPr>
        <w:t>: hip in adults.</w:t>
      </w:r>
    </w:p>
    <w:p w:rsidR="1537DFBF" w:rsidP="7D8C90D1" w:rsidRDefault="7D8C90D1" w14:paraId="4B1DA879" w14:textId="28CAA371">
      <w:pPr>
        <w:pStyle w:val="ListParagraph"/>
        <w:numPr>
          <w:ilvl w:val="1"/>
          <w:numId w:val="1"/>
        </w:numPr>
        <w:rPr>
          <w:strike/>
          <w:color w:val="0563C1"/>
        </w:rPr>
      </w:pPr>
      <w:r w:rsidRPr="7D8C90D1">
        <w:rPr>
          <w:rFonts w:ascii="Calibri" w:hAnsi="Calibri" w:eastAsia="Calibri" w:cs="Calibri"/>
          <w:strike/>
        </w:rPr>
        <w:t>Male &amp; female adults, mean age 35 (SD=11)</w:t>
      </w:r>
    </w:p>
    <w:p w:rsidR="1537DFBF" w:rsidP="1537DFBF" w:rsidRDefault="001C5AA8" w14:paraId="51E8B674" w14:textId="4E9D6FCF">
      <w:pPr>
        <w:pStyle w:val="ListParagraph"/>
        <w:numPr>
          <w:ilvl w:val="0"/>
          <w:numId w:val="1"/>
        </w:numPr>
        <w:rPr>
          <w:rFonts w:eastAsiaTheme="minorEastAsia"/>
          <w:color w:val="0563C1"/>
        </w:rPr>
      </w:pPr>
      <w:hyperlink r:id="rId19">
        <w:r w:rsidRPr="7D8C90D1" w:rsidR="7D8C90D1">
          <w:rPr>
            <w:rStyle w:val="Hyperlink"/>
            <w:rFonts w:ascii="Calibri" w:hAnsi="Calibri" w:eastAsia="Calibri" w:cs="Calibri"/>
          </w:rPr>
          <w:t>Hildebrand et al 2014</w:t>
        </w:r>
      </w:hyperlink>
      <w:r w:rsidRPr="7D8C90D1" w:rsidR="7D8C90D1">
        <w:rPr>
          <w:rFonts w:ascii="Calibri" w:hAnsi="Calibri" w:eastAsia="Calibri" w:cs="Calibri"/>
        </w:rPr>
        <w:t xml:space="preserve"> and </w:t>
      </w:r>
      <w:hyperlink r:id="rId20">
        <w:r w:rsidRPr="7D8C90D1" w:rsidR="7D8C90D1">
          <w:rPr>
            <w:rStyle w:val="Hyperlink"/>
            <w:rFonts w:ascii="Calibri" w:hAnsi="Calibri" w:eastAsia="Calibri" w:cs="Calibri"/>
          </w:rPr>
          <w:t>2016</w:t>
        </w:r>
      </w:hyperlink>
      <w:r w:rsidRPr="7D8C90D1" w:rsidR="7D8C90D1">
        <w:rPr>
          <w:rFonts w:ascii="Calibri" w:hAnsi="Calibri" w:eastAsia="Calibri" w:cs="Calibri"/>
        </w:rPr>
        <w:t>: wrist and hip in 7-11 and 21-61 years old.</w:t>
      </w:r>
    </w:p>
    <w:p w:rsidR="7D8C90D1" w:rsidP="7D8C90D1" w:rsidRDefault="7D8C90D1" w14:paraId="20EBA24A" w14:textId="4AC71D7A">
      <w:pPr>
        <w:ind w:left="720"/>
        <w:rPr>
          <w:rFonts w:ascii="Calibri" w:hAnsi="Calibri" w:eastAsia="Calibri" w:cs="Calibri"/>
          <w:highlight w:val="green"/>
        </w:rPr>
      </w:pPr>
      <w:r w:rsidRPr="7D8C90D1">
        <w:rPr>
          <w:rFonts w:ascii="Calibri" w:hAnsi="Calibri" w:eastAsia="Calibri" w:cs="Calibri"/>
          <w:highlight w:val="green"/>
        </w:rPr>
        <w:t xml:space="preserve">-play around w/ </w:t>
      </w:r>
      <w:proofErr w:type="spellStart"/>
      <w:r w:rsidRPr="7D8C90D1">
        <w:rPr>
          <w:rFonts w:ascii="Calibri" w:hAnsi="Calibri" w:eastAsia="Calibri" w:cs="Calibri"/>
          <w:highlight w:val="green"/>
        </w:rPr>
        <w:t>esliger</w:t>
      </w:r>
      <w:proofErr w:type="spellEnd"/>
      <w:r w:rsidRPr="7D8C90D1">
        <w:rPr>
          <w:rFonts w:ascii="Calibri" w:hAnsi="Calibri" w:eastAsia="Calibri" w:cs="Calibri"/>
          <w:highlight w:val="green"/>
        </w:rPr>
        <w:t xml:space="preserve">, </w:t>
      </w:r>
      <w:proofErr w:type="spellStart"/>
      <w:r w:rsidRPr="7D8C90D1">
        <w:rPr>
          <w:rFonts w:ascii="Calibri" w:hAnsi="Calibri" w:eastAsia="Calibri" w:cs="Calibri"/>
          <w:highlight w:val="green"/>
        </w:rPr>
        <w:t>phillips</w:t>
      </w:r>
      <w:proofErr w:type="spellEnd"/>
      <w:r w:rsidRPr="7D8C90D1">
        <w:rPr>
          <w:rFonts w:ascii="Calibri" w:hAnsi="Calibri" w:eastAsia="Calibri" w:cs="Calibri"/>
          <w:highlight w:val="green"/>
        </w:rPr>
        <w:t xml:space="preserve">, &amp; </w:t>
      </w:r>
      <w:proofErr w:type="spellStart"/>
      <w:r w:rsidRPr="7D8C90D1">
        <w:rPr>
          <w:rFonts w:ascii="Calibri" w:hAnsi="Calibri" w:eastAsia="Calibri" w:cs="Calibri"/>
          <w:highlight w:val="green"/>
        </w:rPr>
        <w:t>hildebrand</w:t>
      </w:r>
      <w:proofErr w:type="spellEnd"/>
      <w:r w:rsidRPr="7D8C90D1">
        <w:rPr>
          <w:rFonts w:ascii="Calibri" w:hAnsi="Calibri" w:eastAsia="Calibri" w:cs="Calibri"/>
          <w:highlight w:val="green"/>
        </w:rPr>
        <w:t xml:space="preserve"> thresholds</w:t>
      </w:r>
      <w:r w:rsidRPr="7D8C90D1">
        <w:rPr>
          <w:rFonts w:ascii="Calibri" w:hAnsi="Calibri" w:eastAsia="Calibri" w:cs="Calibri"/>
        </w:rPr>
        <w:t xml:space="preserve"> </w:t>
      </w:r>
    </w:p>
    <w:p w:rsidR="7D8C90D1" w:rsidP="7D8C90D1" w:rsidRDefault="7D8C90D1" w14:paraId="6A33ED98" w14:textId="605FF459">
      <w:pPr>
        <w:ind w:left="720"/>
        <w:rPr>
          <w:rFonts w:ascii="Calibri" w:hAnsi="Calibri" w:eastAsia="Calibri" w:cs="Calibri"/>
        </w:rPr>
      </w:pPr>
      <w:r w:rsidRPr="23A51067" w:rsidR="23A51067">
        <w:rPr>
          <w:rFonts w:ascii="Calibri" w:hAnsi="Calibri" w:eastAsia="Calibri" w:cs="Calibri"/>
        </w:rPr>
        <w:t>-</w:t>
      </w:r>
      <w:proofErr w:type="spellStart"/>
      <w:r w:rsidRPr="23A51067" w:rsidR="23A51067">
        <w:rPr>
          <w:rFonts w:ascii="Calibri" w:hAnsi="Calibri" w:eastAsia="Calibri" w:cs="Calibri"/>
        </w:rPr>
        <w:t>phillips</w:t>
      </w:r>
      <w:proofErr w:type="spellEnd"/>
      <w:r w:rsidRPr="23A51067" w:rsidR="23A51067">
        <w:rPr>
          <w:rFonts w:ascii="Calibri" w:hAnsi="Calibri" w:eastAsia="Calibri" w:cs="Calibri"/>
        </w:rPr>
        <w:t xml:space="preserve"> &amp; </w:t>
      </w:r>
      <w:proofErr w:type="spellStart"/>
      <w:r w:rsidRPr="23A51067" w:rsidR="23A51067">
        <w:rPr>
          <w:rFonts w:ascii="Calibri" w:hAnsi="Calibri" w:eastAsia="Calibri" w:cs="Calibri"/>
        </w:rPr>
        <w:t>esliger</w:t>
      </w:r>
      <w:proofErr w:type="spellEnd"/>
      <w:r w:rsidRPr="23A51067" w:rsidR="23A51067">
        <w:rPr>
          <w:rFonts w:ascii="Calibri" w:hAnsi="Calibri" w:eastAsia="Calibri" w:cs="Calibri"/>
        </w:rPr>
        <w:t xml:space="preserve"> thresholds scale differently than </w:t>
      </w:r>
      <w:proofErr w:type="spellStart"/>
      <w:r w:rsidRPr="23A51067" w:rsidR="23A51067">
        <w:rPr>
          <w:rFonts w:ascii="Calibri" w:hAnsi="Calibri" w:eastAsia="Calibri" w:cs="Calibri"/>
        </w:rPr>
        <w:t>hildebrand</w:t>
      </w:r>
      <w:proofErr w:type="spellEnd"/>
      <w:r w:rsidRPr="23A51067" w:rsidR="23A51067">
        <w:rPr>
          <w:rFonts w:ascii="Calibri" w:hAnsi="Calibri" w:eastAsia="Calibri" w:cs="Calibri"/>
        </w:rPr>
        <w:t xml:space="preserve">, require </w:t>
      </w:r>
      <w:proofErr w:type="spellStart"/>
      <w:r w:rsidRPr="23A51067" w:rsidR="23A51067">
        <w:rPr>
          <w:rFonts w:ascii="Calibri" w:hAnsi="Calibri" w:eastAsia="Calibri" w:cs="Calibri"/>
        </w:rPr>
        <w:t>dif</w:t>
      </w:r>
      <w:proofErr w:type="spellEnd"/>
      <w:r w:rsidRPr="23A51067" w:rsidR="23A51067">
        <w:rPr>
          <w:rFonts w:ascii="Calibri" w:hAnsi="Calibri" w:eastAsia="Calibri" w:cs="Calibri"/>
        </w:rPr>
        <w:t xml:space="preserve"> arguments in </w:t>
      </w:r>
      <w:proofErr w:type="spellStart"/>
      <w:r w:rsidRPr="23A51067" w:rsidR="23A51067">
        <w:rPr>
          <w:rFonts w:ascii="Calibri" w:hAnsi="Calibri" w:eastAsia="Calibri" w:cs="Calibri"/>
        </w:rPr>
        <w:t>ggir</w:t>
      </w:r>
      <w:proofErr w:type="spellEnd"/>
    </w:p>
    <w:p w:rsidR="23A51067" w:rsidRDefault="23A51067" w14:paraId="0859EE82" w14:textId="230B9CD0">
      <w:r w:rsidRPr="23A51067" w:rsidR="23A51067">
        <w:rPr>
          <w:rFonts w:ascii="Calibri" w:hAnsi="Calibri" w:eastAsia="Calibri" w:cs="Calibri"/>
          <w:b w:val="1"/>
          <w:bCs w:val="1"/>
          <w:noProof w:val="0"/>
          <w:sz w:val="22"/>
          <w:szCs w:val="22"/>
          <w:lang w:val="en-US"/>
        </w:rPr>
        <w:t>Esliger 2011, Phillips 2013:</w:t>
      </w:r>
    </w:p>
    <w:p w:rsidR="23A51067" w:rsidP="23A51067" w:rsidRDefault="23A51067" w14:paraId="1044EFD1" w14:textId="67B4482C">
      <w:pPr>
        <w:pStyle w:val="ListParagraph"/>
        <w:numPr>
          <w:ilvl w:val="0"/>
          <w:numId w:val="1"/>
        </w:numPr>
        <w:rPr>
          <w:rFonts w:ascii="Calibri" w:hAnsi="Calibri" w:eastAsia="Calibri" w:cs="Calibri" w:asciiTheme="minorAscii" w:hAnsiTheme="minorAscii" w:eastAsiaTheme="minorAscii" w:cstheme="minorAscii"/>
          <w:sz w:val="22"/>
          <w:szCs w:val="22"/>
        </w:rPr>
      </w:pPr>
      <w:r w:rsidRPr="23A51067" w:rsidR="23A51067">
        <w:rPr>
          <w:rFonts w:ascii="Calibri" w:hAnsi="Calibri" w:eastAsia="Calibri" w:cs="Calibri"/>
          <w:noProof w:val="0"/>
          <w:sz w:val="22"/>
          <w:szCs w:val="22"/>
          <w:lang w:val="en-US"/>
        </w:rPr>
        <w:t xml:space="preserve">In GGIR use metric ENMOa instead of ENMO with arguments </w:t>
      </w:r>
      <w:r w:rsidRPr="23A51067" w:rsidR="23A51067">
        <w:rPr>
          <w:rFonts w:ascii="Consolas" w:hAnsi="Consolas" w:eastAsia="Consolas" w:cs="Consolas"/>
          <w:noProof w:val="0"/>
          <w:sz w:val="22"/>
          <w:szCs w:val="22"/>
          <w:lang w:val="en-US"/>
        </w:rPr>
        <w:t>do.enmoa = TRUE</w:t>
      </w:r>
      <w:r w:rsidRPr="23A51067" w:rsidR="23A51067">
        <w:rPr>
          <w:rFonts w:ascii="Calibri" w:hAnsi="Calibri" w:eastAsia="Calibri" w:cs="Calibri"/>
          <w:noProof w:val="0"/>
          <w:sz w:val="22"/>
          <w:szCs w:val="22"/>
          <w:lang w:val="en-US"/>
        </w:rPr>
        <w:t xml:space="preserve">, </w:t>
      </w:r>
      <w:r w:rsidRPr="23A51067" w:rsidR="23A51067">
        <w:rPr>
          <w:rFonts w:ascii="Consolas" w:hAnsi="Consolas" w:eastAsia="Consolas" w:cs="Consolas"/>
          <w:noProof w:val="0"/>
          <w:sz w:val="22"/>
          <w:szCs w:val="22"/>
          <w:lang w:val="en-US"/>
        </w:rPr>
        <w:t>do.enmo = FALSE</w:t>
      </w:r>
      <w:r w:rsidRPr="23A51067" w:rsidR="23A51067">
        <w:rPr>
          <w:rFonts w:ascii="Calibri" w:hAnsi="Calibri" w:eastAsia="Calibri" w:cs="Calibri"/>
          <w:noProof w:val="0"/>
          <w:sz w:val="22"/>
          <w:szCs w:val="22"/>
          <w:lang w:val="en-US"/>
        </w:rPr>
        <w:t xml:space="preserve">, and </w:t>
      </w:r>
      <w:r w:rsidRPr="23A51067" w:rsidR="23A51067">
        <w:rPr>
          <w:rFonts w:ascii="Consolas" w:hAnsi="Consolas" w:eastAsia="Consolas" w:cs="Consolas"/>
          <w:noProof w:val="0"/>
          <w:sz w:val="22"/>
          <w:szCs w:val="22"/>
          <w:lang w:val="en-US"/>
        </w:rPr>
        <w:t>acc.metric=”ENMOa”</w:t>
      </w:r>
      <w:r w:rsidRPr="23A51067" w:rsidR="23A51067">
        <w:rPr>
          <w:rFonts w:ascii="Calibri" w:hAnsi="Calibri" w:eastAsia="Calibri" w:cs="Calibri"/>
          <w:noProof w:val="0"/>
          <w:sz w:val="22"/>
          <w:szCs w:val="22"/>
          <w:lang w:val="en-US"/>
        </w:rPr>
        <w:t>.</w:t>
      </w:r>
    </w:p>
    <w:p w:rsidR="23A51067" w:rsidP="23A51067" w:rsidRDefault="23A51067" w14:paraId="7D4D14D7" w14:textId="17E04161">
      <w:pPr>
        <w:pStyle w:val="ListParagraph"/>
        <w:numPr>
          <w:ilvl w:val="0"/>
          <w:numId w:val="1"/>
        </w:numPr>
        <w:rPr>
          <w:rFonts w:ascii="Consolas" w:hAnsi="Consolas" w:eastAsia="Consolas" w:cs="Consolas" w:asciiTheme="minorAscii" w:hAnsiTheme="minorAscii" w:eastAsiaTheme="minorAscii" w:cstheme="minorAscii"/>
          <w:sz w:val="22"/>
          <w:szCs w:val="22"/>
        </w:rPr>
      </w:pPr>
      <w:r w:rsidRPr="23A51067" w:rsidR="23A51067">
        <w:rPr>
          <w:rFonts w:ascii="Consolas" w:hAnsi="Consolas" w:eastAsia="Consolas" w:cs="Consolas"/>
          <w:noProof w:val="0"/>
          <w:sz w:val="22"/>
          <w:szCs w:val="22"/>
          <w:lang w:val="en-US"/>
        </w:rPr>
        <w:t>threshold.lig = (LightCutPointFromPaper/80) * 1000</w:t>
      </w:r>
    </w:p>
    <w:p w:rsidR="23A51067" w:rsidP="23A51067" w:rsidRDefault="23A51067" w14:paraId="5D3EBD1F" w14:textId="6B5E7312">
      <w:pPr>
        <w:pStyle w:val="ListParagraph"/>
        <w:numPr>
          <w:ilvl w:val="0"/>
          <w:numId w:val="1"/>
        </w:numPr>
        <w:rPr>
          <w:rFonts w:ascii="Consolas" w:hAnsi="Consolas" w:eastAsia="Consolas" w:cs="Consolas" w:asciiTheme="minorAscii" w:hAnsiTheme="minorAscii" w:eastAsiaTheme="minorAscii" w:cstheme="minorAscii"/>
          <w:sz w:val="22"/>
          <w:szCs w:val="22"/>
        </w:rPr>
      </w:pPr>
      <w:r w:rsidRPr="23A51067" w:rsidR="23A51067">
        <w:rPr>
          <w:rFonts w:ascii="Consolas" w:hAnsi="Consolas" w:eastAsia="Consolas" w:cs="Consolas"/>
          <w:noProof w:val="0"/>
          <w:sz w:val="22"/>
          <w:szCs w:val="22"/>
          <w:lang w:val="en-US"/>
        </w:rPr>
        <w:t>threshold.mod = (ModerateCutPointFromPaper/80) * 1000</w:t>
      </w:r>
    </w:p>
    <w:p w:rsidR="23A51067" w:rsidP="23A51067" w:rsidRDefault="23A51067" w14:paraId="209B404D" w14:textId="1471FB4E">
      <w:pPr>
        <w:pStyle w:val="ListParagraph"/>
        <w:numPr>
          <w:ilvl w:val="0"/>
          <w:numId w:val="1"/>
        </w:numPr>
        <w:rPr>
          <w:rFonts w:ascii="Consolas" w:hAnsi="Consolas" w:eastAsia="Consolas" w:cs="Consolas" w:asciiTheme="minorAscii" w:hAnsiTheme="minorAscii" w:eastAsiaTheme="minorAscii" w:cstheme="minorAscii"/>
          <w:sz w:val="22"/>
          <w:szCs w:val="22"/>
        </w:rPr>
      </w:pPr>
      <w:r w:rsidRPr="23A51067" w:rsidR="23A51067">
        <w:rPr>
          <w:rFonts w:ascii="Consolas" w:hAnsi="Consolas" w:eastAsia="Consolas" w:cs="Consolas"/>
          <w:noProof w:val="0"/>
          <w:sz w:val="22"/>
          <w:szCs w:val="22"/>
          <w:lang w:val="en-US"/>
        </w:rPr>
        <w:t>threshold.vig = (VigorousCutPointFromPaper/80) * 1000</w:t>
      </w:r>
    </w:p>
    <w:p w:rsidR="23A51067" w:rsidP="23A51067" w:rsidRDefault="23A51067" w14:paraId="3D87F869" w14:textId="385110B8">
      <w:pPr>
        <w:pStyle w:val="ListParagraph"/>
        <w:numPr>
          <w:ilvl w:val="0"/>
          <w:numId w:val="1"/>
        </w:numPr>
        <w:rPr>
          <w:rFonts w:ascii="Consolas" w:hAnsi="Consolas" w:eastAsia="Consolas" w:cs="Consolas" w:asciiTheme="minorAscii" w:hAnsiTheme="minorAscii" w:eastAsiaTheme="minorAscii" w:cstheme="minorAscii"/>
          <w:sz w:val="22"/>
          <w:szCs w:val="22"/>
        </w:rPr>
      </w:pPr>
      <w:r w:rsidRPr="23A51067" w:rsidR="23A51067">
        <w:rPr>
          <w:rFonts w:ascii="Consolas" w:hAnsi="Consolas" w:eastAsia="Consolas" w:cs="Consolas"/>
          <w:noProof w:val="0"/>
          <w:sz w:val="22"/>
          <w:szCs w:val="22"/>
          <w:lang w:val="en-US"/>
        </w:rPr>
        <w:t>mvpathreshold = (ModerateCutPointFromPaper/80) * 1000</w:t>
      </w:r>
    </w:p>
    <w:p w:rsidR="23A51067" w:rsidP="23A51067" w:rsidRDefault="23A51067" w14:paraId="38AD5F63" w14:textId="14DAD843">
      <w:pPr>
        <w:pStyle w:val="ListParagraph"/>
        <w:numPr>
          <w:ilvl w:val="0"/>
          <w:numId w:val="1"/>
        </w:numPr>
        <w:rPr>
          <w:rFonts w:ascii="Calibri" w:hAnsi="Calibri" w:eastAsia="Calibri" w:cs="Calibri" w:asciiTheme="minorAscii" w:hAnsiTheme="minorAscii" w:eastAsiaTheme="minorAscii" w:cstheme="minorAscii"/>
          <w:sz w:val="22"/>
          <w:szCs w:val="22"/>
        </w:rPr>
      </w:pPr>
      <w:r w:rsidRPr="23A51067" w:rsidR="23A51067">
        <w:rPr>
          <w:rFonts w:ascii="Calibri" w:hAnsi="Calibri" w:eastAsia="Calibri" w:cs="Calibri"/>
          <w:noProof w:val="0"/>
          <w:sz w:val="22"/>
          <w:szCs w:val="22"/>
          <w:lang w:val="en-US"/>
        </w:rPr>
        <w:t>In the part2 results you will need the MVPA estimates that are related to ENMOa, not ENMO.</w:t>
      </w:r>
    </w:p>
    <w:p w:rsidR="23A51067" w:rsidP="23A51067" w:rsidRDefault="23A51067" w14:paraId="31571C1A" w14:textId="1C476C56">
      <w:pPr>
        <w:pStyle w:val="ListParagraph"/>
        <w:numPr>
          <w:ilvl w:val="0"/>
          <w:numId w:val="1"/>
        </w:numPr>
        <w:rPr>
          <w:rFonts w:ascii="Calibri" w:hAnsi="Calibri" w:eastAsia="Calibri" w:cs="Calibri" w:asciiTheme="minorAscii" w:hAnsiTheme="minorAscii" w:eastAsiaTheme="minorAscii" w:cstheme="minorAscii"/>
          <w:sz w:val="22"/>
          <w:szCs w:val="22"/>
        </w:rPr>
      </w:pPr>
      <w:r w:rsidRPr="23A51067" w:rsidR="23A51067">
        <w:rPr>
          <w:rFonts w:ascii="Calibri" w:hAnsi="Calibri" w:eastAsia="Calibri" w:cs="Calibri"/>
          <w:noProof w:val="0"/>
          <w:sz w:val="22"/>
          <w:szCs w:val="22"/>
          <w:lang w:val="en-US"/>
        </w:rPr>
        <w:t>In the part 5 results everything will be based on the new cut-points.</w:t>
      </w:r>
    </w:p>
    <w:p w:rsidR="23A51067" w:rsidRDefault="23A51067" w14:paraId="7820244F" w14:textId="03FA7F22">
      <w:r w:rsidRPr="23A51067" w:rsidR="23A51067">
        <w:rPr>
          <w:rFonts w:ascii="Calibri" w:hAnsi="Calibri" w:eastAsia="Calibri" w:cs="Calibri"/>
          <w:b w:val="1"/>
          <w:bCs w:val="1"/>
          <w:noProof w:val="0"/>
          <w:sz w:val="22"/>
          <w:szCs w:val="22"/>
          <w:lang w:val="en-US"/>
        </w:rPr>
        <w:t>Hildebrand 2014 and Hildebrand 2016:</w:t>
      </w:r>
    </w:p>
    <w:p w:rsidR="23A51067" w:rsidP="23A51067" w:rsidRDefault="23A51067" w14:paraId="17C651F7" w14:textId="646895E0">
      <w:pPr>
        <w:pStyle w:val="ListParagraph"/>
        <w:numPr>
          <w:ilvl w:val="0"/>
          <w:numId w:val="1"/>
        </w:numPr>
        <w:rPr>
          <w:rFonts w:ascii="Calibri" w:hAnsi="Calibri" w:eastAsia="Calibri" w:cs="Calibri" w:asciiTheme="minorAscii" w:hAnsiTheme="minorAscii" w:eastAsiaTheme="minorAscii" w:cstheme="minorAscii"/>
          <w:sz w:val="22"/>
          <w:szCs w:val="22"/>
        </w:rPr>
      </w:pPr>
      <w:r w:rsidRPr="23A51067" w:rsidR="23A51067">
        <w:rPr>
          <w:rFonts w:ascii="Calibri" w:hAnsi="Calibri" w:eastAsia="Calibri" w:cs="Calibri"/>
          <w:noProof w:val="0"/>
          <w:sz w:val="22"/>
          <w:szCs w:val="22"/>
          <w:lang w:val="en-US"/>
        </w:rPr>
        <w:t>Use default setting do.enmo= TRUE, acc.metric=”ENMO”</w:t>
      </w:r>
    </w:p>
    <w:p w:rsidR="23A51067" w:rsidP="23A51067" w:rsidRDefault="23A51067" w14:paraId="3C1E6B0B" w14:textId="71EC54A9">
      <w:pPr>
        <w:pStyle w:val="ListParagraph"/>
        <w:numPr>
          <w:ilvl w:val="0"/>
          <w:numId w:val="1"/>
        </w:numPr>
        <w:rPr>
          <w:rFonts w:ascii="Calibri" w:hAnsi="Calibri" w:eastAsia="Calibri" w:cs="Calibri" w:asciiTheme="minorAscii" w:hAnsiTheme="minorAscii" w:eastAsiaTheme="minorAscii" w:cstheme="minorAscii"/>
          <w:sz w:val="22"/>
          <w:szCs w:val="22"/>
        </w:rPr>
      </w:pPr>
      <w:r w:rsidRPr="23A51067" w:rsidR="23A51067">
        <w:rPr>
          <w:rFonts w:ascii="Calibri" w:hAnsi="Calibri" w:eastAsia="Calibri" w:cs="Calibri"/>
          <w:noProof w:val="0"/>
          <w:sz w:val="22"/>
          <w:szCs w:val="22"/>
          <w:lang w:val="en-US"/>
        </w:rPr>
        <w:t>Use the cut-points as provided by Hildebrand directly. No need for scaling.</w:t>
      </w:r>
    </w:p>
    <w:p w:rsidR="23A51067" w:rsidP="23A51067" w:rsidRDefault="23A51067" w14:paraId="0CEB5BA4" w14:textId="2E485DB3">
      <w:pPr>
        <w:pStyle w:val="Normal"/>
        <w:ind w:left="0"/>
        <w:rPr>
          <w:rFonts w:ascii="Calibri" w:hAnsi="Calibri" w:eastAsia="Calibri" w:cs="Calibri"/>
        </w:rPr>
      </w:pPr>
    </w:p>
    <w:p w:rsidR="7D8C90D1" w:rsidP="7D8C90D1" w:rsidRDefault="7D8C90D1" w14:paraId="4E83DBB9" w14:textId="15078190">
      <w:pPr>
        <w:ind w:left="720"/>
        <w:rPr>
          <w:rFonts w:ascii="Calibri" w:hAnsi="Calibri" w:eastAsia="Calibri" w:cs="Calibri"/>
          <w:highlight w:val="green"/>
        </w:rPr>
      </w:pPr>
      <w:r w:rsidRPr="23A51067" w:rsidR="23A51067">
        <w:rPr>
          <w:rFonts w:ascii="Calibri" w:hAnsi="Calibri" w:eastAsia="Calibri" w:cs="Calibri"/>
          <w:highlight w:val="green"/>
        </w:rPr>
        <w:t>-next step: identify thresholds we want to use</w:t>
      </w:r>
    </w:p>
    <w:p w:rsidR="23A51067" w:rsidP="23A51067" w:rsidRDefault="23A51067" w14:paraId="52448C24" w14:textId="5CA65282">
      <w:pPr>
        <w:pStyle w:val="Normal"/>
        <w:ind w:left="720"/>
        <w:rPr>
          <w:rFonts w:ascii="Calibri" w:hAnsi="Calibri" w:eastAsia="Calibri" w:cs="Calibri"/>
          <w:highlight w:val="green"/>
        </w:rPr>
      </w:pPr>
    </w:p>
    <w:p w:rsidR="23A51067" w:rsidP="23A51067" w:rsidRDefault="23A51067" w14:paraId="3A7D5DFF" w14:textId="688EC2FE">
      <w:pPr>
        <w:pStyle w:val="Normal"/>
        <w:ind w:left="0"/>
        <w:rPr>
          <w:rFonts w:ascii="Calibri" w:hAnsi="Calibri" w:eastAsia="Calibri" w:cs="Calibri"/>
          <w:b w:val="1"/>
          <w:bCs w:val="1"/>
        </w:rPr>
      </w:pPr>
      <w:proofErr w:type="spellStart"/>
      <w:r w:rsidRPr="23A51067" w:rsidR="23A51067">
        <w:rPr>
          <w:rFonts w:ascii="Calibri" w:hAnsi="Calibri" w:eastAsia="Calibri" w:cs="Calibri"/>
          <w:b w:val="1"/>
          <w:bCs w:val="1"/>
        </w:rPr>
        <w:t>Esliger</w:t>
      </w:r>
      <w:proofErr w:type="spellEnd"/>
      <w:r w:rsidRPr="23A51067" w:rsidR="23A51067">
        <w:rPr>
          <w:rFonts w:ascii="Calibri" w:hAnsi="Calibri" w:eastAsia="Calibri" w:cs="Calibri"/>
          <w:b w:val="1"/>
          <w:bCs w:val="1"/>
        </w:rPr>
        <w:t xml:space="preserve"> et al. (2011):</w:t>
      </w:r>
    </w:p>
    <w:p w:rsidR="23A51067" w:rsidP="23A51067" w:rsidRDefault="23A51067" w14:paraId="259C3B58" w14:textId="187427E5">
      <w:pPr>
        <w:pStyle w:val="Normal"/>
        <w:ind w:left="0"/>
      </w:pPr>
      <w:r>
        <w:drawing>
          <wp:inline wp14:editId="2A33CA9E" wp14:anchorId="5446A141">
            <wp:extent cx="4572000" cy="3733800"/>
            <wp:effectExtent l="0" t="0" r="0" b="0"/>
            <wp:docPr id="1669952546" name="" title=""/>
            <wp:cNvGraphicFramePr>
              <a:graphicFrameLocks noChangeAspect="1"/>
            </wp:cNvGraphicFramePr>
            <a:graphic>
              <a:graphicData uri="http://schemas.openxmlformats.org/drawingml/2006/picture">
                <pic:pic>
                  <pic:nvPicPr>
                    <pic:cNvPr id="0" name=""/>
                    <pic:cNvPicPr/>
                  </pic:nvPicPr>
                  <pic:blipFill>
                    <a:blip r:embed="Rb55f946d4df5442d">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23A51067" w:rsidP="23A51067" w:rsidRDefault="23A51067" w14:paraId="776FEA42" w14:textId="1E64CE89">
      <w:pPr>
        <w:pStyle w:val="Normal"/>
        <w:ind w:left="0"/>
        <w:rPr>
          <w:rFonts w:ascii="Calibri" w:hAnsi="Calibri" w:eastAsia="Calibri" w:cs="Calibri"/>
          <w:noProof w:val="0"/>
          <w:sz w:val="22"/>
          <w:szCs w:val="22"/>
          <w:lang w:val="en-US"/>
        </w:rPr>
      </w:pPr>
      <w:r w:rsidRPr="2EBAA20F" w:rsidR="2EBAA20F">
        <w:rPr>
          <w:rFonts w:ascii="Calibri" w:hAnsi="Calibri" w:eastAsia="Calibri" w:cs="Calibri"/>
        </w:rPr>
        <w:t xml:space="preserve">From discussion: “The GENEA </w:t>
      </w:r>
      <w:commentRangeStart w:id="1066047351"/>
      <w:proofErr w:type="spellStart"/>
      <w:r w:rsidRPr="2EBAA20F" w:rsidR="2EBAA20F">
        <w:rPr>
          <w:rFonts w:ascii="Calibri" w:hAnsi="Calibri" w:eastAsia="Calibri" w:cs="Calibri"/>
        </w:rPr>
        <w:t>SVM</w:t>
      </w:r>
      <w:r w:rsidRPr="2EBAA20F" w:rsidR="2EBAA20F">
        <w:rPr>
          <w:rFonts w:ascii="Calibri" w:hAnsi="Calibri" w:eastAsia="Calibri" w:cs="Calibri"/>
          <w:noProof w:val="0"/>
          <w:sz w:val="22"/>
          <w:szCs w:val="22"/>
          <w:vertAlign w:val="subscript"/>
          <w:lang w:val="en-US"/>
        </w:rPr>
        <w:t>gs</w:t>
      </w:r>
      <w:proofErr w:type="spellEnd"/>
      <w:r w:rsidRPr="2EBAA20F" w:rsidR="2EBAA20F">
        <w:rPr>
          <w:rFonts w:ascii="Calibri" w:hAnsi="Calibri" w:eastAsia="Calibri" w:cs="Calibri"/>
          <w:noProof w:val="0"/>
          <w:sz w:val="22"/>
          <w:szCs w:val="22"/>
          <w:lang w:val="en-US"/>
        </w:rPr>
        <w:t xml:space="preserve"> (</w:t>
      </w:r>
      <w:proofErr w:type="spellStart"/>
      <w:r w:rsidRPr="2EBAA20F" w:rsidR="2EBAA20F">
        <w:rPr>
          <w:rFonts w:ascii="Calibri" w:hAnsi="Calibri" w:eastAsia="Calibri" w:cs="Calibri"/>
          <w:i w:val="1"/>
          <w:iCs w:val="1"/>
          <w:noProof w:val="0"/>
          <w:sz w:val="22"/>
          <w:szCs w:val="22"/>
          <w:lang w:val="en-US"/>
        </w:rPr>
        <w:t>g</w:t>
      </w:r>
      <w:r w:rsidRPr="2EBAA20F" w:rsidR="2EBAA20F">
        <w:rPr>
          <w:rFonts w:ascii="Calibri" w:hAnsi="Calibri" w:eastAsia="Calibri" w:cs="Calibri"/>
          <w:noProof w:val="0"/>
          <w:sz w:val="22"/>
          <w:szCs w:val="22"/>
          <w:lang w:val="en-US"/>
        </w:rPr>
        <w:t>·min</w:t>
      </w:r>
      <w:proofErr w:type="spellEnd"/>
      <w:r w:rsidRPr="2EBAA20F" w:rsidR="2EBAA20F">
        <w:rPr>
          <w:rFonts w:ascii="Calibri" w:hAnsi="Calibri" w:eastAsia="Calibri" w:cs="Calibri"/>
          <w:noProof w:val="0"/>
          <w:sz w:val="22"/>
          <w:szCs w:val="22"/>
          <w:lang w:val="en-US"/>
        </w:rPr>
        <w:t>)</w:t>
      </w:r>
      <w:commentRangeEnd w:id="1066047351"/>
      <w:r>
        <w:rPr>
          <w:rStyle w:val="CommentReference"/>
        </w:rPr>
        <w:commentReference w:id="1066047351"/>
      </w:r>
      <w:r w:rsidRPr="2EBAA20F" w:rsidR="2EBAA20F">
        <w:rPr>
          <w:rFonts w:ascii="Calibri" w:hAnsi="Calibri" w:eastAsia="Calibri" w:cs="Calibri"/>
          <w:noProof w:val="0"/>
          <w:sz w:val="22"/>
          <w:szCs w:val="22"/>
          <w:lang w:val="en-US"/>
        </w:rPr>
        <w:t xml:space="preserve"> cut points established in this study demonstrated excellent accuracy for classifying physical activity intensity across the intensity spectrum. Because this is the first article to report cut points for the GENEA, it is not possible to compare these values with other studies. Although the accuracy of the GENEA was greatest at the waist, </w:t>
      </w:r>
      <w:commentRangeStart w:id="16878172"/>
      <w:r w:rsidRPr="2EBAA20F" w:rsidR="2EBAA20F">
        <w:rPr>
          <w:rFonts w:ascii="Calibri" w:hAnsi="Calibri" w:eastAsia="Calibri" w:cs="Calibri"/>
          <w:noProof w:val="0"/>
          <w:sz w:val="22"/>
          <w:szCs w:val="22"/>
          <w:lang w:val="en-US"/>
        </w:rPr>
        <w:t>it also performed well at the wrist, with the left wrist being more accurate than the right. The diminished accuracy experienced on the right wrist was likely due to differences in participant handedness; that is, extraneous movements recorded during the activity conditions were more likely to occur on the right wrist (e.g., scratching, adjusting clothing/glasses, hand gestures)</w:t>
      </w:r>
      <w:commentRangeEnd w:id="16878172"/>
      <w:r>
        <w:rPr>
          <w:rStyle w:val="CommentReference"/>
        </w:rPr>
        <w:commentReference w:id="16878172"/>
      </w:r>
      <w:r w:rsidRPr="2EBAA20F" w:rsidR="2EBAA20F">
        <w:rPr>
          <w:rFonts w:ascii="Calibri" w:hAnsi="Calibri" w:eastAsia="Calibri" w:cs="Calibri"/>
          <w:noProof w:val="0"/>
          <w:sz w:val="22"/>
          <w:szCs w:val="22"/>
          <w:lang w:val="en-US"/>
        </w:rPr>
        <w:t>. However, given the small number of left-handed participants (</w:t>
      </w:r>
      <w:r w:rsidRPr="2EBAA20F" w:rsidR="2EBAA20F">
        <w:rPr>
          <w:rFonts w:ascii="Calibri" w:hAnsi="Calibri" w:eastAsia="Calibri" w:cs="Calibri"/>
          <w:i w:val="1"/>
          <w:iCs w:val="1"/>
          <w:noProof w:val="0"/>
          <w:sz w:val="22"/>
          <w:szCs w:val="22"/>
          <w:lang w:val="en-US"/>
        </w:rPr>
        <w:t>n</w:t>
      </w:r>
      <w:r w:rsidRPr="2EBAA20F" w:rsidR="2EBAA20F">
        <w:rPr>
          <w:rFonts w:ascii="Calibri" w:hAnsi="Calibri" w:eastAsia="Calibri" w:cs="Calibri"/>
          <w:noProof w:val="0"/>
          <w:sz w:val="22"/>
          <w:szCs w:val="22"/>
          <w:lang w:val="en-US"/>
        </w:rPr>
        <w:t xml:space="preserve"> = 5), testing of the hypothesis was untenable.”</w:t>
      </w:r>
    </w:p>
    <w:p w:rsidR="2EBAA20F" w:rsidP="2EBAA20F" w:rsidRDefault="2EBAA20F" w14:paraId="6E887496" w14:textId="7576670D">
      <w:pPr>
        <w:pStyle w:val="Normal"/>
        <w:ind w:left="0"/>
        <w:rPr>
          <w:rFonts w:ascii="Calibri" w:hAnsi="Calibri" w:eastAsia="Calibri" w:cs="Calibri"/>
          <w:noProof w:val="0"/>
          <w:sz w:val="22"/>
          <w:szCs w:val="22"/>
          <w:lang w:val="en-US"/>
        </w:rPr>
      </w:pPr>
      <w:r w:rsidRPr="2EBAA20F" w:rsidR="2EBAA20F">
        <w:rPr>
          <w:rFonts w:ascii="Calibri" w:hAnsi="Calibri" w:eastAsia="Calibri" w:cs="Calibri"/>
          <w:noProof w:val="0"/>
          <w:sz w:val="22"/>
          <w:szCs w:val="22"/>
          <w:lang w:val="en-US"/>
        </w:rPr>
        <w:t xml:space="preserve">5/12 - change instructions to non-dominant hand, use left wrist </w:t>
      </w:r>
      <w:proofErr w:type="spellStart"/>
      <w:r w:rsidRPr="2EBAA20F" w:rsidR="2EBAA20F">
        <w:rPr>
          <w:rFonts w:ascii="Calibri" w:hAnsi="Calibri" w:eastAsia="Calibri" w:cs="Calibri"/>
          <w:noProof w:val="0"/>
          <w:sz w:val="22"/>
          <w:szCs w:val="22"/>
          <w:lang w:val="en-US"/>
        </w:rPr>
        <w:t>cutpoints</w:t>
      </w:r>
      <w:proofErr w:type="spellEnd"/>
      <w:r w:rsidRPr="2EBAA20F" w:rsidR="2EBAA20F">
        <w:rPr>
          <w:rFonts w:ascii="Calibri" w:hAnsi="Calibri" w:eastAsia="Calibri" w:cs="Calibri"/>
          <w:noProof w:val="0"/>
          <w:sz w:val="22"/>
          <w:szCs w:val="22"/>
          <w:lang w:val="en-US"/>
        </w:rPr>
        <w:t xml:space="preserve"> from esliger – add PMID to code</w:t>
      </w:r>
    </w:p>
    <w:p w:rsidR="23A51067" w:rsidP="23A51067" w:rsidRDefault="23A51067" w14:paraId="71B28184" w14:textId="26CEBDF4">
      <w:pPr>
        <w:pStyle w:val="Normal"/>
        <w:ind w:left="0"/>
        <w:rPr>
          <w:rFonts w:ascii="Calibri" w:hAnsi="Calibri" w:eastAsia="Calibri" w:cs="Calibri"/>
          <w:noProof w:val="0"/>
          <w:sz w:val="22"/>
          <w:szCs w:val="22"/>
          <w:lang w:val="en-US"/>
        </w:rPr>
      </w:pPr>
    </w:p>
    <w:p w:rsidR="23A51067" w:rsidP="23A51067" w:rsidRDefault="23A51067" w14:paraId="73113D63" w14:textId="18904C06">
      <w:pPr>
        <w:pStyle w:val="Normal"/>
        <w:ind w:left="0"/>
        <w:rPr>
          <w:rFonts w:ascii="Calibri" w:hAnsi="Calibri" w:eastAsia="Calibri" w:cs="Calibri"/>
          <w:b w:val="1"/>
          <w:bCs w:val="1"/>
          <w:noProof w:val="0"/>
          <w:sz w:val="22"/>
          <w:szCs w:val="22"/>
          <w:lang w:val="en-US"/>
        </w:rPr>
      </w:pPr>
      <w:r w:rsidRPr="23A51067" w:rsidR="23A51067">
        <w:rPr>
          <w:rFonts w:ascii="Calibri" w:hAnsi="Calibri" w:eastAsia="Calibri" w:cs="Calibri"/>
          <w:b w:val="1"/>
          <w:bCs w:val="1"/>
          <w:noProof w:val="0"/>
          <w:sz w:val="22"/>
          <w:szCs w:val="22"/>
          <w:lang w:val="en-US"/>
        </w:rPr>
        <w:t>Phillips et al. (2013):</w:t>
      </w:r>
    </w:p>
    <w:p w:rsidR="23A51067" w:rsidP="23A51067" w:rsidRDefault="23A51067" w14:paraId="07E5A0F8" w14:textId="5364C4DF">
      <w:pPr>
        <w:pStyle w:val="Normal"/>
        <w:ind w:left="0"/>
        <w:rPr>
          <w:rFonts w:ascii="Calibri" w:hAnsi="Calibri" w:eastAsia="Calibri" w:cs="Calibri"/>
          <w:noProof w:val="0"/>
          <w:sz w:val="22"/>
          <w:szCs w:val="22"/>
          <w:lang w:val="en-US"/>
        </w:rPr>
      </w:pPr>
      <w:r>
        <w:drawing>
          <wp:inline wp14:editId="5F7407C4" wp14:anchorId="559612D4">
            <wp:extent cx="4572000" cy="1647825"/>
            <wp:effectExtent l="0" t="0" r="0" b="0"/>
            <wp:docPr id="1737304983" name="" title=""/>
            <wp:cNvGraphicFramePr>
              <a:graphicFrameLocks noChangeAspect="1"/>
            </wp:cNvGraphicFramePr>
            <a:graphic>
              <a:graphicData uri="http://schemas.openxmlformats.org/drawingml/2006/picture">
                <pic:pic>
                  <pic:nvPicPr>
                    <pic:cNvPr id="0" name=""/>
                    <pic:cNvPicPr/>
                  </pic:nvPicPr>
                  <pic:blipFill>
                    <a:blip r:embed="R622a6c0a308b4151">
                      <a:extLst>
                        <a:ext xmlns:a="http://schemas.openxmlformats.org/drawingml/2006/main" uri="{28A0092B-C50C-407E-A947-70E740481C1C}">
                          <a14:useLocalDpi val="0"/>
                        </a:ext>
                      </a:extLst>
                    </a:blip>
                    <a:stretch>
                      <a:fillRect/>
                    </a:stretch>
                  </pic:blipFill>
                  <pic:spPr>
                    <a:xfrm>
                      <a:off x="0" y="0"/>
                      <a:ext cx="4572000" cy="1647825"/>
                    </a:xfrm>
                    <a:prstGeom prst="rect">
                      <a:avLst/>
                    </a:prstGeom>
                  </pic:spPr>
                </pic:pic>
              </a:graphicData>
            </a:graphic>
          </wp:inline>
        </w:drawing>
      </w:r>
    </w:p>
    <w:p w:rsidR="23A51067" w:rsidP="23A51067" w:rsidRDefault="23A51067" w14:paraId="61C23F5D" w14:textId="24C02A65">
      <w:pPr>
        <w:pStyle w:val="Normal"/>
        <w:ind w:left="0"/>
        <w:rPr>
          <w:rFonts w:ascii="Calibri" w:hAnsi="Calibri" w:eastAsia="Calibri" w:cs="Calibri"/>
          <w:noProof w:val="0"/>
          <w:sz w:val="22"/>
          <w:szCs w:val="22"/>
          <w:lang w:val="en-US"/>
        </w:rPr>
      </w:pPr>
    </w:p>
    <w:p w:rsidR="23A51067" w:rsidP="23A51067" w:rsidRDefault="23A51067" w14:paraId="4131EC74" w14:textId="77AD3AF0">
      <w:pPr>
        <w:pStyle w:val="Normal"/>
        <w:ind w:left="0"/>
        <w:rPr>
          <w:rFonts w:ascii="Calibri" w:hAnsi="Calibri" w:eastAsia="Calibri" w:cs="Calibri"/>
          <w:b w:val="1"/>
          <w:bCs w:val="1"/>
          <w:noProof w:val="0"/>
          <w:sz w:val="22"/>
          <w:szCs w:val="22"/>
          <w:lang w:val="en-US"/>
        </w:rPr>
      </w:pPr>
      <w:r w:rsidRPr="23A51067" w:rsidR="23A51067">
        <w:rPr>
          <w:rFonts w:ascii="Calibri" w:hAnsi="Calibri" w:eastAsia="Calibri" w:cs="Calibri"/>
          <w:b w:val="1"/>
          <w:bCs w:val="1"/>
          <w:noProof w:val="0"/>
          <w:sz w:val="22"/>
          <w:szCs w:val="22"/>
          <w:lang w:val="en-US"/>
        </w:rPr>
        <w:t>Hildebrand et al. (2014) &amp; (2016):</w:t>
      </w:r>
    </w:p>
    <w:p w:rsidR="23A51067" w:rsidP="23A51067" w:rsidRDefault="23A51067" w14:paraId="495E5559" w14:textId="4BCFD357">
      <w:pPr>
        <w:pStyle w:val="Normal"/>
        <w:ind w:left="0"/>
        <w:rPr>
          <w:rFonts w:ascii="Calibri" w:hAnsi="Calibri" w:eastAsia="Calibri" w:cs="Calibri"/>
          <w:noProof w:val="0"/>
          <w:sz w:val="22"/>
          <w:szCs w:val="22"/>
          <w:lang w:val="en-US"/>
        </w:rPr>
      </w:pPr>
      <w:r w:rsidRPr="2EBAA20F" w:rsidR="2EBAA20F">
        <w:rPr>
          <w:rFonts w:ascii="Calibri" w:hAnsi="Calibri" w:eastAsia="Calibri" w:cs="Calibri"/>
          <w:noProof w:val="0"/>
          <w:sz w:val="22"/>
          <w:szCs w:val="22"/>
          <w:lang w:val="en-US"/>
        </w:rPr>
        <w:t>(Note – papers from same sample, 2014 paper covers moderate/vigorous thresholds and 2016 paper covers sedentary/light threshold)</w:t>
      </w:r>
    </w:p>
    <w:p w:rsidR="2EBAA20F" w:rsidP="2EBAA20F" w:rsidRDefault="2EBAA20F" w14:paraId="07AF22AD" w14:textId="673904C8">
      <w:pPr>
        <w:pStyle w:val="Normal"/>
        <w:ind w:left="0"/>
        <w:rPr>
          <w:rFonts w:ascii="Calibri" w:hAnsi="Calibri" w:eastAsia="Calibri" w:cs="Calibri"/>
          <w:noProof w:val="0"/>
          <w:sz w:val="22"/>
          <w:szCs w:val="22"/>
          <w:lang w:val="en-US"/>
        </w:rPr>
      </w:pPr>
      <w:r w:rsidRPr="2EBAA20F" w:rsidR="2EBAA20F">
        <w:rPr>
          <w:rFonts w:ascii="Calibri" w:hAnsi="Calibri" w:eastAsia="Calibri" w:cs="Calibri"/>
          <w:noProof w:val="0"/>
          <w:sz w:val="22"/>
          <w:szCs w:val="22"/>
          <w:lang w:val="en-US"/>
        </w:rPr>
        <w:t>Hildebrand closest to ggir defaults</w:t>
      </w:r>
    </w:p>
    <w:p w:rsidR="23A51067" w:rsidP="23A51067" w:rsidRDefault="23A51067" w14:paraId="0B563D62" w14:textId="0FE10D6A">
      <w:pPr>
        <w:pStyle w:val="Normal"/>
        <w:ind w:left="0"/>
      </w:pPr>
      <w:r>
        <w:drawing>
          <wp:inline wp14:editId="3583DE04" wp14:anchorId="2143739A">
            <wp:extent cx="4572000" cy="1914525"/>
            <wp:effectExtent l="0" t="0" r="0" b="0"/>
            <wp:docPr id="1746682996" name="" title=""/>
            <wp:cNvGraphicFramePr>
              <a:graphicFrameLocks noChangeAspect="1"/>
            </wp:cNvGraphicFramePr>
            <a:graphic>
              <a:graphicData uri="http://schemas.openxmlformats.org/drawingml/2006/picture">
                <pic:pic>
                  <pic:nvPicPr>
                    <pic:cNvPr id="0" name=""/>
                    <pic:cNvPicPr/>
                  </pic:nvPicPr>
                  <pic:blipFill>
                    <a:blip r:embed="R52a5611b0c68498d">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p w:rsidR="23A51067" w:rsidP="23A51067" w:rsidRDefault="23A51067" w14:paraId="687A6248" w14:textId="1F427513">
      <w:pPr>
        <w:pStyle w:val="Normal"/>
        <w:ind w:left="0"/>
      </w:pPr>
      <w:r>
        <w:drawing>
          <wp:inline wp14:editId="24CD775A" wp14:anchorId="3B3DB5E6">
            <wp:extent cx="4572000" cy="3467100"/>
            <wp:effectExtent l="0" t="0" r="0" b="0"/>
            <wp:docPr id="1420999997" name="" title=""/>
            <wp:cNvGraphicFramePr>
              <a:graphicFrameLocks noChangeAspect="1"/>
            </wp:cNvGraphicFramePr>
            <a:graphic>
              <a:graphicData uri="http://schemas.openxmlformats.org/drawingml/2006/picture">
                <pic:pic>
                  <pic:nvPicPr>
                    <pic:cNvPr id="0" name=""/>
                    <pic:cNvPicPr/>
                  </pic:nvPicPr>
                  <pic:blipFill>
                    <a:blip r:embed="R529f07ef6df842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p w:rsidR="2EBAA20F" w:rsidP="2EBAA20F" w:rsidRDefault="2EBAA20F" w14:paraId="36F4D06D" w14:textId="46A5E200">
      <w:pPr>
        <w:pStyle w:val="Normal"/>
        <w:ind w:left="0"/>
      </w:pPr>
    </w:p>
    <w:p w:rsidR="2EBAA20F" w:rsidP="2EBAA20F" w:rsidRDefault="2EBAA20F" w14:paraId="662B935A" w14:textId="48F051AF">
      <w:pPr>
        <w:pStyle w:val="Normal"/>
        <w:ind w:left="0"/>
      </w:pPr>
      <w:r w:rsidR="2EBAA20F">
        <w:rPr/>
        <w:t xml:space="preserve">5/12 - Keep </w:t>
      </w:r>
      <w:proofErr w:type="spellStart"/>
      <w:r w:rsidR="2EBAA20F">
        <w:rPr/>
        <w:t>hildebrand</w:t>
      </w:r>
      <w:proofErr w:type="spellEnd"/>
      <w:r w:rsidR="2EBAA20F">
        <w:rPr/>
        <w:t xml:space="preserve"> thresholds, find another set for </w:t>
      </w:r>
      <w:proofErr w:type="spellStart"/>
      <w:r w:rsidR="2EBAA20F">
        <w:rPr/>
        <w:t>actigraph</w:t>
      </w:r>
      <w:proofErr w:type="spellEnd"/>
      <w:r w:rsidR="2EBAA20F">
        <w:rPr/>
        <w:t xml:space="preserve"> specifically</w:t>
      </w:r>
    </w:p>
    <w:p w:rsidR="2EBAA20F" w:rsidP="2EBAA20F" w:rsidRDefault="2EBAA20F" w14:paraId="7D0727C8" w14:textId="3C96F319">
      <w:pPr>
        <w:pStyle w:val="Normal"/>
        <w:ind w:left="0"/>
      </w:pPr>
      <w:r w:rsidR="2EBAA20F">
        <w:rPr/>
        <w:t>Find citation for boutdur, adjust numbers if needed (part 5)</w:t>
      </w:r>
    </w:p>
    <w:sectPr w:rsidR="7D8C90D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DP" w:author="Danielle Peters" w:date="2021-04-27T13:24:00Z" w:id="0">
    <w:p w:rsidR="6AF84DAC" w:rsidRDefault="6AF84DAC" w14:paraId="5302780E" w14:textId="63B61CBC">
      <w:r>
        <w:t>I'm thinking we'll want to go with strategy 1?</w:t>
      </w:r>
      <w:r>
        <w:annotationRef/>
      </w:r>
    </w:p>
  </w:comment>
  <w:comment w:initials="DP" w:author="Danielle Peters" w:date="2021-04-27T13:25:00Z" w:id="1">
    <w:p w:rsidR="6AF84DAC" w:rsidRDefault="6AF84DAC" w14:paraId="1F80DE65" w14:textId="3A7A32FF">
      <w:r>
        <w:t>Only selects most active days so I don't think we'd want strategy 3</w:t>
      </w:r>
      <w:r>
        <w:annotationRef/>
      </w:r>
      <w:r>
        <w:annotationRef/>
      </w:r>
    </w:p>
  </w:comment>
  <w:comment w:initials="DP" w:author="Danielle Peters" w:date="2021-04-28T10:54:00Z" w:id="2">
    <w:p w:rsidR="7D8C90D1" w:rsidRDefault="7D8C90D1" w14:paraId="5832B440" w14:textId="671C9212">
      <w:r>
        <w:t>For Katherine to review</w:t>
      </w:r>
      <w:r>
        <w:annotationRef/>
      </w:r>
    </w:p>
  </w:comment>
  <w:comment w:initials="DP" w:author="Danielle Peters" w:date="2021-05-07T14:59:59" w:id="16878172">
    <w:p w:rsidR="23A51067" w:rsidRDefault="23A51067" w14:paraId="4A88447A" w14:textId="12D82780">
      <w:pPr>
        <w:pStyle w:val="CommentText"/>
      </w:pPr>
      <w:r w:rsidR="23A51067">
        <w:rPr/>
        <w:t>Our instructions currently tell Pp to wear the accelerometer on their right wrist, so the cutpoints for the right wrist are probably closer to what we'd want to use currently. However this makes me wonder if we should instruct Pp to wear it on their non-dominant wrist?</w:t>
      </w:r>
      <w:r>
        <w:rPr>
          <w:rStyle w:val="CommentReference"/>
        </w:rPr>
        <w:annotationRef/>
      </w:r>
    </w:p>
  </w:comment>
  <w:comment w:initials="DP" w:author="Danielle Peters" w:date="2021-05-07T16:09:40" w:id="1387403750">
    <w:p w:rsidR="6C64966B" w:rsidRDefault="6C64966B" w14:paraId="5CB3E7A0" w14:textId="519AE83D">
      <w:pPr>
        <w:pStyle w:val="CommentText"/>
      </w:pPr>
      <w:r w:rsidR="6C64966B">
        <w:rPr/>
        <w:t>After looking more closely at the GGIR manual I finally realized that this has nothing to do with math, it's just because a bout.metric value of 4 doesn't allow for any interruptions greater than 1 minute (regardless of total bout duration). If we want to allow for longer breaks we'll have to choose a different bout.metric value</w:t>
      </w:r>
      <w:r>
        <w:rPr>
          <w:rStyle w:val="CommentReference"/>
        </w:rPr>
        <w:annotationRef/>
      </w:r>
    </w:p>
  </w:comment>
  <w:comment w:initials="DP" w:author="Danielle Peters" w:date="2021-05-12T13:19:50" w:id="1066047351">
    <w:p w:rsidR="2EBAA20F" w:rsidRDefault="2EBAA20F" w14:paraId="3DA25013" w14:textId="5AD25594">
      <w:pPr>
        <w:pStyle w:val="CommentText"/>
      </w:pPr>
      <w:r w:rsidR="2EBAA20F">
        <w:rPr/>
        <w:t>find out what these units mean</w:t>
      </w:r>
      <w:r>
        <w:rPr>
          <w:rStyle w:val="CommentReference"/>
        </w:rPr>
        <w:annotationRef/>
      </w:r>
    </w:p>
    <w:p w:rsidR="2EBAA20F" w:rsidRDefault="2EBAA20F" w14:paraId="4D81376C" w14:textId="4A58BEF0">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5302780E"/>
  <w15:commentEx w15:done="0" w15:paraId="1F80DE65"/>
  <w15:commentEx w15:done="0" w15:paraId="5832B440"/>
  <w15:commentEx w15:done="0" w15:paraId="4A88447A"/>
  <w15:commentEx w15:done="0" w15:paraId="5CB3E7A0"/>
  <w15:commentEx w15:done="0" w15:paraId="4D81376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EF6B1C4" w16cex:dateUtc="2021-04-27T18:24:00Z"/>
  <w16cex:commentExtensible w16cex:durableId="0B60702D" w16cex:dateUtc="2021-04-27T18:25:00Z"/>
  <w16cex:commentExtensible w16cex:durableId="4DFDB7C3" w16cex:dateUtc="2021-04-28T15:54:00Z"/>
  <w16cex:commentExtensible w16cex:durableId="2D6C0B7B" w16cex:dateUtc="2021-05-07T19:59:59.193Z"/>
  <w16cex:commentExtensible w16cex:durableId="3B32125E" w16cex:dateUtc="2021-05-07T21:09:40.557Z"/>
  <w16cex:commentExtensible w16cex:durableId="39EFE652" w16cex:dateUtc="2021-05-12T18:19:50.784Z"/>
</w16cex:commentsExtensible>
</file>

<file path=word/commentsIds.xml><?xml version="1.0" encoding="utf-8"?>
<w16cid:commentsIds xmlns:mc="http://schemas.openxmlformats.org/markup-compatibility/2006" xmlns:w16cid="http://schemas.microsoft.com/office/word/2016/wordml/cid" mc:Ignorable="w16cid">
  <w16cid:commentId w16cid:paraId="5302780E" w16cid:durableId="0EF6B1C4"/>
  <w16cid:commentId w16cid:paraId="1F80DE65" w16cid:durableId="0B60702D"/>
  <w16cid:commentId w16cid:paraId="5832B440" w16cid:durableId="4DFDB7C3"/>
  <w16cid:commentId w16cid:paraId="4A88447A" w16cid:durableId="2D6C0B7B"/>
  <w16cid:commentId w16cid:paraId="5CB3E7A0" w16cid:durableId="3B32125E"/>
  <w16cid:commentId w16cid:paraId="4D81376C" w16cid:durableId="39EFE6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26E91"/>
    <w:multiLevelType w:val="multilevel"/>
    <w:tmpl w:val="F9443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593FE2"/>
    <w:multiLevelType w:val="hybridMultilevel"/>
    <w:tmpl w:val="2B0AA198"/>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0805154"/>
    <w:multiLevelType w:val="multilevel"/>
    <w:tmpl w:val="85E414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F741101"/>
    <w:multiLevelType w:val="multilevel"/>
    <w:tmpl w:val="0EDA1F76"/>
    <w:lvl w:ilvl="0" w:tplc="4786373C">
      <w:start w:val="1"/>
      <w:numFmt w:val="bullet"/>
      <w:lvlText w:val=""/>
      <w:lvlJc w:val="left"/>
      <w:pPr>
        <w:ind w:left="720" w:hanging="360"/>
      </w:pPr>
      <w:rPr>
        <w:rFonts w:hint="default" w:ascii="Symbol" w:hAnsi="Symbol"/>
      </w:rPr>
    </w:lvl>
    <w:lvl w:ilvl="1" w:tplc="5A42F64E">
      <w:start w:val="1"/>
      <w:numFmt w:val="bullet"/>
      <w:lvlText w:val="o"/>
      <w:lvlJc w:val="left"/>
      <w:pPr>
        <w:ind w:left="1440" w:hanging="360"/>
      </w:pPr>
      <w:rPr>
        <w:rFonts w:hint="default" w:ascii="Courier New" w:hAnsi="Courier New"/>
      </w:rPr>
    </w:lvl>
    <w:lvl w:ilvl="2" w:tplc="9BCEB202">
      <w:start w:val="1"/>
      <w:numFmt w:val="bullet"/>
      <w:lvlText w:val=""/>
      <w:lvlJc w:val="left"/>
      <w:pPr>
        <w:ind w:left="2160" w:hanging="360"/>
      </w:pPr>
      <w:rPr>
        <w:rFonts w:hint="default" w:ascii="Wingdings" w:hAnsi="Wingdings"/>
      </w:rPr>
    </w:lvl>
    <w:lvl w:ilvl="3" w:tplc="A3D483CA">
      <w:start w:val="1"/>
      <w:numFmt w:val="bullet"/>
      <w:lvlText w:val=""/>
      <w:lvlJc w:val="left"/>
      <w:pPr>
        <w:ind w:left="2880" w:hanging="360"/>
      </w:pPr>
      <w:rPr>
        <w:rFonts w:hint="default" w:ascii="Symbol" w:hAnsi="Symbol"/>
      </w:rPr>
    </w:lvl>
    <w:lvl w:ilvl="4" w:tplc="624201D0">
      <w:start w:val="1"/>
      <w:numFmt w:val="bullet"/>
      <w:lvlText w:val="o"/>
      <w:lvlJc w:val="left"/>
      <w:pPr>
        <w:ind w:left="3600" w:hanging="360"/>
      </w:pPr>
      <w:rPr>
        <w:rFonts w:hint="default" w:ascii="Courier New" w:hAnsi="Courier New"/>
      </w:rPr>
    </w:lvl>
    <w:lvl w:ilvl="5" w:tplc="C6681C7A">
      <w:start w:val="1"/>
      <w:numFmt w:val="bullet"/>
      <w:lvlText w:val=""/>
      <w:lvlJc w:val="left"/>
      <w:pPr>
        <w:ind w:left="4320" w:hanging="360"/>
      </w:pPr>
      <w:rPr>
        <w:rFonts w:hint="default" w:ascii="Wingdings" w:hAnsi="Wingdings"/>
      </w:rPr>
    </w:lvl>
    <w:lvl w:ilvl="6" w:tplc="FBA0AD78">
      <w:start w:val="1"/>
      <w:numFmt w:val="bullet"/>
      <w:lvlText w:val=""/>
      <w:lvlJc w:val="left"/>
      <w:pPr>
        <w:ind w:left="5040" w:hanging="360"/>
      </w:pPr>
      <w:rPr>
        <w:rFonts w:hint="default" w:ascii="Symbol" w:hAnsi="Symbol"/>
      </w:rPr>
    </w:lvl>
    <w:lvl w:ilvl="7" w:tplc="86004D46">
      <w:start w:val="1"/>
      <w:numFmt w:val="bullet"/>
      <w:lvlText w:val="o"/>
      <w:lvlJc w:val="left"/>
      <w:pPr>
        <w:ind w:left="5760" w:hanging="360"/>
      </w:pPr>
      <w:rPr>
        <w:rFonts w:hint="default" w:ascii="Courier New" w:hAnsi="Courier New"/>
      </w:rPr>
    </w:lvl>
    <w:lvl w:ilvl="8" w:tplc="C85C2EC2">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people.xml><?xml version="1.0" encoding="utf-8"?>
<w15:people xmlns:mc="http://schemas.openxmlformats.org/markup-compatibility/2006" xmlns:w15="http://schemas.microsoft.com/office/word/2012/wordml" mc:Ignorable="w15">
  <w15:person w15:author="Danielle Peters">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C3"/>
    <w:rsid w:val="000202D8"/>
    <w:rsid w:val="001120C3"/>
    <w:rsid w:val="001C5AA8"/>
    <w:rsid w:val="004D493A"/>
    <w:rsid w:val="1537DFBF"/>
    <w:rsid w:val="23A51067"/>
    <w:rsid w:val="2EBAA20F"/>
    <w:rsid w:val="6AF84DAC"/>
    <w:rsid w:val="6C64966B"/>
    <w:rsid w:val="7D8C9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D"/>
  <w15:chartTrackingRefBased/>
  <w15:docId w15:val="{3A0E078E-0795-4A98-A7DE-97C861A0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1120C3"/>
    <w:rPr>
      <w:rFonts w:ascii="Courier New" w:hAnsi="Courier New" w:eastAsia="Times New Roman" w:cs="Courier New"/>
      <w:sz w:val="20"/>
      <w:szCs w:val="20"/>
    </w:rPr>
  </w:style>
  <w:style w:type="paragraph" w:styleId="NormalWeb">
    <w:name w:val="Normal (Web)"/>
    <w:basedOn w:val="Normal"/>
    <w:uiPriority w:val="99"/>
    <w:semiHidden/>
    <w:unhideWhenUsed/>
    <w:rsid w:val="001120C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1120C3"/>
    <w:rPr>
      <w:b/>
      <w:bC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4D4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49972">
      <w:bodyDiv w:val="1"/>
      <w:marLeft w:val="0"/>
      <w:marRight w:val="0"/>
      <w:marTop w:val="0"/>
      <w:marBottom w:val="0"/>
      <w:divBdr>
        <w:top w:val="none" w:sz="0" w:space="0" w:color="auto"/>
        <w:left w:val="none" w:sz="0" w:space="0" w:color="auto"/>
        <w:bottom w:val="none" w:sz="0" w:space="0" w:color="auto"/>
        <w:right w:val="none" w:sz="0" w:space="0" w:color="auto"/>
      </w:divBdr>
    </w:div>
    <w:div w:id="185723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hyperlink" Target="https://www.sciencedirect.com/science/article/pii/S0966636220302332?casa_token=D7l2kRaE1q8AAAAA:LzkWrOtf60TdkNGj5gzj3sSyjWb--Y0sl9IN4eALmrA4-54EAXSkDHssAHZqsGriDbxWxX74Yzo" TargetMode="External" Id="rId13" /><Relationship Type="http://schemas.openxmlformats.org/officeDocument/2006/relationships/hyperlink" Target="https://journals.plos.org/plosone/article?id=10.1371/journal.pone.0134813" TargetMode="External" Id="rId18" /><Relationship Type="http://schemas.openxmlformats.org/officeDocument/2006/relationships/settings" Target="settings.xml" Id="rId3" /><Relationship Type="http://schemas.openxmlformats.org/officeDocument/2006/relationships/fontTable" Target="fontTable.xml" Id="rId21" /><Relationship Type="http://schemas.microsoft.com/office/2016/09/relationships/commentsIds" Target="commentsIds.xml" Id="rId7" /><Relationship Type="http://schemas.openxmlformats.org/officeDocument/2006/relationships/hyperlink" Target="https://bjsm.bmj.com/content/bjsports/49/4/219.full.pdf?legid=bjsports%3B49/4/219&amp;casa_token=9RMc7AqSxfkAAAAA:k6w3m78ym9XKuxqXN9D9Mq--5j-W2gGzhSEgAfHnZmbyPlsCONplUjBMgib7v9kdErZHid1KG6_8" TargetMode="External" Id="rId12" /><Relationship Type="http://schemas.openxmlformats.org/officeDocument/2006/relationships/hyperlink" Target="https://www.jsams.org/article/S1440-2440(12)00112-0/fulltext" TargetMode="External" Id="rId17" /><Relationship Type="http://schemas.openxmlformats.org/officeDocument/2006/relationships/styles" Target="styles.xml" Id="rId2" /><Relationship Type="http://schemas.openxmlformats.org/officeDocument/2006/relationships/hyperlink" Target="https://link.springer.com/article/10.1007/s00431-017-2948-2" TargetMode="External" Id="rId16" /><Relationship Type="http://schemas.openxmlformats.org/officeDocument/2006/relationships/hyperlink" Target="https://onlinelibrary.wiley.com/doi/abs/10.1111/sms.12795" TargetMode="External" Id="rId20"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hyperlink" Target="https://www.ncbi.nlm.nih.gov/pmc/articles/PMC3457743/" TargetMode="External" Id="rId11" /><Relationship Type="http://schemas.openxmlformats.org/officeDocument/2006/relationships/comments" Target="comments.xml" Id="rId5" /><Relationship Type="http://schemas.openxmlformats.org/officeDocument/2006/relationships/hyperlink" Target="https://www.ncbi.nlm.nih.gov/pmc/articles/PMC3960318/" TargetMode="External" Id="rId15" /><Relationship Type="http://schemas.openxmlformats.org/officeDocument/2006/relationships/hyperlink" Target="https://www.ncbi.nlm.nih.gov/pmc/articles/PMC3457743/" TargetMode="External" Id="rId10" /><Relationship Type="http://schemas.openxmlformats.org/officeDocument/2006/relationships/hyperlink" Target="https://journals.lww.com/acsm-msse/Fulltext/2014/09000/Age_Group_Comparability_of_Raw_Accelerometer.17.aspx" TargetMode="External" Id="rId19" /><Relationship Type="http://schemas.openxmlformats.org/officeDocument/2006/relationships/webSettings" Target="webSettings.xml" Id="rId4" /><Relationship Type="http://schemas.openxmlformats.org/officeDocument/2006/relationships/hyperlink" Target="https://www.ncbi.nlm.nih.gov/pmc/articles/PMC3543867/" TargetMode="External" Id="rId9" /><Relationship Type="http://schemas.openxmlformats.org/officeDocument/2006/relationships/hyperlink" Target="https://journals.lww.com/acsm-msse/Fulltext/2011/06000/Validation_of_the_GENEA_Accelerometer.22.aspx" TargetMode="External" Id="rId14" /><Relationship Type="http://schemas.openxmlformats.org/officeDocument/2006/relationships/theme" Target="theme/theme1.xml" Id="rId22" /><Relationship Type="http://schemas.microsoft.com/office/2011/relationships/people" Target="/word/people.xml" Id="R7e5c53c061a343cc" /><Relationship Type="http://schemas.openxmlformats.org/officeDocument/2006/relationships/image" Target="/media/image.png" Id="Rb55f946d4df5442d" /><Relationship Type="http://schemas.openxmlformats.org/officeDocument/2006/relationships/image" Target="/media/image2.png" Id="R622a6c0a308b4151" /><Relationship Type="http://schemas.openxmlformats.org/officeDocument/2006/relationships/image" Target="/media/image3.png" Id="R52a5611b0c68498d" /><Relationship Type="http://schemas.openxmlformats.org/officeDocument/2006/relationships/image" Target="/media/image5.png" Id="R529f07ef6df842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M AHRENHOLTZ</dc:creator>
  <keywords/>
  <dc:description/>
  <lastModifiedBy>Danielle Peters</lastModifiedBy>
  <revision>8</revision>
  <dcterms:created xsi:type="dcterms:W3CDTF">2021-04-27T16:53:00.0000000Z</dcterms:created>
  <dcterms:modified xsi:type="dcterms:W3CDTF">2021-05-12T18:24:26.1539119Z</dcterms:modified>
</coreProperties>
</file>