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 → 60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 NA → 413 patients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58037 genes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218 early 195 late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3562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35147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3476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35147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Genes pvalue&lt;0.001 --&gt;391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Genes 10-fold change(strict) --&gt;12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 overexpressed 9 underexpressed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Only 10 genes in entrezgene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36099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3771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37528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