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7DDEE" w14:textId="77777777" w:rsidR="00E10EF9" w:rsidRDefault="00000000">
      <w:pPr>
        <w:pStyle w:val="Ttulo1"/>
      </w:pPr>
      <w:r>
        <w:t xml:space="preserve">3. </w:t>
      </w:r>
      <w:proofErr w:type="spellStart"/>
      <w:r>
        <w:t>Methodology</w:t>
      </w:r>
      <w:proofErr w:type="spellEnd"/>
    </w:p>
    <w:p w14:paraId="6547DDEF" w14:textId="77777777" w:rsidR="00E10EF9" w:rsidRDefault="00E10EF9"/>
    <w:p w14:paraId="6547DDF0" w14:textId="77777777" w:rsidR="00E10EF9" w:rsidRDefault="00000000">
      <w:pPr>
        <w:pStyle w:val="Ttulo2"/>
      </w:pPr>
      <w:r>
        <w:t>3.1 Research Design</w:t>
      </w:r>
    </w:p>
    <w:p w14:paraId="6547DDF1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The study adopts a quantitative, out-of-sample forecasting design to test whether news sentiment improves volatility predictions beyond standard time-series models</w:t>
      </w:r>
    </w:p>
    <w:p w14:paraId="6547DDF2" w14:textId="77777777" w:rsidR="00E10EF9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The approach is layered, adding complexity only where it earns its keep:</w:t>
      </w:r>
    </w:p>
    <w:p w14:paraId="0382F7DC" w14:textId="77777777" w:rsidR="00776553" w:rsidRPr="00776553" w:rsidRDefault="00776553" w:rsidP="00776553">
      <w:pPr>
        <w:pStyle w:val="Prrafodelista"/>
        <w:ind w:left="720"/>
        <w:rPr>
          <w:lang w:val="en-US"/>
        </w:rPr>
      </w:pPr>
    </w:p>
    <w:p w14:paraId="6547DDF3" w14:textId="77777777" w:rsidR="00E10EF9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b/>
          <w:bCs/>
          <w:lang w:val="en-US"/>
        </w:rPr>
        <w:t>Benchmark</w:t>
      </w:r>
      <w:r w:rsidRPr="00776553">
        <w:rPr>
          <w:lang w:val="en-US"/>
        </w:rPr>
        <w:t>: Historical Simulation (rolling standard deviation) — the minimum bar every parametric model must clear</w:t>
      </w:r>
    </w:p>
    <w:p w14:paraId="7C1EF5EA" w14:textId="77777777" w:rsidR="00776553" w:rsidRPr="00776553" w:rsidRDefault="00776553" w:rsidP="00776553">
      <w:pPr>
        <w:pStyle w:val="Prrafodelista"/>
        <w:ind w:left="1080"/>
        <w:rPr>
          <w:lang w:val="en-US"/>
        </w:rPr>
      </w:pPr>
    </w:p>
    <w:p w14:paraId="6547DDF4" w14:textId="77777777" w:rsidR="00E10EF9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b/>
          <w:bCs/>
          <w:lang w:val="en-US"/>
        </w:rPr>
        <w:t>Baseline</w:t>
      </w:r>
      <w:r w:rsidRPr="00776553">
        <w:rPr>
          <w:lang w:val="en-US"/>
        </w:rPr>
        <w:t xml:space="preserve">: </w:t>
      </w:r>
      <w:proofErr w:type="gramStart"/>
      <w:r w:rsidRPr="00776553">
        <w:rPr>
          <w:lang w:val="en-US"/>
        </w:rPr>
        <w:t>GARCH(</w:t>
      </w:r>
      <w:proofErr w:type="gramEnd"/>
      <w:r w:rsidRPr="00776553">
        <w:rPr>
          <w:lang w:val="en-US"/>
        </w:rPr>
        <w:t>1,1) with no sentiment — establishes whether standard volatility dynamics suffice</w:t>
      </w:r>
    </w:p>
    <w:p w14:paraId="37EFF6FC" w14:textId="77777777" w:rsidR="00776553" w:rsidRPr="00776553" w:rsidRDefault="00776553" w:rsidP="00776553">
      <w:pPr>
        <w:rPr>
          <w:lang w:val="en-US"/>
        </w:rPr>
      </w:pPr>
    </w:p>
    <w:p w14:paraId="6547DDF5" w14:textId="77777777" w:rsidR="00E10EF9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b/>
          <w:bCs/>
          <w:lang w:val="en-US"/>
        </w:rPr>
        <w:t>Main specification:</w:t>
      </w:r>
      <w:r w:rsidRPr="00776553">
        <w:rPr>
          <w:lang w:val="en-US"/>
        </w:rPr>
        <w:t xml:space="preserve"> </w:t>
      </w:r>
      <w:proofErr w:type="gramStart"/>
      <w:r w:rsidRPr="00776553">
        <w:rPr>
          <w:lang w:val="en-US"/>
        </w:rPr>
        <w:t>EGARCH(</w:t>
      </w:r>
      <w:proofErr w:type="gramEnd"/>
      <w:r w:rsidRPr="00776553">
        <w:rPr>
          <w:lang w:val="en-US"/>
        </w:rPr>
        <w:t xml:space="preserve">1,1)-X with lagged </w:t>
      </w:r>
      <w:proofErr w:type="spellStart"/>
      <w:r w:rsidRPr="00776553">
        <w:rPr>
          <w:lang w:val="en-US"/>
        </w:rPr>
        <w:t>standardised</w:t>
      </w:r>
      <w:proofErr w:type="spellEnd"/>
      <w:r w:rsidRPr="00776553">
        <w:rPr>
          <w:lang w:val="en-US"/>
        </w:rPr>
        <w:t xml:space="preserve"> tone and lagged news volume — tests whether the direction and intensity of news improve forecasts when properly aligned with the leverage channel</w:t>
      </w:r>
    </w:p>
    <w:p w14:paraId="3F9488C2" w14:textId="77777777" w:rsidR="00776553" w:rsidRPr="00776553" w:rsidRDefault="00776553" w:rsidP="00776553">
      <w:pPr>
        <w:rPr>
          <w:lang w:val="en-US"/>
        </w:rPr>
      </w:pPr>
    </w:p>
    <w:p w14:paraId="6547DDF6" w14:textId="77777777" w:rsidR="00E10EF9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b/>
          <w:bCs/>
          <w:lang w:val="en-US"/>
        </w:rPr>
        <w:t>Asymmetry test:</w:t>
      </w:r>
      <w:r w:rsidRPr="00776553">
        <w:rPr>
          <w:lang w:val="en-US"/>
        </w:rPr>
        <w:t xml:space="preserve"> GJR-</w:t>
      </w:r>
      <w:proofErr w:type="gramStart"/>
      <w:r w:rsidRPr="00776553">
        <w:rPr>
          <w:lang w:val="en-US"/>
        </w:rPr>
        <w:t>GARCH(</w:t>
      </w:r>
      <w:proofErr w:type="gramEnd"/>
      <w:r w:rsidRPr="00776553">
        <w:rPr>
          <w:lang w:val="en-US"/>
        </w:rPr>
        <w:t>1,1)-X with sentiment decomposed into polarity (intensity) and negative-tone (bad-news) components — isolates whether negative news amplifies volatility above and beyond the return-sign asymmetry already captured by the leverage term</w:t>
      </w:r>
    </w:p>
    <w:p w14:paraId="7A62D58C" w14:textId="77777777" w:rsidR="00776553" w:rsidRPr="00776553" w:rsidRDefault="00776553" w:rsidP="00776553">
      <w:pPr>
        <w:rPr>
          <w:lang w:val="en-US"/>
        </w:rPr>
      </w:pPr>
    </w:p>
    <w:p w14:paraId="6547DDF7" w14:textId="77777777" w:rsidR="00E10EF9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A sentiment-augmented standard GARCH-X is deliberately omitted from the main path: standard GARCH constrains variance to be positive, forcing the use of absolute or squared sentiment and obscuring the direction effect that motivates the exercise. EGARCH models log-variance and accepts signed regressors directly, which is methodologically cleaner</w:t>
      </w:r>
    </w:p>
    <w:p w14:paraId="7B53D41F" w14:textId="77777777" w:rsidR="00B57449" w:rsidRPr="00776553" w:rsidRDefault="00B57449" w:rsidP="00B57449">
      <w:pPr>
        <w:pStyle w:val="Prrafodelista"/>
        <w:ind w:left="720"/>
        <w:rPr>
          <w:lang w:val="en-US"/>
        </w:rPr>
      </w:pPr>
    </w:p>
    <w:p w14:paraId="6547DDF8" w14:textId="77777777" w:rsidR="00E10EF9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The core research question is does adding sentiment reduce forecast error? — evaluation is therefore </w:t>
      </w:r>
      <w:proofErr w:type="spellStart"/>
      <w:r w:rsidRPr="00776553">
        <w:rPr>
          <w:lang w:val="en-US"/>
        </w:rPr>
        <w:t>centred</w:t>
      </w:r>
      <w:proofErr w:type="spellEnd"/>
      <w:r w:rsidRPr="00776553">
        <w:rPr>
          <w:lang w:val="en-US"/>
        </w:rPr>
        <w:t xml:space="preserve"> on out-of-sample loss functions and formal model comparison tests, not in-sample fit alone</w:t>
      </w:r>
    </w:p>
    <w:p w14:paraId="7180C163" w14:textId="77777777" w:rsidR="00B57449" w:rsidRPr="00B57449" w:rsidRDefault="00B57449" w:rsidP="00B57449">
      <w:pPr>
        <w:rPr>
          <w:lang w:val="en-US"/>
        </w:rPr>
      </w:pPr>
    </w:p>
    <w:p w14:paraId="6547DDF9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Four metals are </w:t>
      </w:r>
      <w:proofErr w:type="spellStart"/>
      <w:r w:rsidRPr="00776553">
        <w:rPr>
          <w:lang w:val="en-US"/>
        </w:rPr>
        <w:t>analysed</w:t>
      </w:r>
      <w:proofErr w:type="spellEnd"/>
      <w:r w:rsidRPr="00776553">
        <w:rPr>
          <w:lang w:val="en-US"/>
        </w:rPr>
        <w:t xml:space="preserve"> separately (Nd, </w:t>
      </w:r>
      <w:proofErr w:type="spellStart"/>
      <w:r w:rsidRPr="00776553">
        <w:rPr>
          <w:lang w:val="en-US"/>
        </w:rPr>
        <w:t>Pr</w:t>
      </w:r>
      <w:proofErr w:type="spellEnd"/>
      <w:r w:rsidRPr="00776553">
        <w:rPr>
          <w:lang w:val="en-US"/>
        </w:rPr>
        <w:t xml:space="preserve">, Tb, Dy); consistent results across all four strengthen the </w:t>
      </w:r>
      <w:proofErr w:type="spellStart"/>
      <w:r w:rsidRPr="00776553">
        <w:rPr>
          <w:lang w:val="en-US"/>
        </w:rPr>
        <w:t>generalisability</w:t>
      </w:r>
      <w:proofErr w:type="spellEnd"/>
      <w:r w:rsidRPr="00776553">
        <w:rPr>
          <w:lang w:val="en-US"/>
        </w:rPr>
        <w:t xml:space="preserve"> of the findings, while divergences are themselves informative</w:t>
      </w:r>
    </w:p>
    <w:p w14:paraId="6547DDFA" w14:textId="77777777" w:rsidR="00E10EF9" w:rsidRDefault="00E10EF9">
      <w:pPr>
        <w:rPr>
          <w:lang w:val="en-US"/>
        </w:rPr>
      </w:pPr>
    </w:p>
    <w:p w14:paraId="1F1D2DBE" w14:textId="77777777" w:rsidR="00B57449" w:rsidRDefault="00B57449">
      <w:pPr>
        <w:rPr>
          <w:lang w:val="en-US"/>
        </w:rPr>
      </w:pPr>
    </w:p>
    <w:p w14:paraId="22AF9ACD" w14:textId="77777777" w:rsidR="00B57449" w:rsidRDefault="00B57449">
      <w:pPr>
        <w:rPr>
          <w:lang w:val="en-US"/>
        </w:rPr>
      </w:pPr>
    </w:p>
    <w:p w14:paraId="34BE0A2E" w14:textId="77777777" w:rsidR="00B57449" w:rsidRDefault="00B57449">
      <w:pPr>
        <w:rPr>
          <w:lang w:val="en-US"/>
        </w:rPr>
      </w:pPr>
    </w:p>
    <w:p w14:paraId="0AACC353" w14:textId="77777777" w:rsidR="00B57449" w:rsidRPr="00776553" w:rsidRDefault="00B57449">
      <w:pPr>
        <w:rPr>
          <w:lang w:val="en-US"/>
        </w:rPr>
      </w:pPr>
    </w:p>
    <w:p w14:paraId="6547DDFB" w14:textId="77777777" w:rsidR="00E10EF9" w:rsidRPr="00776553" w:rsidRDefault="00000000">
      <w:pPr>
        <w:pStyle w:val="Ttulo2"/>
        <w:rPr>
          <w:lang w:val="en-US"/>
        </w:rPr>
      </w:pPr>
      <w:r w:rsidRPr="00776553">
        <w:rPr>
          <w:lang w:val="en-US"/>
        </w:rPr>
        <w:lastRenderedPageBreak/>
        <w:t>3.2 Data Description</w:t>
      </w:r>
    </w:p>
    <w:p w14:paraId="6547DDFC" w14:textId="77777777" w:rsidR="00E10EF9" w:rsidRPr="00776553" w:rsidRDefault="00000000">
      <w:pPr>
        <w:pStyle w:val="Ttulo3"/>
        <w:rPr>
          <w:lang w:val="en-US"/>
        </w:rPr>
      </w:pPr>
      <w:r w:rsidRPr="00776553">
        <w:rPr>
          <w:lang w:val="en-US"/>
        </w:rPr>
        <w:t>3.2.1 Rare-Earth Price Data</w:t>
      </w:r>
    </w:p>
    <w:p w14:paraId="6547DDFD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Target series: daily (or weekly) spot prices for Neodymium (Nd), Praseodymium (</w:t>
      </w:r>
      <w:proofErr w:type="spellStart"/>
      <w:r w:rsidRPr="00776553">
        <w:rPr>
          <w:lang w:val="en-US"/>
        </w:rPr>
        <w:t>Pr</w:t>
      </w:r>
      <w:proofErr w:type="spellEnd"/>
      <w:r w:rsidRPr="00776553">
        <w:rPr>
          <w:lang w:val="en-US"/>
        </w:rPr>
        <w:t>), Terbium (Tb), and Dysprosium (Dy) for time period 2016–2026</w:t>
      </w:r>
    </w:p>
    <w:p w14:paraId="6547DDFE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Potential sources: Asian Metal, Metal Pages, Shanghai Metals Market (SMM), Bloomberg, or Refinitiv</w:t>
      </w:r>
    </w:p>
    <w:p w14:paraId="6547DDFF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Argument for weekly: Weekly frequency is often more appropriate for rare-earth markets due to illiquidity — daily prices are frequently stale or repeated and this must be explicitly discussed</w:t>
      </w:r>
    </w:p>
    <w:p w14:paraId="6547DE00" w14:textId="77777777" w:rsidR="00E10EF9" w:rsidRDefault="00000000">
      <w:pPr>
        <w:pStyle w:val="Prrafodelista"/>
        <w:numPr>
          <w:ilvl w:val="0"/>
          <w:numId w:val="2"/>
        </w:numPr>
      </w:pPr>
      <w:r w:rsidRPr="00776553">
        <w:rPr>
          <w:lang w:val="en-US"/>
        </w:rPr>
        <w:t xml:space="preserve">Rare-earth prices are OTC and not exchange-traded, meaning price stickiness (unchanged values over consecutive days) is a known data quality issue that must be acknowledged and addressed (e.g. by filtering repeated observations or switching to weekly aggregation). </w:t>
      </w:r>
      <w:proofErr w:type="spellStart"/>
      <w:r>
        <w:t>If</w:t>
      </w:r>
      <w:proofErr w:type="spellEnd"/>
      <w:r>
        <w:t xml:space="preserve"> </w:t>
      </w:r>
      <w:proofErr w:type="spellStart"/>
      <w:r>
        <w:t>fewer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~15% </w:t>
      </w:r>
      <w:proofErr w:type="spellStart"/>
      <w:r>
        <w:t>of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,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fine</w:t>
      </w:r>
      <w:proofErr w:type="spellEnd"/>
    </w:p>
    <w:p w14:paraId="6547DE01" w14:textId="77777777" w:rsidR="00E10EF9" w:rsidRDefault="00E10EF9"/>
    <w:p w14:paraId="6547DE02" w14:textId="77777777" w:rsidR="00E10EF9" w:rsidRDefault="00000000">
      <w:pPr>
        <w:pStyle w:val="Ttulo3"/>
      </w:pPr>
      <w:r>
        <w:t>3.2.2 News Sentiment Data</w:t>
      </w:r>
    </w:p>
    <w:p w14:paraId="6547DE03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Source: GDELT Project Global Knowledge Graph (free, global, daily article-level tone scores)</w:t>
      </w:r>
    </w:p>
    <w:p w14:paraId="6547DE04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For each article, the following GDELT fields are retained:</w:t>
      </w:r>
    </w:p>
    <w:p w14:paraId="6547DE05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lang w:val="en-US"/>
        </w:rPr>
        <w:t>tone: signed net tone (positive minus negative emotional content)</w:t>
      </w:r>
    </w:p>
    <w:p w14:paraId="6547DE06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proofErr w:type="spellStart"/>
      <w:r w:rsidRPr="00776553">
        <w:rPr>
          <w:lang w:val="en-US"/>
        </w:rPr>
        <w:t>pos_score</w:t>
      </w:r>
      <w:proofErr w:type="spellEnd"/>
      <w:r w:rsidRPr="00776553">
        <w:rPr>
          <w:lang w:val="en-US"/>
        </w:rPr>
        <w:t>: positive emotional intensity (non-negative)</w:t>
      </w:r>
    </w:p>
    <w:p w14:paraId="6547DE07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proofErr w:type="spellStart"/>
      <w:r w:rsidRPr="00776553">
        <w:rPr>
          <w:lang w:val="en-US"/>
        </w:rPr>
        <w:t>neg_score</w:t>
      </w:r>
      <w:proofErr w:type="spellEnd"/>
      <w:r w:rsidRPr="00776553">
        <w:rPr>
          <w:lang w:val="en-US"/>
        </w:rPr>
        <w:t>: negative emotional intensity (non-negative)</w:t>
      </w:r>
    </w:p>
    <w:p w14:paraId="6547DE08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lang w:val="en-US"/>
        </w:rPr>
        <w:t xml:space="preserve">polarity: total emotional intensity (= </w:t>
      </w:r>
      <w:proofErr w:type="spellStart"/>
      <w:r w:rsidRPr="00776553">
        <w:rPr>
          <w:lang w:val="en-US"/>
        </w:rPr>
        <w:t>pos_score</w:t>
      </w:r>
      <w:proofErr w:type="spellEnd"/>
      <w:r w:rsidRPr="00776553">
        <w:rPr>
          <w:lang w:val="en-US"/>
        </w:rPr>
        <w:t xml:space="preserve"> + </w:t>
      </w:r>
      <w:proofErr w:type="spellStart"/>
      <w:r w:rsidRPr="00776553">
        <w:rPr>
          <w:lang w:val="en-US"/>
        </w:rPr>
        <w:t>neg_score</w:t>
      </w:r>
      <w:proofErr w:type="spellEnd"/>
      <w:r w:rsidRPr="00776553">
        <w:rPr>
          <w:lang w:val="en-US"/>
        </w:rPr>
        <w:t>), regardless of direction</w:t>
      </w:r>
    </w:p>
    <w:p w14:paraId="6547DE09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Articles are retrieved with a targeted keyword set: "rare earth", "neodymium", "praseodymium", "terbium", "dysprosium", "EV magnet", "China export", "critical minerals", "permanent magnet"</w:t>
      </w:r>
    </w:p>
    <w:p w14:paraId="6547DE0A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Each article carries metal-specific Boolean flags (</w:t>
      </w:r>
      <w:proofErr w:type="spellStart"/>
      <w:r w:rsidRPr="00776553">
        <w:rPr>
          <w:lang w:val="en-US"/>
        </w:rPr>
        <w:t>has_neodymium</w:t>
      </w:r>
      <w:proofErr w:type="spellEnd"/>
      <w:r w:rsidRPr="00776553">
        <w:rPr>
          <w:lang w:val="en-US"/>
        </w:rPr>
        <w:t xml:space="preserve">, </w:t>
      </w:r>
      <w:proofErr w:type="spellStart"/>
      <w:r w:rsidRPr="00776553">
        <w:rPr>
          <w:lang w:val="en-US"/>
        </w:rPr>
        <w:t>has_praseodymium</w:t>
      </w:r>
      <w:proofErr w:type="spellEnd"/>
      <w:r w:rsidRPr="00776553">
        <w:rPr>
          <w:lang w:val="en-US"/>
        </w:rPr>
        <w:t xml:space="preserve">, </w:t>
      </w:r>
      <w:proofErr w:type="spellStart"/>
      <w:r w:rsidRPr="00776553">
        <w:rPr>
          <w:lang w:val="en-US"/>
        </w:rPr>
        <w:t>has_terbium</w:t>
      </w:r>
      <w:proofErr w:type="spellEnd"/>
      <w:r w:rsidRPr="00776553">
        <w:rPr>
          <w:lang w:val="en-US"/>
        </w:rPr>
        <w:t xml:space="preserve">, </w:t>
      </w:r>
      <w:proofErr w:type="spellStart"/>
      <w:r w:rsidRPr="00776553">
        <w:rPr>
          <w:lang w:val="en-US"/>
        </w:rPr>
        <w:t>has_dysprosium</w:t>
      </w:r>
      <w:proofErr w:type="spellEnd"/>
      <w:r w:rsidRPr="00776553">
        <w:rPr>
          <w:lang w:val="en-US"/>
        </w:rPr>
        <w:t xml:space="preserve">, </w:t>
      </w:r>
      <w:proofErr w:type="spellStart"/>
      <w:r w:rsidRPr="00776553">
        <w:rPr>
          <w:lang w:val="en-US"/>
        </w:rPr>
        <w:t>has_rare_earth</w:t>
      </w:r>
      <w:proofErr w:type="spellEnd"/>
      <w:r w:rsidRPr="00776553">
        <w:rPr>
          <w:lang w:val="en-US"/>
        </w:rPr>
        <w:t xml:space="preserve">, </w:t>
      </w:r>
      <w:proofErr w:type="spellStart"/>
      <w:r w:rsidRPr="00776553">
        <w:rPr>
          <w:lang w:val="en-US"/>
        </w:rPr>
        <w:t>has_ndpr</w:t>
      </w:r>
      <w:proofErr w:type="spellEnd"/>
      <w:r w:rsidRPr="00776553">
        <w:rPr>
          <w:lang w:val="en-US"/>
        </w:rPr>
        <w:t xml:space="preserve">, </w:t>
      </w:r>
      <w:proofErr w:type="spellStart"/>
      <w:r w:rsidRPr="00776553">
        <w:rPr>
          <w:lang w:val="en-US"/>
        </w:rPr>
        <w:t>has_ndfeb</w:t>
      </w:r>
      <w:proofErr w:type="spellEnd"/>
      <w:r w:rsidRPr="00776553">
        <w:rPr>
          <w:lang w:val="en-US"/>
        </w:rPr>
        <w:t>), enabling construction of metal-specific sentiment series rather than a single generic REE index</w:t>
      </w:r>
    </w:p>
    <w:p w14:paraId="6547DE0B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Deduplication: GDELT contains heavy syndication (identical press releases mirrored across dozens of aggregators). Duplicates are removed within each day before aggregation — using article-text hashing where available and (tone, </w:t>
      </w:r>
      <w:proofErr w:type="spellStart"/>
      <w:r w:rsidRPr="00776553">
        <w:rPr>
          <w:lang w:val="en-US"/>
        </w:rPr>
        <w:t>pos_score</w:t>
      </w:r>
      <w:proofErr w:type="spellEnd"/>
      <w:r w:rsidRPr="00776553">
        <w:rPr>
          <w:lang w:val="en-US"/>
        </w:rPr>
        <w:t xml:space="preserve">, </w:t>
      </w:r>
      <w:proofErr w:type="spellStart"/>
      <w:r w:rsidRPr="00776553">
        <w:rPr>
          <w:lang w:val="en-US"/>
        </w:rPr>
        <w:t>neg_score</w:t>
      </w:r>
      <w:proofErr w:type="spellEnd"/>
      <w:r w:rsidRPr="00776553">
        <w:rPr>
          <w:lang w:val="en-US"/>
        </w:rPr>
        <w:t>) tuple matching within day as a fallback — to prevent any single syndicated item from dominating that day's mean</w:t>
      </w:r>
    </w:p>
    <w:p w14:paraId="6547DE0C" w14:textId="77777777" w:rsidR="00E10EF9" w:rsidRPr="00776553" w:rsidRDefault="00E10EF9">
      <w:pPr>
        <w:rPr>
          <w:lang w:val="en-US"/>
        </w:rPr>
      </w:pPr>
    </w:p>
    <w:p w14:paraId="6547DE0D" w14:textId="77777777" w:rsidR="00E10EF9" w:rsidRDefault="00000000">
      <w:pPr>
        <w:pStyle w:val="Ttulo3"/>
      </w:pPr>
      <w:r>
        <w:t xml:space="preserve">3.2.3 Sample </w:t>
      </w:r>
      <w:proofErr w:type="spellStart"/>
      <w:r>
        <w:t>Period</w:t>
      </w:r>
      <w:proofErr w:type="spellEnd"/>
      <w:r>
        <w:t xml:space="preserve"> and </w:t>
      </w:r>
      <w:proofErr w:type="spellStart"/>
      <w:r>
        <w:t>Frequency</w:t>
      </w:r>
      <w:proofErr w:type="spellEnd"/>
    </w:p>
    <w:p w14:paraId="6547DE0E" w14:textId="4B54B543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Target sample: approximately 201</w:t>
      </w:r>
      <w:r w:rsidR="00DC6B40">
        <w:rPr>
          <w:lang w:val="en-US"/>
        </w:rPr>
        <w:t>5</w:t>
      </w:r>
      <w:r w:rsidRPr="00776553">
        <w:rPr>
          <w:lang w:val="en-US"/>
        </w:rPr>
        <w:t>–2026, capturing at least two major geopolitical disruptions relevant to rare-earth markets</w:t>
      </w:r>
    </w:p>
    <w:p w14:paraId="6547DE0F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Frequency alignment between price and sentiment data must be ensured; if prices are weekly, sentiment is aggregated to weekly as well</w:t>
      </w:r>
    </w:p>
    <w:p w14:paraId="6547DE10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lastRenderedPageBreak/>
        <w:t>Known structural break dates that must be accounted for: COVID-19 (March 2020), China rare-earth export curbs (August 2023)</w:t>
      </w:r>
    </w:p>
    <w:p w14:paraId="6547DE11" w14:textId="77777777" w:rsidR="00E10EF9" w:rsidRDefault="00000000">
      <w:pPr>
        <w:pStyle w:val="Prrafodelista"/>
        <w:numPr>
          <w:ilvl w:val="0"/>
          <w:numId w:val="2"/>
        </w:numPr>
      </w:pPr>
      <w:r>
        <w:t>Train/</w:t>
      </w:r>
      <w:proofErr w:type="spellStart"/>
      <w:r>
        <w:t>test</w:t>
      </w:r>
      <w:proofErr w:type="spellEnd"/>
      <w:r>
        <w:t xml:space="preserve"> </w:t>
      </w:r>
      <w:proofErr w:type="spellStart"/>
      <w:r>
        <w:t>split</w:t>
      </w:r>
      <w:proofErr w:type="spellEnd"/>
      <w:r>
        <w:t xml:space="preserve">: 80/20 </w:t>
      </w:r>
      <w:proofErr w:type="spellStart"/>
      <w:r>
        <w:t>or</w:t>
      </w:r>
      <w:proofErr w:type="spellEnd"/>
      <w:r>
        <w:t xml:space="preserve"> 70/30</w:t>
      </w:r>
    </w:p>
    <w:p w14:paraId="6547DE12" w14:textId="77777777" w:rsidR="00E10EF9" w:rsidRDefault="00E10EF9"/>
    <w:p w14:paraId="6547DE13" w14:textId="77777777" w:rsidR="00E10EF9" w:rsidRDefault="00000000">
      <w:pPr>
        <w:pStyle w:val="Ttulo2"/>
      </w:pPr>
      <w:r>
        <w:t xml:space="preserve">3.3 Construction </w:t>
      </w:r>
      <w:proofErr w:type="spellStart"/>
      <w:r>
        <w:t>of</w:t>
      </w:r>
      <w:proofErr w:type="spellEnd"/>
      <w:r>
        <w:t xml:space="preserve"> Variables</w:t>
      </w:r>
    </w:p>
    <w:p w14:paraId="6547DE14" w14:textId="77777777" w:rsidR="00E10EF9" w:rsidRDefault="00000000">
      <w:pPr>
        <w:pStyle w:val="Ttulo3"/>
      </w:pPr>
      <w:r>
        <w:t>3.3.1 Log Returns</w:t>
      </w:r>
    </w:p>
    <w:p w14:paraId="6547DE15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Continuously compounded log returns are computed as: rₜ = ln(Pₜ) − ln(Pₜ₋₁)</w:t>
      </w:r>
    </w:p>
    <w:p w14:paraId="6547DE16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Log returns are expected to be stationary (</w:t>
      </w:r>
      <w:proofErr w:type="gramStart"/>
      <w:r w:rsidRPr="00776553">
        <w:rPr>
          <w:lang w:val="en-US"/>
        </w:rPr>
        <w:t>I(</w:t>
      </w:r>
      <w:proofErr w:type="gramEnd"/>
      <w:r w:rsidRPr="00776553">
        <w:rPr>
          <w:lang w:val="en-US"/>
        </w:rPr>
        <w:t>0)); this is verified formally with unit root tests</w:t>
      </w:r>
    </w:p>
    <w:p w14:paraId="6547DE17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Descriptive statistics reported for each return series: mean, standard deviation, skewness, excess kurtosis, Jarque-Bera normality test (normality is expected to be rejected)</w:t>
      </w:r>
    </w:p>
    <w:p w14:paraId="6547DE18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Serial correlation in returns and squared returns is assessed with the Ljung-Box Q-test; an ARCH-LM test on squared returns provides the formal justification for using GARCH-family models</w:t>
      </w:r>
    </w:p>
    <w:p w14:paraId="6547DE19" w14:textId="77777777" w:rsidR="00E10EF9" w:rsidRPr="00776553" w:rsidRDefault="00E10EF9">
      <w:pPr>
        <w:rPr>
          <w:lang w:val="en-US"/>
        </w:rPr>
      </w:pPr>
    </w:p>
    <w:p w14:paraId="6547DE1A" w14:textId="77777777" w:rsidR="00E10EF9" w:rsidRDefault="00000000">
      <w:proofErr w:type="spellStart"/>
      <w:r>
        <w:t>Stationarity</w:t>
      </w:r>
      <w:proofErr w:type="spellEnd"/>
      <w:r>
        <w:t xml:space="preserve"> </w:t>
      </w:r>
      <w:proofErr w:type="spellStart"/>
      <w:r>
        <w:t>testing</w:t>
      </w:r>
      <w:proofErr w:type="spellEnd"/>
      <w:r>
        <w:t>:</w:t>
      </w:r>
    </w:p>
    <w:p w14:paraId="6547DE1B" w14:textId="77777777" w:rsidR="00E10EF9" w:rsidRDefault="00E10EF9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10EF9" w14:paraId="6547DE1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1C" w14:textId="77777777" w:rsidR="00E10EF9" w:rsidRDefault="00000000">
            <w:r>
              <w:rPr>
                <w:b/>
                <w:bCs/>
                <w:sz w:val="22"/>
                <w:szCs w:val="22"/>
              </w:rPr>
              <w:t>Test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1D" w14:textId="77777777" w:rsidR="00E10EF9" w:rsidRDefault="00000000">
            <w:proofErr w:type="spellStart"/>
            <w:r>
              <w:rPr>
                <w:b/>
                <w:bCs/>
                <w:sz w:val="22"/>
                <w:szCs w:val="22"/>
              </w:rPr>
              <w:t>To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check</w:t>
            </w:r>
          </w:p>
        </w:tc>
      </w:tr>
      <w:tr w:rsidR="00E10EF9" w14:paraId="6547DE2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1F" w14:textId="77777777" w:rsidR="00E10EF9" w:rsidRDefault="00000000">
            <w:r>
              <w:rPr>
                <w:sz w:val="22"/>
                <w:szCs w:val="22"/>
              </w:rPr>
              <w:t>ADF (</w:t>
            </w:r>
            <w:proofErr w:type="spellStart"/>
            <w:r>
              <w:rPr>
                <w:sz w:val="22"/>
                <w:szCs w:val="22"/>
              </w:rPr>
              <w:t>Augmented</w:t>
            </w:r>
            <w:proofErr w:type="spellEnd"/>
            <w:r>
              <w:rPr>
                <w:sz w:val="22"/>
                <w:szCs w:val="22"/>
              </w:rPr>
              <w:t xml:space="preserve"> Dickey-Fuller)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20" w14:textId="77777777" w:rsidR="00E10EF9" w:rsidRDefault="00000000">
            <w:r>
              <w:rPr>
                <w:sz w:val="22"/>
                <w:szCs w:val="22"/>
              </w:rPr>
              <w:t xml:space="preserve">Unit root in </w:t>
            </w:r>
            <w:proofErr w:type="spellStart"/>
            <w:r>
              <w:rPr>
                <w:sz w:val="22"/>
                <w:szCs w:val="22"/>
              </w:rPr>
              <w:t>levels</w:t>
            </w:r>
            <w:proofErr w:type="spellEnd"/>
          </w:p>
        </w:tc>
      </w:tr>
      <w:tr w:rsidR="00E10EF9" w14:paraId="6547DE2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22" w14:textId="77777777" w:rsidR="00E10EF9" w:rsidRDefault="00000000">
            <w:r>
              <w:rPr>
                <w:sz w:val="22"/>
                <w:szCs w:val="22"/>
              </w:rPr>
              <w:t>KPSS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23" w14:textId="77777777" w:rsidR="00E10EF9" w:rsidRDefault="00000000">
            <w:proofErr w:type="spellStart"/>
            <w:r>
              <w:rPr>
                <w:sz w:val="22"/>
                <w:szCs w:val="22"/>
              </w:rPr>
              <w:t>Stationarity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complement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</w:t>
            </w:r>
            <w:proofErr w:type="spellEnd"/>
            <w:r>
              <w:rPr>
                <w:sz w:val="22"/>
                <w:szCs w:val="22"/>
              </w:rPr>
              <w:t xml:space="preserve"> ADF)</w:t>
            </w:r>
          </w:p>
        </w:tc>
      </w:tr>
      <w:tr w:rsidR="00E10EF9" w:rsidRPr="00776553" w14:paraId="6547DE2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25" w14:textId="77777777" w:rsidR="00E10EF9" w:rsidRDefault="00000000">
            <w:r>
              <w:rPr>
                <w:sz w:val="22"/>
                <w:szCs w:val="22"/>
              </w:rPr>
              <w:t>Phillips-Perron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26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Robust version, handles serial correlation</w:t>
            </w:r>
          </w:p>
        </w:tc>
      </w:tr>
    </w:tbl>
    <w:p w14:paraId="6547DE28" w14:textId="77777777" w:rsidR="00E10EF9" w:rsidRPr="00776553" w:rsidRDefault="00E10EF9">
      <w:pPr>
        <w:rPr>
          <w:lang w:val="en-US"/>
        </w:rPr>
      </w:pPr>
    </w:p>
    <w:p w14:paraId="6547DE29" w14:textId="77777777" w:rsidR="00E10EF9" w:rsidRDefault="00000000">
      <w:pPr>
        <w:pStyle w:val="Ttulo3"/>
      </w:pPr>
      <w:r>
        <w:t xml:space="preserve">3.3.2 </w:t>
      </w:r>
      <w:proofErr w:type="spellStart"/>
      <w:r>
        <w:t>Volatility</w:t>
      </w:r>
      <w:proofErr w:type="spellEnd"/>
      <w:r>
        <w:t xml:space="preserve"> </w:t>
      </w:r>
      <w:proofErr w:type="spellStart"/>
      <w:r>
        <w:t>Measure</w:t>
      </w:r>
      <w:proofErr w:type="spellEnd"/>
    </w:p>
    <w:p w14:paraId="6547DE2A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True volatility is latent (unobservable), so a proxy must be chosen for forecast evaluation</w:t>
      </w:r>
    </w:p>
    <w:p w14:paraId="6547DE2B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Available proxies and their trade-offs:</w:t>
      </w:r>
    </w:p>
    <w:p w14:paraId="6547DE2C" w14:textId="77777777" w:rsidR="00E10EF9" w:rsidRPr="00776553" w:rsidRDefault="00E10EF9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0"/>
        <w:gridCol w:w="2698"/>
        <w:gridCol w:w="2698"/>
        <w:gridCol w:w="2124"/>
      </w:tblGrid>
      <w:tr w:rsidR="00E10EF9" w14:paraId="6547DE3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2D" w14:textId="77777777" w:rsidR="00E10EF9" w:rsidRDefault="00000000">
            <w:r>
              <w:rPr>
                <w:b/>
                <w:bCs/>
                <w:sz w:val="22"/>
                <w:szCs w:val="22"/>
              </w:rPr>
              <w:t>Proxy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2E" w14:textId="77777777" w:rsidR="00E10EF9" w:rsidRDefault="00000000">
            <w:r>
              <w:rPr>
                <w:b/>
                <w:bCs/>
                <w:sz w:val="22"/>
                <w:szCs w:val="22"/>
              </w:rPr>
              <w:t xml:space="preserve">How </w:t>
            </w:r>
            <w:proofErr w:type="spellStart"/>
            <w:r>
              <w:rPr>
                <w:b/>
                <w:bCs/>
                <w:sz w:val="22"/>
                <w:szCs w:val="22"/>
              </w:rPr>
              <w:t>computed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2F" w14:textId="77777777" w:rsidR="00E10EF9" w:rsidRDefault="00000000">
            <w:r>
              <w:rPr>
                <w:b/>
                <w:bCs/>
                <w:sz w:val="22"/>
                <w:szCs w:val="22"/>
              </w:rPr>
              <w:t>Quality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30" w14:textId="77777777" w:rsidR="00E10EF9" w:rsidRDefault="00000000">
            <w:proofErr w:type="spellStart"/>
            <w:r>
              <w:rPr>
                <w:b/>
                <w:bCs/>
                <w:sz w:val="22"/>
                <w:szCs w:val="22"/>
              </w:rPr>
              <w:t>Feasible</w:t>
            </w:r>
            <w:proofErr w:type="spellEnd"/>
            <w:r>
              <w:rPr>
                <w:b/>
                <w:bCs/>
                <w:sz w:val="22"/>
                <w:szCs w:val="22"/>
              </w:rPr>
              <w:t>?</w:t>
            </w:r>
          </w:p>
        </w:tc>
      </w:tr>
      <w:tr w:rsidR="00E10EF9" w:rsidRPr="00776553" w14:paraId="6547DE36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32" w14:textId="77777777" w:rsidR="00E10EF9" w:rsidRDefault="00000000">
            <w:proofErr w:type="spellStart"/>
            <w:r>
              <w:rPr>
                <w:sz w:val="22"/>
                <w:szCs w:val="22"/>
              </w:rPr>
              <w:t>Squared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returns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33" w14:textId="77777777" w:rsidR="00E10EF9" w:rsidRDefault="00000000">
            <w:r>
              <w:rPr>
                <w:sz w:val="22"/>
                <w:szCs w:val="22"/>
              </w:rPr>
              <w:t>rₜ²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34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Unbiased but extremely noisy — unreliable for model comparison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35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✓ Available but avoid as sole proxy</w:t>
            </w:r>
          </w:p>
        </w:tc>
      </w:tr>
      <w:tr w:rsidR="00E10EF9" w14:paraId="6547DE3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37" w14:textId="77777777" w:rsidR="00E10EF9" w:rsidRDefault="00000000">
            <w:r>
              <w:rPr>
                <w:sz w:val="22"/>
                <w:szCs w:val="22"/>
              </w:rPr>
              <w:t xml:space="preserve">Absolute </w:t>
            </w:r>
            <w:proofErr w:type="spellStart"/>
            <w:r>
              <w:rPr>
                <w:sz w:val="22"/>
                <w:szCs w:val="22"/>
              </w:rPr>
              <w:t>returns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38" w14:textId="77777777" w:rsidR="00E10EF9" w:rsidRDefault="00000000">
            <w:r>
              <w:rPr>
                <w:sz w:val="22"/>
                <w:szCs w:val="22"/>
              </w:rPr>
              <w:t>|rₜ|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39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Less noisy than squared returns, still unbiased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3A" w14:textId="77777777" w:rsidR="00E10EF9" w:rsidRDefault="00000000">
            <w:r>
              <w:rPr>
                <w:sz w:val="22"/>
                <w:szCs w:val="22"/>
              </w:rPr>
              <w:t xml:space="preserve">✓ </w:t>
            </w:r>
            <w:proofErr w:type="spellStart"/>
            <w:r>
              <w:rPr>
                <w:sz w:val="22"/>
                <w:szCs w:val="22"/>
              </w:rPr>
              <w:t>Available</w:t>
            </w:r>
            <w:proofErr w:type="spellEnd"/>
            <w:r>
              <w:rPr>
                <w:sz w:val="22"/>
                <w:szCs w:val="22"/>
              </w:rPr>
              <w:t xml:space="preserve"> but same </w:t>
            </w:r>
            <w:proofErr w:type="spellStart"/>
            <w:r>
              <w:rPr>
                <w:sz w:val="22"/>
                <w:szCs w:val="22"/>
              </w:rPr>
              <w:t>caveats</w:t>
            </w:r>
            <w:proofErr w:type="spellEnd"/>
          </w:p>
        </w:tc>
      </w:tr>
      <w:tr w:rsidR="00E10EF9" w14:paraId="6547DE4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3C" w14:textId="77777777" w:rsidR="00E10EF9" w:rsidRDefault="00000000">
            <w:r>
              <w:rPr>
                <w:sz w:val="22"/>
                <w:szCs w:val="22"/>
              </w:rPr>
              <w:t xml:space="preserve">Rolling </w:t>
            </w:r>
            <w:proofErr w:type="spellStart"/>
            <w:r>
              <w:rPr>
                <w:sz w:val="22"/>
                <w:szCs w:val="22"/>
              </w:rPr>
              <w:t>Realised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Variance</w:t>
            </w:r>
            <w:proofErr w:type="spellEnd"/>
            <w:r>
              <w:rPr>
                <w:sz w:val="22"/>
                <w:szCs w:val="22"/>
              </w:rPr>
              <w:t xml:space="preserve"> (5-day)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3D" w14:textId="77777777" w:rsidR="00E10EF9" w:rsidRDefault="00000000">
            <w:r>
              <w:rPr>
                <w:sz w:val="22"/>
                <w:szCs w:val="22"/>
              </w:rPr>
              <w:t xml:space="preserve">Σr²ₜ₋ᴵ </w:t>
            </w:r>
            <w:proofErr w:type="spellStart"/>
            <w:r>
              <w:rPr>
                <w:sz w:val="22"/>
                <w:szCs w:val="22"/>
              </w:rPr>
              <w:t>over</w:t>
            </w:r>
            <w:proofErr w:type="spellEnd"/>
            <w:r>
              <w:rPr>
                <w:sz w:val="22"/>
                <w:szCs w:val="22"/>
              </w:rPr>
              <w:t xml:space="preserve"> 5 </w:t>
            </w:r>
            <w:proofErr w:type="spellStart"/>
            <w:r>
              <w:rPr>
                <w:sz w:val="22"/>
                <w:szCs w:val="22"/>
              </w:rPr>
              <w:t>days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3E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Much cleaner than single squared return — good weekly proxy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3F" w14:textId="77777777" w:rsidR="00E10EF9" w:rsidRDefault="00000000">
            <w:r>
              <w:rPr>
                <w:sz w:val="22"/>
                <w:szCs w:val="22"/>
              </w:rPr>
              <w:t xml:space="preserve">✓ Recommended </w:t>
            </w:r>
            <w:proofErr w:type="spellStart"/>
            <w:r>
              <w:rPr>
                <w:sz w:val="22"/>
                <w:szCs w:val="22"/>
              </w:rPr>
              <w:t>baseline</w:t>
            </w:r>
            <w:proofErr w:type="spellEnd"/>
          </w:p>
        </w:tc>
      </w:tr>
      <w:tr w:rsidR="00E10EF9" w14:paraId="6547DE4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41" w14:textId="77777777" w:rsidR="00E10EF9" w:rsidRDefault="00000000">
            <w:r>
              <w:rPr>
                <w:sz w:val="22"/>
                <w:szCs w:val="22"/>
              </w:rPr>
              <w:lastRenderedPageBreak/>
              <w:t xml:space="preserve">Rolling </w:t>
            </w:r>
            <w:proofErr w:type="spellStart"/>
            <w:r>
              <w:rPr>
                <w:sz w:val="22"/>
                <w:szCs w:val="22"/>
              </w:rPr>
              <w:t>Realised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Variance</w:t>
            </w:r>
            <w:proofErr w:type="spellEnd"/>
            <w:r>
              <w:rPr>
                <w:sz w:val="22"/>
                <w:szCs w:val="22"/>
              </w:rPr>
              <w:t xml:space="preserve"> (22-day)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42" w14:textId="77777777" w:rsidR="00E10EF9" w:rsidRDefault="00000000">
            <w:r>
              <w:rPr>
                <w:sz w:val="22"/>
                <w:szCs w:val="22"/>
              </w:rPr>
              <w:t xml:space="preserve">Σr²ₜ₋ᴵ </w:t>
            </w:r>
            <w:proofErr w:type="spellStart"/>
            <w:r>
              <w:rPr>
                <w:sz w:val="22"/>
                <w:szCs w:val="22"/>
              </w:rPr>
              <w:t>over</w:t>
            </w:r>
            <w:proofErr w:type="spellEnd"/>
            <w:r>
              <w:rPr>
                <w:sz w:val="22"/>
                <w:szCs w:val="22"/>
              </w:rPr>
              <w:t xml:space="preserve"> 22 </w:t>
            </w:r>
            <w:proofErr w:type="spellStart"/>
            <w:r>
              <w:rPr>
                <w:sz w:val="22"/>
                <w:szCs w:val="22"/>
              </w:rPr>
              <w:t>days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43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Cleanest feasible proxy with daily closes — standard when intraday unavailable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44" w14:textId="77777777" w:rsidR="00E10EF9" w:rsidRDefault="00000000">
            <w:r>
              <w:rPr>
                <w:sz w:val="22"/>
                <w:szCs w:val="22"/>
              </w:rPr>
              <w:t xml:space="preserve">✓ Recommended </w:t>
            </w:r>
            <w:proofErr w:type="spellStart"/>
            <w:r>
              <w:rPr>
                <w:sz w:val="22"/>
                <w:szCs w:val="22"/>
              </w:rPr>
              <w:t>for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evaluation</w:t>
            </w:r>
            <w:proofErr w:type="spellEnd"/>
          </w:p>
        </w:tc>
      </w:tr>
      <w:tr w:rsidR="00E10EF9" w:rsidRPr="00776553" w14:paraId="6547DE4A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46" w14:textId="77777777" w:rsidR="00E10EF9" w:rsidRDefault="00000000">
            <w:proofErr w:type="spellStart"/>
            <w:r>
              <w:rPr>
                <w:sz w:val="22"/>
                <w:szCs w:val="22"/>
              </w:rPr>
              <w:t>Realized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volatility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intraday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47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Sum of intraday squared returns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48" w14:textId="77777777" w:rsidR="00E10EF9" w:rsidRDefault="00000000">
            <w:r>
              <w:rPr>
                <w:sz w:val="22"/>
                <w:szCs w:val="22"/>
              </w:rPr>
              <w:t xml:space="preserve">Best </w:t>
            </w:r>
            <w:proofErr w:type="spellStart"/>
            <w:r>
              <w:rPr>
                <w:sz w:val="22"/>
                <w:szCs w:val="22"/>
              </w:rPr>
              <w:t>quality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overall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49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✗ Intraday data unavailable for rare earths</w:t>
            </w:r>
          </w:p>
        </w:tc>
      </w:tr>
      <w:tr w:rsidR="00E10EF9" w:rsidRPr="00776553" w14:paraId="6547DE4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4B" w14:textId="77777777" w:rsidR="00E10EF9" w:rsidRDefault="00000000">
            <w:r>
              <w:rPr>
                <w:sz w:val="22"/>
                <w:szCs w:val="22"/>
              </w:rPr>
              <w:t xml:space="preserve">Parkinson </w:t>
            </w:r>
            <w:proofErr w:type="spellStart"/>
            <w:r>
              <w:rPr>
                <w:sz w:val="22"/>
                <w:szCs w:val="22"/>
              </w:rPr>
              <w:t>estimator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4C" w14:textId="77777777" w:rsidR="00E10EF9" w:rsidRDefault="00000000">
            <w:proofErr w:type="spellStart"/>
            <w:r>
              <w:rPr>
                <w:sz w:val="22"/>
                <w:szCs w:val="22"/>
              </w:rPr>
              <w:t>Uses</w:t>
            </w:r>
            <w:proofErr w:type="spellEnd"/>
            <w:r>
              <w:rPr>
                <w:sz w:val="22"/>
                <w:szCs w:val="22"/>
              </w:rPr>
              <w:t xml:space="preserve"> high/</w:t>
            </w:r>
            <w:proofErr w:type="spellStart"/>
            <w:r>
              <w:rPr>
                <w:sz w:val="22"/>
                <w:szCs w:val="22"/>
              </w:rPr>
              <w:t>low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prices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4D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Good efficiency gain over squared returns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4E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✗ Requires OHLC — unlikely for OTC rare-earth prices</w:t>
            </w:r>
          </w:p>
        </w:tc>
      </w:tr>
      <w:tr w:rsidR="00E10EF9" w:rsidRPr="00776553" w14:paraId="6547DE54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50" w14:textId="77777777" w:rsidR="00E10EF9" w:rsidRDefault="00000000">
            <w:r>
              <w:rPr>
                <w:sz w:val="22"/>
                <w:szCs w:val="22"/>
              </w:rPr>
              <w:t xml:space="preserve">Garman-Klass </w:t>
            </w:r>
            <w:proofErr w:type="spellStart"/>
            <w:r>
              <w:rPr>
                <w:sz w:val="22"/>
                <w:szCs w:val="22"/>
              </w:rPr>
              <w:t>estimator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51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Uses open/high/low/close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52" w14:textId="77777777" w:rsidR="00E10EF9" w:rsidRDefault="00000000">
            <w:r>
              <w:rPr>
                <w:sz w:val="22"/>
                <w:szCs w:val="22"/>
              </w:rPr>
              <w:t xml:space="preserve">Superior </w:t>
            </w:r>
            <w:proofErr w:type="spellStart"/>
            <w:r>
              <w:rPr>
                <w:sz w:val="22"/>
                <w:szCs w:val="22"/>
              </w:rPr>
              <w:t>range-based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estimator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53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✗ Requires OHLC — unlikely for OTC rare-earth prices</w:t>
            </w:r>
          </w:p>
        </w:tc>
      </w:tr>
    </w:tbl>
    <w:p w14:paraId="6547DE55" w14:textId="77777777" w:rsidR="00E10EF9" w:rsidRPr="00776553" w:rsidRDefault="00E10EF9">
      <w:pPr>
        <w:rPr>
          <w:lang w:val="en-US"/>
        </w:rPr>
      </w:pPr>
    </w:p>
    <w:p w14:paraId="6547DE56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The proxy choice directly affects which loss functions are most appropriate (see Section 3.6)</w:t>
      </w:r>
    </w:p>
    <w:p w14:paraId="6547DE57" w14:textId="77777777" w:rsidR="00E10EF9" w:rsidRPr="00776553" w:rsidRDefault="00E10EF9">
      <w:pPr>
        <w:rPr>
          <w:lang w:val="en-US"/>
        </w:rPr>
      </w:pPr>
    </w:p>
    <w:p w14:paraId="6547DE58" w14:textId="77777777" w:rsidR="00E10EF9" w:rsidRPr="00776553" w:rsidRDefault="00000000">
      <w:pPr>
        <w:pStyle w:val="Ttulo3"/>
        <w:rPr>
          <w:lang w:val="en-US"/>
        </w:rPr>
      </w:pPr>
      <w:r w:rsidRPr="00776553">
        <w:rPr>
          <w:lang w:val="en-US"/>
        </w:rPr>
        <w:t>3.3.3 Sentiment Variable Construction</w:t>
      </w:r>
    </w:p>
    <w:p w14:paraId="6547DE59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>Two decisions are kept separate: (</w:t>
      </w:r>
      <w:proofErr w:type="spellStart"/>
      <w:r w:rsidRPr="00776553">
        <w:rPr>
          <w:lang w:val="en-US"/>
        </w:rPr>
        <w:t>i</w:t>
      </w:r>
      <w:proofErr w:type="spellEnd"/>
      <w:r w:rsidRPr="00776553">
        <w:rPr>
          <w:lang w:val="en-US"/>
        </w:rPr>
        <w:t>) what daily statistic is computed from articles, and (ii) how that statistic enters the variance equation. Decision (ii) is model-dependent and is handled in Section 3.4.</w:t>
      </w:r>
    </w:p>
    <w:p w14:paraId="6547DE5A" w14:textId="77777777" w:rsidR="00E10EF9" w:rsidRPr="00776553" w:rsidRDefault="00E10EF9">
      <w:pPr>
        <w:rPr>
          <w:lang w:val="en-US"/>
        </w:rPr>
      </w:pPr>
    </w:p>
    <w:p w14:paraId="6547DE5B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>For (</w:t>
      </w:r>
      <w:proofErr w:type="spellStart"/>
      <w:r w:rsidRPr="00776553">
        <w:rPr>
          <w:lang w:val="en-US"/>
        </w:rPr>
        <w:t>i</w:t>
      </w:r>
      <w:proofErr w:type="spellEnd"/>
      <w:r w:rsidRPr="00776553">
        <w:rPr>
          <w:lang w:val="en-US"/>
        </w:rPr>
        <w:t xml:space="preserve">), four metal-specific daily series are constructed for each metal m ∈ {Nd, </w:t>
      </w:r>
      <w:proofErr w:type="spellStart"/>
      <w:r w:rsidRPr="00776553">
        <w:rPr>
          <w:lang w:val="en-US"/>
        </w:rPr>
        <w:t>Pr</w:t>
      </w:r>
      <w:proofErr w:type="spellEnd"/>
      <w:r w:rsidRPr="00776553">
        <w:rPr>
          <w:lang w:val="en-US"/>
        </w:rPr>
        <w:t>, Tb, Dy}:</w:t>
      </w:r>
    </w:p>
    <w:p w14:paraId="6547DE5C" w14:textId="77777777" w:rsidR="00E10EF9" w:rsidRPr="00776553" w:rsidRDefault="00E10EF9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560"/>
        <w:gridCol w:w="2800"/>
      </w:tblGrid>
      <w:tr w:rsidR="00E10EF9" w14:paraId="6547DE6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5D" w14:textId="77777777" w:rsidR="00E10EF9" w:rsidRDefault="00000000">
            <w:r>
              <w:rPr>
                <w:b/>
                <w:bCs/>
                <w:sz w:val="22"/>
                <w:szCs w:val="22"/>
              </w:rPr>
              <w:t>Series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5E" w14:textId="77777777" w:rsidR="00E10EF9" w:rsidRDefault="00000000">
            <w:r>
              <w:rPr>
                <w:b/>
                <w:bCs/>
                <w:sz w:val="22"/>
                <w:szCs w:val="22"/>
              </w:rPr>
              <w:t>Definition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5F" w14:textId="77777777" w:rsidR="00E10EF9" w:rsidRDefault="00000000">
            <w:proofErr w:type="spellStart"/>
            <w:r>
              <w:rPr>
                <w:b/>
                <w:bCs/>
                <w:sz w:val="22"/>
                <w:szCs w:val="22"/>
              </w:rPr>
              <w:t>Used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in</w:t>
            </w:r>
          </w:p>
        </w:tc>
      </w:tr>
      <w:tr w:rsidR="00E10EF9" w14:paraId="6547DE6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61" w14:textId="77777777" w:rsidR="00E10EF9" w:rsidRDefault="00000000">
            <w:r>
              <w:rPr>
                <w:sz w:val="22"/>
                <w:szCs w:val="22"/>
              </w:rPr>
              <w:t>Toneₘ,ₜ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62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Mean signed tone across deduplicated relevant articles on day 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63" w14:textId="77777777" w:rsidR="00E10EF9" w:rsidRDefault="00000000">
            <w:r>
              <w:rPr>
                <w:sz w:val="22"/>
                <w:szCs w:val="22"/>
              </w:rPr>
              <w:t>EGARCH-X (</w:t>
            </w:r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10EF9" w14:paraId="6547DE6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65" w14:textId="77777777" w:rsidR="00E10EF9" w:rsidRDefault="00000000">
            <w:r>
              <w:rPr>
                <w:sz w:val="22"/>
                <w:szCs w:val="22"/>
              </w:rPr>
              <w:t>Volumeₘ,ₜ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66" w14:textId="77777777" w:rsidR="00E10EF9" w:rsidRPr="00776553" w:rsidRDefault="00000000">
            <w:pPr>
              <w:rPr>
                <w:lang w:val="en-US"/>
              </w:rPr>
            </w:pPr>
            <w:proofErr w:type="gramStart"/>
            <w:r w:rsidRPr="00776553">
              <w:rPr>
                <w:sz w:val="22"/>
                <w:szCs w:val="22"/>
                <w:lang w:val="en-US"/>
              </w:rPr>
              <w:t>log(</w:t>
            </w:r>
            <w:proofErr w:type="gramEnd"/>
            <w:r w:rsidRPr="00776553">
              <w:rPr>
                <w:sz w:val="22"/>
                <w:szCs w:val="22"/>
                <w:lang w:val="en-US"/>
              </w:rPr>
              <w:t>1 + number of relevant articles on day t)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67" w14:textId="77777777" w:rsidR="00E10EF9" w:rsidRDefault="00000000">
            <w:r>
              <w:rPr>
                <w:sz w:val="22"/>
                <w:szCs w:val="22"/>
              </w:rPr>
              <w:t>EGARCH-X (</w:t>
            </w:r>
            <w:proofErr w:type="spellStart"/>
            <w:r>
              <w:rPr>
                <w:sz w:val="22"/>
                <w:szCs w:val="22"/>
              </w:rPr>
              <w:t>main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10EF9" w14:paraId="6547DE6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69" w14:textId="77777777" w:rsidR="00E10EF9" w:rsidRDefault="00000000">
            <w:proofErr w:type="spellStart"/>
            <w:r>
              <w:rPr>
                <w:sz w:val="22"/>
                <w:szCs w:val="22"/>
              </w:rPr>
              <w:t>Polarity</w:t>
            </w:r>
            <w:proofErr w:type="spellEnd"/>
            <w:r>
              <w:rPr>
                <w:sz w:val="22"/>
                <w:szCs w:val="22"/>
              </w:rPr>
              <w:t>ₘ,ₜ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6A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Mean polarity (</w:t>
            </w:r>
            <w:proofErr w:type="spellStart"/>
            <w:r w:rsidRPr="00776553">
              <w:rPr>
                <w:sz w:val="22"/>
                <w:szCs w:val="22"/>
                <w:lang w:val="en-US"/>
              </w:rPr>
              <w:t>pos_score</w:t>
            </w:r>
            <w:proofErr w:type="spellEnd"/>
            <w:r w:rsidRPr="00776553">
              <w:rPr>
                <w:sz w:val="22"/>
                <w:szCs w:val="22"/>
                <w:lang w:val="en-US"/>
              </w:rPr>
              <w:t xml:space="preserve"> + </w:t>
            </w:r>
            <w:proofErr w:type="spellStart"/>
            <w:r w:rsidRPr="00776553">
              <w:rPr>
                <w:sz w:val="22"/>
                <w:szCs w:val="22"/>
                <w:lang w:val="en-US"/>
              </w:rPr>
              <w:t>neg_score</w:t>
            </w:r>
            <w:proofErr w:type="spellEnd"/>
            <w:r w:rsidRPr="00776553">
              <w:rPr>
                <w:sz w:val="22"/>
                <w:szCs w:val="22"/>
                <w:lang w:val="en-US"/>
              </w:rPr>
              <w:t>) of relevant articles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6B" w14:textId="77777777" w:rsidR="00E10EF9" w:rsidRDefault="00000000">
            <w:r>
              <w:rPr>
                <w:sz w:val="22"/>
                <w:szCs w:val="22"/>
              </w:rPr>
              <w:t>GJR-X (</w:t>
            </w:r>
            <w:proofErr w:type="spellStart"/>
            <w:r>
              <w:rPr>
                <w:sz w:val="22"/>
                <w:szCs w:val="22"/>
              </w:rPr>
              <w:t>asymmetry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10EF9" w14:paraId="6547DE7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6D" w14:textId="77777777" w:rsidR="00E10EF9" w:rsidRDefault="00000000">
            <w:proofErr w:type="spellStart"/>
            <w:r>
              <w:rPr>
                <w:sz w:val="22"/>
                <w:szCs w:val="22"/>
              </w:rPr>
              <w:t>NegTone</w:t>
            </w:r>
            <w:proofErr w:type="spellEnd"/>
            <w:r>
              <w:rPr>
                <w:sz w:val="22"/>
                <w:szCs w:val="22"/>
              </w:rPr>
              <w:t>ₘ,ₜ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6E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 xml:space="preserve">Mean </w:t>
            </w:r>
            <w:proofErr w:type="spellStart"/>
            <w:r w:rsidRPr="00776553">
              <w:rPr>
                <w:sz w:val="22"/>
                <w:szCs w:val="22"/>
                <w:lang w:val="en-US"/>
              </w:rPr>
              <w:t>neg_score</w:t>
            </w:r>
            <w:proofErr w:type="spellEnd"/>
            <w:r w:rsidRPr="00776553">
              <w:rPr>
                <w:sz w:val="22"/>
                <w:szCs w:val="22"/>
                <w:lang w:val="en-US"/>
              </w:rPr>
              <w:t xml:space="preserve"> of relevant articles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6F" w14:textId="77777777" w:rsidR="00E10EF9" w:rsidRDefault="00000000">
            <w:r>
              <w:rPr>
                <w:sz w:val="22"/>
                <w:szCs w:val="22"/>
              </w:rPr>
              <w:t>GJR-X (</w:t>
            </w:r>
            <w:proofErr w:type="spellStart"/>
            <w:r>
              <w:rPr>
                <w:sz w:val="22"/>
                <w:szCs w:val="22"/>
              </w:rPr>
              <w:t>asymmetry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</w:tbl>
    <w:p w14:paraId="6547DE71" w14:textId="77777777" w:rsidR="00E10EF9" w:rsidRDefault="00E10EF9"/>
    <w:p w14:paraId="6547DE72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>Article relevance and sparsity fallback:</w:t>
      </w:r>
    </w:p>
    <w:p w14:paraId="6547DE73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Primary relevance set for metal m: articles where </w:t>
      </w:r>
      <w:proofErr w:type="spellStart"/>
      <w:r w:rsidRPr="00776553">
        <w:rPr>
          <w:lang w:val="en-US"/>
        </w:rPr>
        <w:t>has_m</w:t>
      </w:r>
      <w:proofErr w:type="spellEnd"/>
      <w:r w:rsidRPr="00776553">
        <w:rPr>
          <w:lang w:val="en-US"/>
        </w:rPr>
        <w:t xml:space="preserve"> = TRUE, or where m is implied via composite flags (e.g. </w:t>
      </w:r>
      <w:proofErr w:type="spellStart"/>
      <w:r w:rsidRPr="00776553">
        <w:rPr>
          <w:lang w:val="en-US"/>
        </w:rPr>
        <w:t>has_ndpr</w:t>
      </w:r>
      <w:proofErr w:type="spellEnd"/>
      <w:r w:rsidRPr="00776553">
        <w:rPr>
          <w:lang w:val="en-US"/>
        </w:rPr>
        <w:t xml:space="preserve"> and </w:t>
      </w:r>
      <w:proofErr w:type="spellStart"/>
      <w:r w:rsidRPr="00776553">
        <w:rPr>
          <w:lang w:val="en-US"/>
        </w:rPr>
        <w:t>has_ndfeb</w:t>
      </w:r>
      <w:proofErr w:type="spellEnd"/>
      <w:r w:rsidRPr="00776553">
        <w:rPr>
          <w:lang w:val="en-US"/>
        </w:rPr>
        <w:t xml:space="preserve"> contribute to both Nd and </w:t>
      </w:r>
      <w:proofErr w:type="spellStart"/>
      <w:r w:rsidRPr="00776553">
        <w:rPr>
          <w:lang w:val="en-US"/>
        </w:rPr>
        <w:t>Pr</w:t>
      </w:r>
      <w:proofErr w:type="spellEnd"/>
      <w:r w:rsidRPr="00776553">
        <w:rPr>
          <w:lang w:val="en-US"/>
        </w:rPr>
        <w:t>)</w:t>
      </w:r>
    </w:p>
    <w:p w14:paraId="6547DE74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For days with fewer than 3 metal-specific articles, the series falls back to the broader </w:t>
      </w:r>
      <w:proofErr w:type="spellStart"/>
      <w:r w:rsidRPr="00776553">
        <w:rPr>
          <w:lang w:val="en-US"/>
        </w:rPr>
        <w:t>has_rare_earth</w:t>
      </w:r>
      <w:proofErr w:type="spellEnd"/>
      <w:r w:rsidRPr="00776553">
        <w:rPr>
          <w:lang w:val="en-US"/>
        </w:rPr>
        <w:t xml:space="preserve"> = TRUE set</w:t>
      </w:r>
    </w:p>
    <w:p w14:paraId="6547DE75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A binary indicator </w:t>
      </w:r>
      <w:proofErr w:type="spellStart"/>
      <w:r w:rsidRPr="00776553">
        <w:rPr>
          <w:lang w:val="en-US"/>
        </w:rPr>
        <w:t>sparse_</w:t>
      </w:r>
      <w:proofErr w:type="gramStart"/>
      <w:r w:rsidRPr="00776553">
        <w:rPr>
          <w:lang w:val="en-US"/>
        </w:rPr>
        <w:t>m,t</w:t>
      </w:r>
      <w:proofErr w:type="spellEnd"/>
      <w:proofErr w:type="gramEnd"/>
      <w:r w:rsidRPr="00776553">
        <w:rPr>
          <w:lang w:val="en-US"/>
        </w:rPr>
        <w:t xml:space="preserve"> records whether each observation came from the metal-specific or fallback set; included as a robustness control</w:t>
      </w:r>
    </w:p>
    <w:p w14:paraId="6547DE76" w14:textId="77777777" w:rsidR="00E10EF9" w:rsidRPr="00776553" w:rsidRDefault="00E10EF9">
      <w:pPr>
        <w:rPr>
          <w:lang w:val="en-US"/>
        </w:rPr>
      </w:pPr>
    </w:p>
    <w:p w14:paraId="6547DE77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>Treatment of no-news days:</w:t>
      </w:r>
    </w:p>
    <w:p w14:paraId="6547DE78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For days with zero relevant articles even at the REE-general level, the sentiment level is set to the in-sample mean (i.e. zero after </w:t>
      </w:r>
      <w:proofErr w:type="spellStart"/>
      <w:r w:rsidRPr="00776553">
        <w:rPr>
          <w:lang w:val="en-US"/>
        </w:rPr>
        <w:t>standardisation</w:t>
      </w:r>
      <w:proofErr w:type="spellEnd"/>
      <w:r w:rsidRPr="00776553">
        <w:rPr>
          <w:lang w:val="en-US"/>
        </w:rPr>
        <w:t>) and Volume is set to zero</w:t>
      </w:r>
    </w:p>
    <w:p w14:paraId="6547DE79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This implicitly assumes no news = no surprise, consistent with the markets-react-to-information interpretation; a robustness check using last-observation-carried-forward is performed</w:t>
      </w:r>
    </w:p>
    <w:p w14:paraId="6547DE7A" w14:textId="77777777" w:rsidR="00E10EF9" w:rsidRPr="00776553" w:rsidRDefault="00E10EF9">
      <w:pPr>
        <w:rPr>
          <w:lang w:val="en-US"/>
        </w:rPr>
      </w:pPr>
    </w:p>
    <w:p w14:paraId="6547DE7B" w14:textId="77777777" w:rsidR="00E10EF9" w:rsidRDefault="00000000">
      <w:r>
        <w:t xml:space="preserve">Weekend and </w:t>
      </w:r>
      <w:proofErr w:type="spellStart"/>
      <w:r>
        <w:t>holiday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>:</w:t>
      </w:r>
    </w:p>
    <w:p w14:paraId="6547DE7C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News arriving on weekends and exchange holidays is aggregated into the next trading day's observations, preventing information loss and avoiding a spurious "quiet weekend" pattern</w:t>
      </w:r>
    </w:p>
    <w:p w14:paraId="6547DE7D" w14:textId="77777777" w:rsidR="00E10EF9" w:rsidRPr="00776553" w:rsidRDefault="00E10EF9">
      <w:pPr>
        <w:rPr>
          <w:lang w:val="en-US"/>
        </w:rPr>
      </w:pPr>
    </w:p>
    <w:p w14:paraId="6547DE7E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>Multiple approaches exist for constructing the sentiment variable, each with distinct methodological trade-offs:</w:t>
      </w:r>
    </w:p>
    <w:p w14:paraId="6547DE7F" w14:textId="77777777" w:rsidR="00E10EF9" w:rsidRPr="00776553" w:rsidRDefault="00E10EF9">
      <w:pPr>
        <w:rPr>
          <w:lang w:val="en-US"/>
        </w:rPr>
      </w:pPr>
    </w:p>
    <w:p w14:paraId="6547DE80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Option A: Raw daily/weekly average sentiment score</w:t>
      </w:r>
    </w:p>
    <w:p w14:paraId="6547DE81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lang w:val="en-US"/>
        </w:rPr>
        <w:t>Pros: simple, transparent, preserves continuous nature of sentiment, already done by GDELT</w:t>
      </w:r>
    </w:p>
    <w:p w14:paraId="6547DE82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lang w:val="en-US"/>
        </w:rPr>
        <w:t>Cons: noisy, sensitive to single extreme articles, does not weight by source importance, mean-reverts quickly</w:t>
      </w:r>
    </w:p>
    <w:p w14:paraId="6547DE83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Option B: News volume-weighted sentiment</w:t>
      </w:r>
    </w:p>
    <w:p w14:paraId="6547DE84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lang w:val="en-US"/>
        </w:rPr>
        <w:t xml:space="preserve">Pros: more representative, major outlets weighted more than blogs; standard in </w:t>
      </w:r>
      <w:proofErr w:type="spellStart"/>
      <w:r w:rsidRPr="00776553">
        <w:rPr>
          <w:lang w:val="en-US"/>
        </w:rPr>
        <w:t>RavenPack</w:t>
      </w:r>
      <w:proofErr w:type="spellEnd"/>
      <w:r w:rsidRPr="00776553">
        <w:rPr>
          <w:lang w:val="en-US"/>
        </w:rPr>
        <w:t>-based studies</w:t>
      </w:r>
    </w:p>
    <w:p w14:paraId="6547DE85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lang w:val="en-US"/>
        </w:rPr>
        <w:t>Cons: requires relevance/weight metadata not always available; introduces subjectivity in weighting scheme</w:t>
      </w:r>
    </w:p>
    <w:p w14:paraId="6547DE86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Option C: Rolling moving average of sentiment (e.g. 7-day, 30-day)</w:t>
      </w:r>
    </w:p>
    <w:p w14:paraId="6547DE87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lang w:val="en-US"/>
        </w:rPr>
        <w:t>Pros: smooths noise, captures medium-term sentiment trends</w:t>
      </w:r>
    </w:p>
    <w:p w14:paraId="6547DE88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lang w:val="en-US"/>
        </w:rPr>
        <w:t>Cons: introduces lag into the signal; window length is arbitrary and must be justified or tested across multiple values; risk of information leakage if alignment with forecast window is not careful</w:t>
      </w:r>
    </w:p>
    <w:p w14:paraId="6547DE89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Option D: First difference of sentiment (</w:t>
      </w:r>
      <w:r>
        <w:t>Δ</w:t>
      </w:r>
      <w:r w:rsidRPr="00776553">
        <w:rPr>
          <w:lang w:val="en-US"/>
        </w:rPr>
        <w:t>Sₜ = Sₜ − Sₜ₋₁)</w:t>
      </w:r>
    </w:p>
    <w:p w14:paraId="6547DE8A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lang w:val="en-US"/>
        </w:rPr>
        <w:t>Pros: more likely to be stationary; captures news surprises rather than sentiment levels; theoretically consistent with efficient market logic (markets react to new information, not persistent pessimism)</w:t>
      </w:r>
    </w:p>
    <w:p w14:paraId="6547DE8B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lang w:val="en-US"/>
        </w:rPr>
        <w:t>Cons: discards level information; potentially very noisy at daily frequency</w:t>
      </w:r>
    </w:p>
    <w:p w14:paraId="6547DE8C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Option E: Positive/negative sentiment decomposition (S⁺ₜ and S⁻ₜ separately)</w:t>
      </w:r>
    </w:p>
    <w:p w14:paraId="6547DE8D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lang w:val="en-US"/>
        </w:rPr>
        <w:t xml:space="preserve">Pros: allows direct test of asymmetry — does bad news affect volatility more than good </w:t>
      </w:r>
      <w:proofErr w:type="gramStart"/>
      <w:r w:rsidRPr="00776553">
        <w:rPr>
          <w:lang w:val="en-US"/>
        </w:rPr>
        <w:t>news?;</w:t>
      </w:r>
      <w:proofErr w:type="gramEnd"/>
      <w:r w:rsidRPr="00776553">
        <w:rPr>
          <w:lang w:val="en-US"/>
        </w:rPr>
        <w:t xml:space="preserve"> theoretically motivated by negativity bias literature; maps naturally onto GJR-GARCH specification</w:t>
      </w:r>
    </w:p>
    <w:p w14:paraId="6547DE8E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lang w:val="en-US"/>
        </w:rPr>
        <w:t xml:space="preserve">Cons: doubles the number of </w:t>
      </w:r>
      <w:proofErr w:type="gramStart"/>
      <w:r w:rsidRPr="00776553">
        <w:rPr>
          <w:lang w:val="en-US"/>
        </w:rPr>
        <w:t>sentiment</w:t>
      </w:r>
      <w:proofErr w:type="gramEnd"/>
      <w:r w:rsidRPr="00776553">
        <w:rPr>
          <w:lang w:val="en-US"/>
        </w:rPr>
        <w:t xml:space="preserve"> regressors, raising overfitting risk; requires data source that provides directional decomposition rather than a composite score</w:t>
      </w:r>
    </w:p>
    <w:p w14:paraId="6547DE8F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Option F: Sentiment as a binary regime dummy (Dₜ = 1 if Sₜ &lt; threshold)</w:t>
      </w:r>
    </w:p>
    <w:p w14:paraId="6547DE90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lang w:val="en-US"/>
        </w:rPr>
        <w:lastRenderedPageBreak/>
        <w:t>Pros: robust to outliers; easy to interpret; useful if threshold effects are suspected (volatility only spikes under extreme negative sentiment)</w:t>
      </w:r>
    </w:p>
    <w:p w14:paraId="6547DE91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 w:rsidRPr="00776553">
        <w:rPr>
          <w:lang w:val="en-US"/>
        </w:rPr>
        <w:t>Cons: discards substantial information through coarsening; threshold choice is arbitrary and must be justified (e.g. bottom 25th percentile)</w:t>
      </w:r>
    </w:p>
    <w:p w14:paraId="6547DE92" w14:textId="77777777" w:rsidR="00E10EF9" w:rsidRPr="00776553" w:rsidRDefault="00E10EF9">
      <w:pPr>
        <w:rPr>
          <w:lang w:val="en-US"/>
        </w:rPr>
      </w:pPr>
    </w:p>
    <w:p w14:paraId="6547DE93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>Strategy: Option B as the baseline; Option C as a robustness variant; Option E as an extension directly linked to the asymmetric models; stationarity testing applied to whichever series is used, with Option D as the fallback if the level proves non-stationary.</w:t>
      </w:r>
    </w:p>
    <w:p w14:paraId="6547DE94" w14:textId="77777777" w:rsidR="00E10EF9" w:rsidRPr="00776553" w:rsidRDefault="00E10EF9">
      <w:pPr>
        <w:rPr>
          <w:lang w:val="en-US"/>
        </w:rPr>
      </w:pPr>
    </w:p>
    <w:p w14:paraId="6547DE95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>Preprocessing applied to all series:</w:t>
      </w:r>
    </w:p>
    <w:p w14:paraId="6547DE96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proofErr w:type="spellStart"/>
      <w:r w:rsidRPr="00776553">
        <w:rPr>
          <w:lang w:val="en-US"/>
        </w:rPr>
        <w:t>Standardised</w:t>
      </w:r>
      <w:proofErr w:type="spellEnd"/>
      <w:r w:rsidRPr="00776553">
        <w:rPr>
          <w:lang w:val="en-US"/>
        </w:rPr>
        <w:t xml:space="preserve"> to mean 0 and standard deviation 1 using in-sample statistics only (no leakage from the test period); the same in-sample mean and standard deviation are then applied to out-of-sample observations</w:t>
      </w:r>
    </w:p>
    <w:p w14:paraId="6547DE97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Lagged by one period (</w:t>
      </w:r>
      <w:proofErr w:type="gramStart"/>
      <w:r w:rsidRPr="00776553">
        <w:rPr>
          <w:lang w:val="en-US"/>
        </w:rPr>
        <w:t>Sₘ,ₜ₋</w:t>
      </w:r>
      <w:proofErr w:type="gramEnd"/>
      <w:r w:rsidRPr="00776553">
        <w:rPr>
          <w:lang w:val="en-US"/>
        </w:rPr>
        <w:t>₁) before entering any volatility equation, to prevent look-ahead bias and address potential reverse causality (volatility itself drives news coverage)</w:t>
      </w:r>
    </w:p>
    <w:p w14:paraId="6547DE98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ADF and KPSS tests confirm stationarity of each series; first-differencing applied as a fallback if non-stationary</w:t>
      </w:r>
    </w:p>
    <w:p w14:paraId="6547DE99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Collinearity between sentiment regressors and lagged squared residuals / lagged variance is checked via correlation matrices and variance inflation factors (VIF) prior to estimation; for GJR-X this is particularly important because Polarity and </w:t>
      </w:r>
      <w:proofErr w:type="spellStart"/>
      <w:r w:rsidRPr="00776553">
        <w:rPr>
          <w:lang w:val="en-US"/>
        </w:rPr>
        <w:t>NegTone</w:t>
      </w:r>
      <w:proofErr w:type="spellEnd"/>
      <w:r w:rsidRPr="00776553">
        <w:rPr>
          <w:lang w:val="en-US"/>
        </w:rPr>
        <w:t xml:space="preserve"> are correlated by construction</w:t>
      </w:r>
    </w:p>
    <w:p w14:paraId="6547DE9A" w14:textId="77777777" w:rsidR="00E10EF9" w:rsidRPr="00776553" w:rsidRDefault="00E10EF9">
      <w:pPr>
        <w:rPr>
          <w:lang w:val="en-US"/>
        </w:rPr>
      </w:pPr>
    </w:p>
    <w:p w14:paraId="6547DE9B" w14:textId="77777777" w:rsidR="00E10EF9" w:rsidRPr="00776553" w:rsidRDefault="00000000">
      <w:pPr>
        <w:pStyle w:val="Ttulo2"/>
        <w:rPr>
          <w:lang w:val="en-US"/>
        </w:rPr>
      </w:pPr>
      <w:r w:rsidRPr="00776553">
        <w:rPr>
          <w:lang w:val="en-US"/>
        </w:rPr>
        <w:t>3.4 Model Specifications</w:t>
      </w:r>
    </w:p>
    <w:p w14:paraId="6547DE9C" w14:textId="77777777" w:rsidR="00E10EF9" w:rsidRPr="00776553" w:rsidRDefault="00000000">
      <w:pPr>
        <w:pStyle w:val="Ttulo3"/>
        <w:rPr>
          <w:lang w:val="en-US"/>
        </w:rPr>
      </w:pPr>
      <w:r w:rsidRPr="00776553">
        <w:rPr>
          <w:lang w:val="en-US"/>
        </w:rPr>
        <w:t>3.4.1 Historical Simulation (Benchmark)</w:t>
      </w:r>
    </w:p>
    <w:p w14:paraId="6547DE9D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Rolling standard deviation of log returns computed as the volatility forecast: </w:t>
      </w:r>
      <w:r>
        <w:t>σ</w:t>
      </w:r>
      <w:r w:rsidRPr="00776553">
        <w:rPr>
          <w:lang w:val="en-US"/>
        </w:rPr>
        <w:t xml:space="preserve">̂²ₜ₊₁ = (1/N) </w:t>
      </w:r>
      <w:proofErr w:type="gramStart"/>
      <w:r>
        <w:t>Σ</w:t>
      </w:r>
      <w:r w:rsidRPr="00776553">
        <w:rPr>
          <w:lang w:val="en-US"/>
        </w:rPr>
        <w:t>(</w:t>
      </w:r>
      <w:proofErr w:type="gramEnd"/>
      <w:r w:rsidRPr="00776553">
        <w:rPr>
          <w:lang w:val="en-US"/>
        </w:rPr>
        <w:t>rₜ₋</w:t>
      </w:r>
      <w:r>
        <w:t>ᴵ</w:t>
      </w:r>
      <w:r w:rsidRPr="00776553">
        <w:rPr>
          <w:lang w:val="en-US"/>
        </w:rPr>
        <w:t xml:space="preserve"> − </w:t>
      </w:r>
      <w:proofErr w:type="gramStart"/>
      <w:r w:rsidRPr="00776553">
        <w:rPr>
          <w:lang w:val="en-US"/>
        </w:rPr>
        <w:t>r̅)²</w:t>
      </w:r>
      <w:proofErr w:type="gramEnd"/>
    </w:p>
    <w:p w14:paraId="6547DE9E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Window lengths tested: N ∈ {20, 30, 60} days (or equivalent in weeks)</w:t>
      </w:r>
    </w:p>
    <w:p w14:paraId="6547DE9F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No estimation required — purely mechanical; serves as the minimum bar that all parametric models must clear</w:t>
      </w:r>
    </w:p>
    <w:p w14:paraId="6547DEA0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If GARCH-X cannot beat this benchmark, the model specification must be reconsidered</w:t>
      </w:r>
    </w:p>
    <w:p w14:paraId="6547DEA1" w14:textId="77777777" w:rsidR="00E10EF9" w:rsidRPr="00776553" w:rsidRDefault="00E10EF9">
      <w:pPr>
        <w:rPr>
          <w:lang w:val="en-US"/>
        </w:rPr>
      </w:pPr>
    </w:p>
    <w:p w14:paraId="6547DEA2" w14:textId="77777777" w:rsidR="00E10EF9" w:rsidRPr="00776553" w:rsidRDefault="00000000">
      <w:pPr>
        <w:pStyle w:val="Ttulo3"/>
        <w:rPr>
          <w:lang w:val="en-US"/>
        </w:rPr>
      </w:pPr>
      <w:r w:rsidRPr="00776553">
        <w:rPr>
          <w:lang w:val="en-US"/>
        </w:rPr>
        <w:t xml:space="preserve">3.4.2 </w:t>
      </w:r>
      <w:proofErr w:type="gramStart"/>
      <w:r w:rsidRPr="00776553">
        <w:rPr>
          <w:lang w:val="en-US"/>
        </w:rPr>
        <w:t>GARCH(</w:t>
      </w:r>
      <w:proofErr w:type="gramEnd"/>
      <w:r w:rsidRPr="00776553">
        <w:rPr>
          <w:lang w:val="en-US"/>
        </w:rPr>
        <w:t>1,1) — Baseline (no sentiment)</w:t>
      </w:r>
    </w:p>
    <w:p w14:paraId="6547DEA3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 xml:space="preserve">Standard </w:t>
      </w:r>
      <w:proofErr w:type="gramStart"/>
      <w:r w:rsidRPr="00776553">
        <w:rPr>
          <w:lang w:val="en-US"/>
        </w:rPr>
        <w:t>GARCH(</w:t>
      </w:r>
      <w:proofErr w:type="gramEnd"/>
      <w:r w:rsidRPr="00776553">
        <w:rPr>
          <w:lang w:val="en-US"/>
        </w:rPr>
        <w:t>1,1):</w:t>
      </w:r>
    </w:p>
    <w:p w14:paraId="6547DEA4" w14:textId="77777777" w:rsidR="00E10EF9" w:rsidRDefault="00000000"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σ²ₜ = ω + α·ε²ₜ₋₁ + β·σ²ₜ₋₁</w:t>
      </w:r>
    </w:p>
    <w:p w14:paraId="6547DEA5" w14:textId="77777777" w:rsidR="00E10EF9" w:rsidRDefault="00E10EF9"/>
    <w:p w14:paraId="6547DEA6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>
        <w:t>ω</w:t>
      </w:r>
      <w:r w:rsidRPr="00776553">
        <w:rPr>
          <w:lang w:val="en-US"/>
        </w:rPr>
        <w:t xml:space="preserve"> = constant; </w:t>
      </w:r>
      <w:r>
        <w:t>α</w:t>
      </w:r>
      <w:r w:rsidRPr="00776553">
        <w:rPr>
          <w:lang w:val="en-US"/>
        </w:rPr>
        <w:t xml:space="preserve"> = ARCH effect (impact of yesterday’s shock); </w:t>
      </w:r>
      <w:r>
        <w:t>β</w:t>
      </w:r>
      <w:r w:rsidRPr="00776553">
        <w:rPr>
          <w:lang w:val="en-US"/>
        </w:rPr>
        <w:t xml:space="preserve"> = GARCH effect (persistence of past variance)</w:t>
      </w:r>
    </w:p>
    <w:p w14:paraId="6547DEA7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Estimated by Maximum Likelihood; error distribution selected from {Normal, Student-t, GED, Skewed-t} by AIC/BIC on in-sample data; the chosen distribution </w:t>
      </w:r>
      <w:r w:rsidRPr="00776553">
        <w:rPr>
          <w:lang w:val="en-US"/>
        </w:rPr>
        <w:lastRenderedPageBreak/>
        <w:t>is then held fixed across all subsequent specifications for the same metal to ensure fair comparison</w:t>
      </w:r>
    </w:p>
    <w:p w14:paraId="6547DEA8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Student-t is typically preferred for fat-tailed commodity returns</w:t>
      </w:r>
    </w:p>
    <w:p w14:paraId="6547DEA9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Stationarity (</w:t>
      </w:r>
      <w:r>
        <w:t>α</w:t>
      </w:r>
      <w:r w:rsidRPr="00776553">
        <w:rPr>
          <w:lang w:val="en-US"/>
        </w:rPr>
        <w:t xml:space="preserve"> + </w:t>
      </w:r>
      <w:r>
        <w:t>β</w:t>
      </w:r>
      <w:r w:rsidRPr="00776553">
        <w:rPr>
          <w:lang w:val="en-US"/>
        </w:rPr>
        <w:t xml:space="preserve"> &lt; 1) and positivity (</w:t>
      </w:r>
      <w:r>
        <w:t>ω</w:t>
      </w:r>
      <w:r w:rsidRPr="00776553">
        <w:rPr>
          <w:lang w:val="en-US"/>
        </w:rPr>
        <w:t xml:space="preserve"> &gt; 0, </w:t>
      </w:r>
      <w:r>
        <w:t>α</w:t>
      </w:r>
      <w:r w:rsidRPr="00776553">
        <w:rPr>
          <w:lang w:val="en-US"/>
        </w:rPr>
        <w:t xml:space="preserve"> ≥ 0, </w:t>
      </w:r>
      <w:r>
        <w:t>β</w:t>
      </w:r>
      <w:r w:rsidRPr="00776553">
        <w:rPr>
          <w:lang w:val="en-US"/>
        </w:rPr>
        <w:t xml:space="preserve"> ≥ 0) verified post-estimation; if </w:t>
      </w:r>
      <w:r>
        <w:t>α</w:t>
      </w:r>
      <w:r w:rsidRPr="00776553">
        <w:rPr>
          <w:lang w:val="en-US"/>
        </w:rPr>
        <w:t xml:space="preserve"> + </w:t>
      </w:r>
      <w:r>
        <w:t>β</w:t>
      </w:r>
      <w:r w:rsidRPr="00776553">
        <w:rPr>
          <w:lang w:val="en-US"/>
        </w:rPr>
        <w:t xml:space="preserve"> ≈ 1, consider IGARCH</w:t>
      </w:r>
    </w:p>
    <w:p w14:paraId="6547DEAA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Establishes the standard-volatility-dynamics benchmark that the sentiment-augmented models must outperform. If EGARCH-X cannot beat this, the sentiment hypothesis fails on its own terms</w:t>
      </w:r>
    </w:p>
    <w:p w14:paraId="6547DEAB" w14:textId="77777777" w:rsidR="00E10EF9" w:rsidRPr="00776553" w:rsidRDefault="00E10EF9">
      <w:pPr>
        <w:rPr>
          <w:lang w:val="en-US"/>
        </w:rPr>
      </w:pPr>
    </w:p>
    <w:p w14:paraId="6547DEAC" w14:textId="77777777" w:rsidR="00E10EF9" w:rsidRPr="00776553" w:rsidRDefault="00000000">
      <w:pPr>
        <w:pStyle w:val="Ttulo3"/>
        <w:rPr>
          <w:lang w:val="en-US"/>
        </w:rPr>
      </w:pPr>
      <w:r w:rsidRPr="00776553">
        <w:rPr>
          <w:lang w:val="en-US"/>
        </w:rPr>
        <w:t xml:space="preserve">3.4.3 </w:t>
      </w:r>
      <w:proofErr w:type="gramStart"/>
      <w:r w:rsidRPr="00776553">
        <w:rPr>
          <w:lang w:val="en-US"/>
        </w:rPr>
        <w:t>EGARCH(</w:t>
      </w:r>
      <w:proofErr w:type="gramEnd"/>
      <w:r w:rsidRPr="00776553">
        <w:rPr>
          <w:lang w:val="en-US"/>
        </w:rPr>
        <w:t>1,1)-X — Main Specification</w:t>
      </w:r>
    </w:p>
    <w:p w14:paraId="6547DEAD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 xml:space="preserve">Sentiment-augmented </w:t>
      </w:r>
      <w:proofErr w:type="gramStart"/>
      <w:r w:rsidRPr="00776553">
        <w:rPr>
          <w:lang w:val="en-US"/>
        </w:rPr>
        <w:t>EGARCH(</w:t>
      </w:r>
      <w:proofErr w:type="gramEnd"/>
      <w:r w:rsidRPr="00776553">
        <w:rPr>
          <w:lang w:val="en-US"/>
        </w:rPr>
        <w:t>1,1)-X:</w:t>
      </w:r>
    </w:p>
    <w:p w14:paraId="6547DEAE" w14:textId="77777777" w:rsidR="00E10EF9" w:rsidRPr="00776553" w:rsidRDefault="00000000">
      <w:pPr>
        <w:rPr>
          <w:lang w:val="en-US"/>
        </w:rPr>
      </w:pP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    ln(</w:t>
      </w:r>
      <w:r>
        <w:rPr>
          <w:rFonts w:ascii="Courier New" w:eastAsia="Courier New" w:hAnsi="Courier New" w:cs="Courier New"/>
          <w:sz w:val="22"/>
          <w:szCs w:val="22"/>
        </w:rPr>
        <w:t>σ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²ₜ) = </w:t>
      </w:r>
      <w:r>
        <w:rPr>
          <w:rFonts w:ascii="Courier New" w:eastAsia="Courier New" w:hAnsi="Courier New" w:cs="Courier New"/>
          <w:sz w:val="22"/>
          <w:szCs w:val="22"/>
        </w:rPr>
        <w:t>ω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 +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α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[</w:t>
      </w:r>
      <w:proofErr w:type="gramEnd"/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|zₜ₋₁| − </w:t>
      </w:r>
      <w:proofErr w:type="spellStart"/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E|z</w:t>
      </w:r>
      <w:proofErr w:type="spellEnd"/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ₜ₋₁|] + </w:t>
      </w:r>
      <w:r>
        <w:rPr>
          <w:rFonts w:ascii="Courier New" w:eastAsia="Courier New" w:hAnsi="Courier New" w:cs="Courier New"/>
          <w:sz w:val="22"/>
          <w:szCs w:val="22"/>
        </w:rPr>
        <w:t>ξ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·zₜ₋₁ + </w:t>
      </w:r>
      <w:r>
        <w:rPr>
          <w:rFonts w:ascii="Courier New" w:eastAsia="Courier New" w:hAnsi="Courier New" w:cs="Courier New"/>
          <w:sz w:val="22"/>
          <w:szCs w:val="22"/>
        </w:rPr>
        <w:t>β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·ln(</w:t>
      </w:r>
      <w:r>
        <w:rPr>
          <w:rFonts w:ascii="Courier New" w:eastAsia="Courier New" w:hAnsi="Courier New" w:cs="Courier New"/>
          <w:sz w:val="22"/>
          <w:szCs w:val="22"/>
        </w:rPr>
        <w:t>σ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²ₜ₋₁) + </w:t>
      </w:r>
      <w:r>
        <w:rPr>
          <w:rFonts w:ascii="Courier New" w:eastAsia="Courier New" w:hAnsi="Courier New" w:cs="Courier New"/>
          <w:sz w:val="22"/>
          <w:szCs w:val="22"/>
        </w:rPr>
        <w:t>γ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₁·</w:t>
      </w:r>
      <w:proofErr w:type="gramStart"/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Toneₘ,ₜ₋</w:t>
      </w:r>
      <w:proofErr w:type="gramEnd"/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₁ + </w:t>
      </w:r>
      <w:r>
        <w:rPr>
          <w:rFonts w:ascii="Courier New" w:eastAsia="Courier New" w:hAnsi="Courier New" w:cs="Courier New"/>
          <w:sz w:val="22"/>
          <w:szCs w:val="22"/>
        </w:rPr>
        <w:t>γ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₂·</w:t>
      </w:r>
      <w:proofErr w:type="gramStart"/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Volumeₘ,ₜ₋</w:t>
      </w:r>
      <w:proofErr w:type="gramEnd"/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₁</w:t>
      </w:r>
    </w:p>
    <w:p w14:paraId="6547DEAF" w14:textId="77777777" w:rsidR="00E10EF9" w:rsidRPr="00776553" w:rsidRDefault="00E10EF9">
      <w:pPr>
        <w:rPr>
          <w:lang w:val="en-US"/>
        </w:rPr>
      </w:pPr>
    </w:p>
    <w:p w14:paraId="6547DEB0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 xml:space="preserve">where zₜ = </w:t>
      </w:r>
      <w:r>
        <w:t>ε</w:t>
      </w:r>
      <w:r w:rsidRPr="00776553">
        <w:rPr>
          <w:lang w:val="en-US"/>
        </w:rPr>
        <w:t>ₜ/</w:t>
      </w:r>
      <w:r>
        <w:t>σ</w:t>
      </w:r>
      <w:r w:rsidRPr="00776553">
        <w:rPr>
          <w:lang w:val="en-US"/>
        </w:rPr>
        <w:t xml:space="preserve">ₜ is the </w:t>
      </w:r>
      <w:proofErr w:type="spellStart"/>
      <w:r w:rsidRPr="00776553">
        <w:rPr>
          <w:lang w:val="en-US"/>
        </w:rPr>
        <w:t>standardised</w:t>
      </w:r>
      <w:proofErr w:type="spellEnd"/>
      <w:r w:rsidRPr="00776553">
        <w:rPr>
          <w:lang w:val="en-US"/>
        </w:rPr>
        <w:t xml:space="preserve"> residual.</w:t>
      </w:r>
    </w:p>
    <w:p w14:paraId="6547DEB1" w14:textId="77777777" w:rsidR="00E10EF9" w:rsidRPr="00776553" w:rsidRDefault="00E10EF9">
      <w:pPr>
        <w:rPr>
          <w:lang w:val="en-US"/>
        </w:rPr>
      </w:pPr>
    </w:p>
    <w:p w14:paraId="6547DEB2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Modelling log-variance removes positivity constraints, allowing </w:t>
      </w:r>
      <w:proofErr w:type="spellStart"/>
      <w:r w:rsidRPr="00776553">
        <w:rPr>
          <w:lang w:val="en-US"/>
        </w:rPr>
        <w:t>standardised</w:t>
      </w:r>
      <w:proofErr w:type="spellEnd"/>
      <w:r w:rsidRPr="00776553">
        <w:rPr>
          <w:lang w:val="en-US"/>
        </w:rPr>
        <w:t xml:space="preserve"> signed tone to enter directly — this is the central methodological reason for using EGARCH rather than standard GARCH-X for the main specification</w:t>
      </w:r>
    </w:p>
    <w:p w14:paraId="6547DEB3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>
        <w:t>ξ</w:t>
      </w:r>
      <w:r w:rsidRPr="00776553">
        <w:rPr>
          <w:lang w:val="en-US"/>
        </w:rPr>
        <w:t xml:space="preserve"> &lt; 0 confirms the leverage effect from returns (negative return shocks raise volatility more than positive shocks of equal magnitude)</w:t>
      </w:r>
    </w:p>
    <w:p w14:paraId="6547DEB4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>
        <w:t>γ</w:t>
      </w:r>
      <w:r w:rsidRPr="00776553">
        <w:rPr>
          <w:lang w:val="en-US"/>
        </w:rPr>
        <w:t xml:space="preserve">₁ is the primary parameter for the direction-of-news channel; H₀: </w:t>
      </w:r>
      <w:r>
        <w:t>γ</w:t>
      </w:r>
      <w:r w:rsidRPr="00776553">
        <w:rPr>
          <w:lang w:val="en-US"/>
        </w:rPr>
        <w:t>₁ = 0 tested via t-test and Wald test</w:t>
      </w:r>
    </w:p>
    <w:p w14:paraId="6547DEB5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>
        <w:t>γ</w:t>
      </w:r>
      <w:r w:rsidRPr="00776553">
        <w:rPr>
          <w:lang w:val="en-US"/>
        </w:rPr>
        <w:t>₁ &lt; 0 (expected): negative tone raises forecasted log-variance</w:t>
      </w:r>
    </w:p>
    <w:p w14:paraId="6547DEB6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>
        <w:t>γ</w:t>
      </w:r>
      <w:r w:rsidRPr="00776553">
        <w:rPr>
          <w:lang w:val="en-US"/>
        </w:rPr>
        <w:t>₁ &gt; 0 would suggest positive news drives trading activity that raises volatility (less common but documented in some commodity studies)</w:t>
      </w:r>
    </w:p>
    <w:p w14:paraId="6547DEB7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>
        <w:t>γ</w:t>
      </w:r>
      <w:r w:rsidRPr="00776553">
        <w:rPr>
          <w:lang w:val="en-US"/>
        </w:rPr>
        <w:t xml:space="preserve">₂ captures the news-flow / attention channel; H₀: </w:t>
      </w:r>
      <w:r>
        <w:t>γ</w:t>
      </w:r>
      <w:r w:rsidRPr="00776553">
        <w:rPr>
          <w:lang w:val="en-US"/>
        </w:rPr>
        <w:t xml:space="preserve">₂ = 0 tested separately. </w:t>
      </w:r>
      <w:r>
        <w:t>γ</w:t>
      </w:r>
      <w:r w:rsidRPr="00776553">
        <w:rPr>
          <w:lang w:val="en-US"/>
        </w:rPr>
        <w:t>₂ &gt; 0 expected: high news volume raises volatility regardless of direction</w:t>
      </w:r>
    </w:p>
    <w:p w14:paraId="6547DEB8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Joint test H₀: </w:t>
      </w:r>
      <w:r>
        <w:t>γ</w:t>
      </w:r>
      <w:r w:rsidRPr="00776553">
        <w:rPr>
          <w:lang w:val="en-US"/>
        </w:rPr>
        <w:t xml:space="preserve">₁ = </w:t>
      </w:r>
      <w:r>
        <w:t>γ</w:t>
      </w:r>
      <w:r w:rsidRPr="00776553">
        <w:rPr>
          <w:lang w:val="en-US"/>
        </w:rPr>
        <w:t>₂ = 0 (Wald) addresses the omnibus question of whether news content improves the conditional variance equation</w:t>
      </w:r>
    </w:p>
    <w:p w14:paraId="6547DEB9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MLE convergence is more demanding than standard EGARCH; multiple starting values and both BFGS and Nelder-Mead </w:t>
      </w:r>
      <w:proofErr w:type="spellStart"/>
      <w:r w:rsidRPr="00776553">
        <w:rPr>
          <w:lang w:val="en-US"/>
        </w:rPr>
        <w:t>optimisers</w:t>
      </w:r>
      <w:proofErr w:type="spellEnd"/>
      <w:r w:rsidRPr="00776553">
        <w:rPr>
          <w:lang w:val="en-US"/>
        </w:rPr>
        <w:t xml:space="preserve"> are used</w:t>
      </w:r>
    </w:p>
    <w:p w14:paraId="6547DEBA" w14:textId="77777777" w:rsidR="00E10EF9" w:rsidRPr="00776553" w:rsidRDefault="00E10EF9">
      <w:pPr>
        <w:rPr>
          <w:lang w:val="en-US"/>
        </w:rPr>
      </w:pPr>
    </w:p>
    <w:p w14:paraId="6547DEBB" w14:textId="77777777" w:rsidR="00E10EF9" w:rsidRPr="00776553" w:rsidRDefault="00000000">
      <w:pPr>
        <w:pStyle w:val="Ttulo3"/>
        <w:rPr>
          <w:lang w:val="en-US"/>
        </w:rPr>
      </w:pPr>
      <w:r w:rsidRPr="00776553">
        <w:rPr>
          <w:lang w:val="en-US"/>
        </w:rPr>
        <w:t>3.4.4 GJR-</w:t>
      </w:r>
      <w:proofErr w:type="gramStart"/>
      <w:r w:rsidRPr="00776553">
        <w:rPr>
          <w:lang w:val="en-US"/>
        </w:rPr>
        <w:t>GARCH(</w:t>
      </w:r>
      <w:proofErr w:type="gramEnd"/>
      <w:r w:rsidRPr="00776553">
        <w:rPr>
          <w:lang w:val="en-US"/>
        </w:rPr>
        <w:t>1,1)-X — Asymmetry Test</w:t>
      </w:r>
    </w:p>
    <w:p w14:paraId="6547DEBC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>Sentiment-augmented GJR-</w:t>
      </w:r>
      <w:proofErr w:type="gramStart"/>
      <w:r w:rsidRPr="00776553">
        <w:rPr>
          <w:lang w:val="en-US"/>
        </w:rPr>
        <w:t>GARCH(</w:t>
      </w:r>
      <w:proofErr w:type="gramEnd"/>
      <w:r w:rsidRPr="00776553">
        <w:rPr>
          <w:lang w:val="en-US"/>
        </w:rPr>
        <w:t>1,1)-X:</w:t>
      </w:r>
    </w:p>
    <w:p w14:paraId="6547DEBD" w14:textId="77777777" w:rsidR="00E10EF9" w:rsidRPr="00776553" w:rsidRDefault="00000000">
      <w:pPr>
        <w:rPr>
          <w:lang w:val="en-US"/>
        </w:rPr>
      </w:pP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σ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²ₜ = </w:t>
      </w:r>
      <w:r>
        <w:rPr>
          <w:rFonts w:ascii="Courier New" w:eastAsia="Courier New" w:hAnsi="Courier New" w:cs="Courier New"/>
          <w:sz w:val="22"/>
          <w:szCs w:val="22"/>
        </w:rPr>
        <w:t>ω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 + </w:t>
      </w:r>
      <w:r>
        <w:rPr>
          <w:rFonts w:ascii="Courier New" w:eastAsia="Courier New" w:hAnsi="Courier New" w:cs="Courier New"/>
          <w:sz w:val="22"/>
          <w:szCs w:val="22"/>
        </w:rPr>
        <w:t>α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·</w:t>
      </w:r>
      <w:r>
        <w:rPr>
          <w:rFonts w:ascii="Courier New" w:eastAsia="Courier New" w:hAnsi="Courier New" w:cs="Courier New"/>
          <w:sz w:val="22"/>
          <w:szCs w:val="22"/>
        </w:rPr>
        <w:t>ε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²ₜ₋₁ + </w:t>
      </w:r>
      <w:r>
        <w:rPr>
          <w:rFonts w:ascii="Courier New" w:eastAsia="Courier New" w:hAnsi="Courier New" w:cs="Courier New"/>
          <w:sz w:val="22"/>
          <w:szCs w:val="22"/>
        </w:rPr>
        <w:t>ξ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·</w:t>
      </w:r>
      <w:r>
        <w:rPr>
          <w:rFonts w:ascii="Courier New" w:eastAsia="Courier New" w:hAnsi="Courier New" w:cs="Courier New"/>
          <w:sz w:val="22"/>
          <w:szCs w:val="22"/>
        </w:rPr>
        <w:t>ε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²ₜ₋₁·Iₜ₋₁ + </w:t>
      </w:r>
      <w:r>
        <w:rPr>
          <w:rFonts w:ascii="Courier New" w:eastAsia="Courier New" w:hAnsi="Courier New" w:cs="Courier New"/>
          <w:sz w:val="22"/>
          <w:szCs w:val="22"/>
        </w:rPr>
        <w:t>β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·</w:t>
      </w:r>
      <w:r>
        <w:rPr>
          <w:rFonts w:ascii="Courier New" w:eastAsia="Courier New" w:hAnsi="Courier New" w:cs="Courier New"/>
          <w:sz w:val="22"/>
          <w:szCs w:val="22"/>
        </w:rPr>
        <w:t>σ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²ₜ₋₁ + </w:t>
      </w:r>
      <w:r>
        <w:rPr>
          <w:rFonts w:ascii="Courier New" w:eastAsia="Courier New" w:hAnsi="Courier New" w:cs="Courier New"/>
          <w:sz w:val="22"/>
          <w:szCs w:val="22"/>
        </w:rPr>
        <w:t>δ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₁·</w:t>
      </w:r>
      <w:proofErr w:type="gramStart"/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Polarityₘ,ₜ₋</w:t>
      </w:r>
      <w:proofErr w:type="gramEnd"/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 xml:space="preserve">₁ + </w:t>
      </w:r>
      <w:r>
        <w:rPr>
          <w:rFonts w:ascii="Courier New" w:eastAsia="Courier New" w:hAnsi="Courier New" w:cs="Courier New"/>
          <w:sz w:val="22"/>
          <w:szCs w:val="22"/>
        </w:rPr>
        <w:t>δ</w:t>
      </w:r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₂·</w:t>
      </w:r>
      <w:proofErr w:type="spellStart"/>
      <w:proofErr w:type="gramStart"/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NegTone</w:t>
      </w:r>
      <w:proofErr w:type="spellEnd"/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ₘ,ₜ₋</w:t>
      </w:r>
      <w:proofErr w:type="gramEnd"/>
      <w:r w:rsidRPr="00776553">
        <w:rPr>
          <w:rFonts w:ascii="Courier New" w:eastAsia="Courier New" w:hAnsi="Courier New" w:cs="Courier New"/>
          <w:sz w:val="22"/>
          <w:szCs w:val="22"/>
          <w:lang w:val="en-US"/>
        </w:rPr>
        <w:t>₁</w:t>
      </w:r>
    </w:p>
    <w:p w14:paraId="6547DEBE" w14:textId="77777777" w:rsidR="00E10EF9" w:rsidRPr="00776553" w:rsidRDefault="00E10EF9">
      <w:pPr>
        <w:rPr>
          <w:lang w:val="en-US"/>
        </w:rPr>
      </w:pPr>
    </w:p>
    <w:p w14:paraId="6547DEBF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 xml:space="preserve">where Iₜ₋₁ = 1 if </w:t>
      </w:r>
      <w:r>
        <w:t>ε</w:t>
      </w:r>
      <w:r w:rsidRPr="00776553">
        <w:rPr>
          <w:lang w:val="en-US"/>
        </w:rPr>
        <w:t xml:space="preserve">ₜ₋₁ &lt; 0, 0 otherwise. Both Polarity and </w:t>
      </w:r>
      <w:proofErr w:type="spellStart"/>
      <w:r w:rsidRPr="00776553">
        <w:rPr>
          <w:lang w:val="en-US"/>
        </w:rPr>
        <w:t>NegTone</w:t>
      </w:r>
      <w:proofErr w:type="spellEnd"/>
      <w:r w:rsidRPr="00776553">
        <w:rPr>
          <w:lang w:val="en-US"/>
        </w:rPr>
        <w:t xml:space="preserve"> are non-negative by construction, so the standard GARCH positivity logic is preserved and no transformation is required.</w:t>
      </w:r>
    </w:p>
    <w:p w14:paraId="6547DEC0" w14:textId="77777777" w:rsidR="00E10EF9" w:rsidRPr="00776553" w:rsidRDefault="00E10EF9">
      <w:pPr>
        <w:rPr>
          <w:lang w:val="en-US"/>
        </w:rPr>
      </w:pPr>
    </w:p>
    <w:p w14:paraId="6547DEC1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>
        <w:lastRenderedPageBreak/>
        <w:t>ξ</w:t>
      </w:r>
      <w:r w:rsidRPr="00776553">
        <w:rPr>
          <w:lang w:val="en-US"/>
        </w:rPr>
        <w:t xml:space="preserve"> &gt; 0 confirms the return-sign leverage effect; formally tested with the Engle-Ng (1993) Sign Bias Test, which also justifies choosing GJR over standard GARCH</w:t>
      </w:r>
    </w:p>
    <w:p w14:paraId="6547DEC2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The </w:t>
      </w:r>
      <w:r>
        <w:t>δ</w:t>
      </w:r>
      <w:r w:rsidRPr="00776553">
        <w:rPr>
          <w:lang w:val="en-US"/>
        </w:rPr>
        <w:t xml:space="preserve">₁ vs </w:t>
      </w:r>
      <w:r>
        <w:t>δ</w:t>
      </w:r>
      <w:r w:rsidRPr="00776553">
        <w:rPr>
          <w:lang w:val="en-US"/>
        </w:rPr>
        <w:t>₂ comparison is the sentiment-asymmetry test:</w:t>
      </w:r>
    </w:p>
    <w:p w14:paraId="6547DEC3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>
        <w:t>δ</w:t>
      </w:r>
      <w:r w:rsidRPr="00776553">
        <w:rPr>
          <w:lang w:val="en-US"/>
        </w:rPr>
        <w:t>₁ &gt; 0: overall news intensity raises volatility, regardless of direction</w:t>
      </w:r>
    </w:p>
    <w:p w14:paraId="6547DEC4" w14:textId="77777777" w:rsidR="00E10EF9" w:rsidRPr="00776553" w:rsidRDefault="00000000">
      <w:pPr>
        <w:pStyle w:val="Prrafodelista"/>
        <w:numPr>
          <w:ilvl w:val="1"/>
          <w:numId w:val="2"/>
        </w:numPr>
        <w:rPr>
          <w:lang w:val="en-US"/>
        </w:rPr>
      </w:pPr>
      <w:r>
        <w:t>δ</w:t>
      </w:r>
      <w:r w:rsidRPr="00776553">
        <w:rPr>
          <w:lang w:val="en-US"/>
        </w:rPr>
        <w:t xml:space="preserve">₂ &gt; 0 and </w:t>
      </w:r>
      <w:r>
        <w:t>δ</w:t>
      </w:r>
      <w:r w:rsidRPr="00776553">
        <w:rPr>
          <w:lang w:val="en-US"/>
        </w:rPr>
        <w:t xml:space="preserve">₂ significantly larger than </w:t>
      </w:r>
      <w:r>
        <w:t>δ</w:t>
      </w:r>
      <w:r w:rsidRPr="00776553">
        <w:rPr>
          <w:lang w:val="en-US"/>
        </w:rPr>
        <w:t>₁: negative news raises volatility above and beyond what overall news flow predicts — direct evidence of negativity asymmetry in the news channel</w:t>
      </w:r>
    </w:p>
    <w:p w14:paraId="6547DEC5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A Wald test of H₀: </w:t>
      </w:r>
      <w:r>
        <w:t>δ</w:t>
      </w:r>
      <w:r w:rsidRPr="00776553">
        <w:rPr>
          <w:lang w:val="en-US"/>
        </w:rPr>
        <w:t xml:space="preserve">₁ = </w:t>
      </w:r>
      <w:r>
        <w:t>δ</w:t>
      </w:r>
      <w:r w:rsidRPr="00776553">
        <w:rPr>
          <w:lang w:val="en-US"/>
        </w:rPr>
        <w:t>₂ formally evaluates the asymmetry claim</w:t>
      </w:r>
    </w:p>
    <w:p w14:paraId="6547DEC6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Polarity and </w:t>
      </w:r>
      <w:proofErr w:type="spellStart"/>
      <w:r w:rsidRPr="00776553">
        <w:rPr>
          <w:lang w:val="en-US"/>
        </w:rPr>
        <w:t>NegTone</w:t>
      </w:r>
      <w:proofErr w:type="spellEnd"/>
      <w:r w:rsidRPr="00776553">
        <w:rPr>
          <w:lang w:val="en-US"/>
        </w:rPr>
        <w:t xml:space="preserve"> are positively correlated by construction (</w:t>
      </w:r>
      <w:proofErr w:type="spellStart"/>
      <w:r w:rsidRPr="00776553">
        <w:rPr>
          <w:lang w:val="en-US"/>
        </w:rPr>
        <w:t>NegTone</w:t>
      </w:r>
      <w:proofErr w:type="spellEnd"/>
      <w:r w:rsidRPr="00776553">
        <w:rPr>
          <w:lang w:val="en-US"/>
        </w:rPr>
        <w:t xml:space="preserve"> </w:t>
      </w:r>
      <w:proofErr w:type="gramStart"/>
      <w:r w:rsidRPr="00776553">
        <w:rPr>
          <w:lang w:val="en-US"/>
        </w:rPr>
        <w:t>is</w:t>
      </w:r>
      <w:proofErr w:type="gramEnd"/>
      <w:r w:rsidRPr="00776553">
        <w:rPr>
          <w:lang w:val="en-US"/>
        </w:rPr>
        <w:t xml:space="preserve"> one component of Polarity), so VIF is reported alongside the coefficients and a robustness specification with </w:t>
      </w:r>
      <w:proofErr w:type="spellStart"/>
      <w:r w:rsidRPr="00776553">
        <w:rPr>
          <w:lang w:val="en-US"/>
        </w:rPr>
        <w:t>PosTone</w:t>
      </w:r>
      <w:proofErr w:type="spellEnd"/>
      <w:r w:rsidRPr="00776553">
        <w:rPr>
          <w:lang w:val="en-US"/>
        </w:rPr>
        <w:t xml:space="preserve"> and </w:t>
      </w:r>
      <w:proofErr w:type="spellStart"/>
      <w:r w:rsidRPr="00776553">
        <w:rPr>
          <w:lang w:val="en-US"/>
        </w:rPr>
        <w:t>NegTone</w:t>
      </w:r>
      <w:proofErr w:type="spellEnd"/>
      <w:r w:rsidRPr="00776553">
        <w:rPr>
          <w:lang w:val="en-US"/>
        </w:rPr>
        <w:t xml:space="preserve"> entered separately is run</w:t>
      </w:r>
    </w:p>
    <w:p w14:paraId="6547DEC7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This specification answers a distinct question from EGARCH-X: not “does signed tone matter?” but “does the negative component of news matter more than the rest, on top of the return-sign asymmetry already captured by </w:t>
      </w:r>
      <w:r>
        <w:t>ξ</w:t>
      </w:r>
      <w:r w:rsidRPr="00776553">
        <w:rPr>
          <w:lang w:val="en-US"/>
        </w:rPr>
        <w:t>?”</w:t>
      </w:r>
    </w:p>
    <w:p w14:paraId="6547DEC8" w14:textId="77777777" w:rsidR="00E10EF9" w:rsidRPr="00776553" w:rsidRDefault="00E10EF9">
      <w:pPr>
        <w:rPr>
          <w:lang w:val="en-US"/>
        </w:rPr>
      </w:pPr>
    </w:p>
    <w:p w14:paraId="6547DEC9" w14:textId="77777777" w:rsidR="00E10EF9" w:rsidRPr="00776553" w:rsidRDefault="00000000">
      <w:pPr>
        <w:pStyle w:val="Ttulo2"/>
        <w:rPr>
          <w:lang w:val="en-US"/>
        </w:rPr>
      </w:pPr>
      <w:r w:rsidRPr="00776553">
        <w:rPr>
          <w:lang w:val="en-US"/>
        </w:rPr>
        <w:t>3.5 Forecasting Setup</w:t>
      </w:r>
    </w:p>
    <w:p w14:paraId="6547DECA" w14:textId="77777777" w:rsidR="00E10EF9" w:rsidRPr="00776553" w:rsidRDefault="00000000">
      <w:pPr>
        <w:pStyle w:val="Ttulo3"/>
        <w:rPr>
          <w:lang w:val="en-US"/>
        </w:rPr>
      </w:pPr>
      <w:r w:rsidRPr="00776553">
        <w:rPr>
          <w:lang w:val="en-US"/>
        </w:rPr>
        <w:t>3.5.1 In-Sample and Out-of-Sample Design</w:t>
      </w:r>
    </w:p>
    <w:p w14:paraId="6547DECB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Baseline train/test split: 75–80% in-sample, 20–25% out-of-sample</w:t>
      </w:r>
    </w:p>
    <w:p w14:paraId="6547DECC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Two re-estimation schemes compared:</w:t>
      </w:r>
    </w:p>
    <w:p w14:paraId="6547DECD" w14:textId="77777777" w:rsidR="00E10EF9" w:rsidRPr="00776553" w:rsidRDefault="00E10EF9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10EF9" w14:paraId="6547DE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CE" w14:textId="77777777" w:rsidR="00E10EF9" w:rsidRDefault="00000000">
            <w:r>
              <w:rPr>
                <w:b/>
                <w:bCs/>
                <w:sz w:val="22"/>
                <w:szCs w:val="22"/>
              </w:rPr>
              <w:t>Scheme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CF" w14:textId="77777777" w:rsidR="00E10EF9" w:rsidRDefault="00000000"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E10EF9" w:rsidRPr="00776553" w14:paraId="6547DED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D1" w14:textId="77777777" w:rsidR="00E10EF9" w:rsidRDefault="00000000">
            <w:r>
              <w:rPr>
                <w:sz w:val="22"/>
                <w:szCs w:val="22"/>
              </w:rPr>
              <w:t xml:space="preserve">Expanding </w:t>
            </w:r>
            <w:proofErr w:type="spellStart"/>
            <w:r>
              <w:rPr>
                <w:sz w:val="22"/>
                <w:szCs w:val="22"/>
              </w:rPr>
              <w:t>window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D2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All data up to t used to estimate; forecast t+1 — standard in the literature</w:t>
            </w:r>
          </w:p>
        </w:tc>
      </w:tr>
      <w:tr w:rsidR="00E10EF9" w:rsidRPr="00776553" w14:paraId="6547DE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D4" w14:textId="77777777" w:rsidR="00E10EF9" w:rsidRDefault="00000000">
            <w:r>
              <w:rPr>
                <w:sz w:val="22"/>
                <w:szCs w:val="22"/>
              </w:rPr>
              <w:t xml:space="preserve">Rolling </w:t>
            </w:r>
            <w:proofErr w:type="spellStart"/>
            <w:r>
              <w:rPr>
                <w:sz w:val="22"/>
                <w:szCs w:val="22"/>
              </w:rPr>
              <w:t>window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D5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Fixed-size window slides forward — allows for parameter instability</w:t>
            </w:r>
          </w:p>
        </w:tc>
      </w:tr>
    </w:tbl>
    <w:p w14:paraId="6547DED7" w14:textId="77777777" w:rsidR="00E10EF9" w:rsidRPr="00776553" w:rsidRDefault="00E10EF9">
      <w:pPr>
        <w:rPr>
          <w:lang w:val="en-US"/>
        </w:rPr>
      </w:pPr>
    </w:p>
    <w:p w14:paraId="6547DED8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Expanding window is the baseline; rolling window (with window sizes of 1, 2, and 3 years) is used as a robustness check</w:t>
      </w:r>
    </w:p>
    <w:p w14:paraId="6547DED9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Alternative splits (60/40, 75/25, 80/20) are also tested as robustness checks to confirm qualitative consistency of results</w:t>
      </w:r>
    </w:p>
    <w:p w14:paraId="6547DEDA" w14:textId="77777777" w:rsidR="00E10EF9" w:rsidRPr="00776553" w:rsidRDefault="00E10EF9">
      <w:pPr>
        <w:rPr>
          <w:lang w:val="en-US"/>
        </w:rPr>
      </w:pPr>
    </w:p>
    <w:p w14:paraId="6547DEDB" w14:textId="77777777" w:rsidR="00E10EF9" w:rsidRDefault="00000000">
      <w:pPr>
        <w:pStyle w:val="Ttulo3"/>
      </w:pPr>
      <w:r>
        <w:t>3.5.2 Forecast Horizons</w:t>
      </w:r>
    </w:p>
    <w:p w14:paraId="6547DEDC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h = 1 (one-step-ahead): primary horizon — cleanest identification, most common in the literature, lowest noise in forecast evaluation</w:t>
      </w:r>
    </w:p>
    <w:p w14:paraId="6547DEDD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h = 5 or h = 22 (weekly or monthly horizon): relevant for risk management applications; added as an extension</w:t>
      </w:r>
    </w:p>
    <w:p w14:paraId="6547DEDE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Multi-step forecasts use iterative (direct recursive) methods; forecast uncertainty compounds at longer horizons and must be discussed</w:t>
      </w:r>
    </w:p>
    <w:p w14:paraId="6547DEDF" w14:textId="77777777" w:rsidR="00E10EF9" w:rsidRPr="00776553" w:rsidRDefault="00E10EF9">
      <w:pPr>
        <w:rPr>
          <w:lang w:val="en-US"/>
        </w:rPr>
      </w:pPr>
    </w:p>
    <w:p w14:paraId="6547DEE0" w14:textId="77777777" w:rsidR="00E10EF9" w:rsidRDefault="00000000">
      <w:pPr>
        <w:pStyle w:val="Ttulo3"/>
      </w:pPr>
      <w:r>
        <w:t xml:space="preserve">3.5.3 </w:t>
      </w:r>
      <w:proofErr w:type="spellStart"/>
      <w:r>
        <w:t>Estimation</w:t>
      </w:r>
      <w:proofErr w:type="spellEnd"/>
      <w:r>
        <w:t xml:space="preserve"> </w:t>
      </w:r>
      <w:proofErr w:type="spellStart"/>
      <w:r>
        <w:t>Procedure</w:t>
      </w:r>
      <w:proofErr w:type="spellEnd"/>
    </w:p>
    <w:p w14:paraId="6547DEE1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All GARCH-family models estimated by Maximum Likelihood (MLE)</w:t>
      </w:r>
    </w:p>
    <w:p w14:paraId="6547DEE2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lastRenderedPageBreak/>
        <w:t>Error distribution is selected by comparing Normal, Student-t, GED, and Skewed-t using AIC and BIC across in-sample data; the selected distribution is then held fixed throughout the out-of-sample exercise</w:t>
      </w:r>
    </w:p>
    <w:p w14:paraId="6547DEE3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MLE convergence is monitored; multiple starting values are tested and both BFGS and Nelder-Mead </w:t>
      </w:r>
      <w:proofErr w:type="spellStart"/>
      <w:r w:rsidRPr="00776553">
        <w:rPr>
          <w:lang w:val="en-US"/>
        </w:rPr>
        <w:t>optimisers</w:t>
      </w:r>
      <w:proofErr w:type="spellEnd"/>
      <w:r w:rsidRPr="00776553">
        <w:rPr>
          <w:lang w:val="en-US"/>
        </w:rPr>
        <w:t xml:space="preserve"> are used where convergence is problematic</w:t>
      </w:r>
    </w:p>
    <w:p w14:paraId="6547DEE4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Parameters are checked post-estimation for constraint satisfaction (positivity, stationarity)</w:t>
      </w:r>
    </w:p>
    <w:p w14:paraId="6547DEE5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In-sample model selection uses AIC and BIC; BIC applies a heavier penalty for extra parameters, making it the more demanding criterion for the GARCH-X specification</w:t>
      </w:r>
    </w:p>
    <w:p w14:paraId="6547DEE6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A Granger causality test between squared returns and sentiment is run prior to model estimation as a diagnostic — if sentiment does not Granger-cause squared returns in-sample, this </w:t>
      </w:r>
      <w:proofErr w:type="spellStart"/>
      <w:r w:rsidRPr="00776553">
        <w:rPr>
          <w:lang w:val="en-US"/>
        </w:rPr>
        <w:t>contextualises</w:t>
      </w:r>
      <w:proofErr w:type="spellEnd"/>
      <w:r w:rsidRPr="00776553">
        <w:rPr>
          <w:lang w:val="en-US"/>
        </w:rPr>
        <w:t xml:space="preserve"> the out-of-sample results without invalidating the exercise</w:t>
      </w:r>
    </w:p>
    <w:p w14:paraId="6547DEE7" w14:textId="77777777" w:rsidR="00E10EF9" w:rsidRPr="00776553" w:rsidRDefault="00E10EF9">
      <w:pPr>
        <w:rPr>
          <w:lang w:val="en-US"/>
        </w:rPr>
      </w:pPr>
    </w:p>
    <w:p w14:paraId="6547DEE8" w14:textId="77777777" w:rsidR="00E10EF9" w:rsidRPr="00776553" w:rsidRDefault="00000000">
      <w:pPr>
        <w:pStyle w:val="Ttulo2"/>
        <w:rPr>
          <w:lang w:val="en-US"/>
        </w:rPr>
      </w:pPr>
      <w:r w:rsidRPr="00776553">
        <w:rPr>
          <w:lang w:val="en-US"/>
        </w:rPr>
        <w:t>3.6 Forecast Evaluation</w:t>
      </w:r>
    </w:p>
    <w:p w14:paraId="6547DEE9" w14:textId="77777777" w:rsidR="00E10EF9" w:rsidRPr="00776553" w:rsidRDefault="00000000">
      <w:pPr>
        <w:pStyle w:val="Ttulo3"/>
        <w:rPr>
          <w:lang w:val="en-US"/>
        </w:rPr>
      </w:pPr>
      <w:r w:rsidRPr="00776553">
        <w:rPr>
          <w:lang w:val="en-US"/>
        </w:rPr>
        <w:t>3.6.1 Evaluation Metrics</w:t>
      </w:r>
    </w:p>
    <w:p w14:paraId="6547DEEA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 xml:space="preserve">Multiple loss functions are used simultaneously because they </w:t>
      </w:r>
      <w:proofErr w:type="spellStart"/>
      <w:r w:rsidRPr="00776553">
        <w:rPr>
          <w:lang w:val="en-US"/>
        </w:rPr>
        <w:t>penalise</w:t>
      </w:r>
      <w:proofErr w:type="spellEnd"/>
      <w:r w:rsidRPr="00776553">
        <w:rPr>
          <w:lang w:val="en-US"/>
        </w:rPr>
        <w:t xml:space="preserve"> different types of forecast errors:</w:t>
      </w:r>
    </w:p>
    <w:p w14:paraId="6547DEEB" w14:textId="77777777" w:rsidR="00E10EF9" w:rsidRPr="00776553" w:rsidRDefault="00E10EF9">
      <w:pPr>
        <w:rPr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000"/>
        <w:gridCol w:w="4800"/>
      </w:tblGrid>
      <w:tr w:rsidR="00E10EF9" w14:paraId="6547DEE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EC" w14:textId="77777777" w:rsidR="00E10EF9" w:rsidRDefault="00000000">
            <w:r>
              <w:rPr>
                <w:b/>
                <w:bCs/>
                <w:sz w:val="22"/>
                <w:szCs w:val="22"/>
              </w:rPr>
              <w:t xml:space="preserve">Loss </w:t>
            </w:r>
            <w:proofErr w:type="spellStart"/>
            <w:r>
              <w:rPr>
                <w:b/>
                <w:bCs/>
                <w:sz w:val="22"/>
                <w:szCs w:val="22"/>
              </w:rPr>
              <w:t>Function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ED" w14:textId="77777777" w:rsidR="00E10EF9" w:rsidRDefault="00000000">
            <w:r>
              <w:rPr>
                <w:b/>
                <w:bCs/>
                <w:sz w:val="22"/>
                <w:szCs w:val="22"/>
              </w:rPr>
              <w:t>Formula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EE" w14:textId="77777777" w:rsidR="00E10EF9" w:rsidRDefault="00000000">
            <w:r>
              <w:rPr>
                <w:b/>
                <w:bCs/>
                <w:sz w:val="22"/>
                <w:szCs w:val="22"/>
              </w:rPr>
              <w:t xml:space="preserve">Key </w:t>
            </w:r>
            <w:proofErr w:type="spellStart"/>
            <w:r>
              <w:rPr>
                <w:b/>
                <w:bCs/>
                <w:sz w:val="22"/>
                <w:szCs w:val="22"/>
              </w:rPr>
              <w:t>property</w:t>
            </w:r>
            <w:proofErr w:type="spellEnd"/>
          </w:p>
        </w:tc>
      </w:tr>
      <w:tr w:rsidR="00E10EF9" w:rsidRPr="00776553" w14:paraId="6547DEF3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F0" w14:textId="77777777" w:rsidR="00E10EF9" w:rsidRDefault="00000000">
            <w:r>
              <w:rPr>
                <w:sz w:val="22"/>
                <w:szCs w:val="22"/>
              </w:rPr>
              <w:t>MSE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F1" w14:textId="77777777" w:rsidR="00E10EF9" w:rsidRDefault="00000000">
            <w:proofErr w:type="spellStart"/>
            <w:proofErr w:type="gramStart"/>
            <w:r>
              <w:rPr>
                <w:sz w:val="22"/>
                <w:szCs w:val="22"/>
              </w:rPr>
              <w:t>mean</w:t>
            </w:r>
            <w:proofErr w:type="spellEnd"/>
            <w:r>
              <w:rPr>
                <w:sz w:val="22"/>
                <w:szCs w:val="22"/>
              </w:rPr>
              <w:t>[</w:t>
            </w:r>
            <w:proofErr w:type="gramEnd"/>
            <w:r>
              <w:rPr>
                <w:sz w:val="22"/>
                <w:szCs w:val="22"/>
              </w:rPr>
              <w:t>(σ̂²ₜ − σ</w:t>
            </w:r>
            <w:proofErr w:type="gramStart"/>
            <w:r>
              <w:rPr>
                <w:sz w:val="22"/>
                <w:szCs w:val="22"/>
              </w:rPr>
              <w:t>²ₜ)²</w:t>
            </w:r>
            <w:proofErr w:type="gramEnd"/>
            <w:r>
              <w:rPr>
                <w:sz w:val="22"/>
                <w:szCs w:val="22"/>
              </w:rPr>
              <w:t>]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F2" w14:textId="77777777" w:rsidR="00E10EF9" w:rsidRPr="00776553" w:rsidRDefault="00000000">
            <w:pPr>
              <w:rPr>
                <w:lang w:val="en-US"/>
              </w:rPr>
            </w:pPr>
            <w:proofErr w:type="spellStart"/>
            <w:r w:rsidRPr="00776553">
              <w:rPr>
                <w:sz w:val="22"/>
                <w:szCs w:val="22"/>
                <w:lang w:val="en-US"/>
              </w:rPr>
              <w:t>Penalises</w:t>
            </w:r>
            <w:proofErr w:type="spellEnd"/>
            <w:r w:rsidRPr="00776553">
              <w:rPr>
                <w:sz w:val="22"/>
                <w:szCs w:val="22"/>
                <w:lang w:val="en-US"/>
              </w:rPr>
              <w:t xml:space="preserve"> large errors heavily; sensitive to outliers</w:t>
            </w:r>
          </w:p>
        </w:tc>
      </w:tr>
      <w:tr w:rsidR="00E10EF9" w:rsidRPr="00776553" w14:paraId="6547DEF7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F4" w14:textId="77777777" w:rsidR="00E10EF9" w:rsidRDefault="00000000">
            <w:r>
              <w:rPr>
                <w:sz w:val="22"/>
                <w:szCs w:val="22"/>
              </w:rPr>
              <w:t>MAE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F5" w14:textId="77777777" w:rsidR="00E10EF9" w:rsidRDefault="00000000">
            <w:proofErr w:type="spellStart"/>
            <w:proofErr w:type="gramStart"/>
            <w:r>
              <w:rPr>
                <w:sz w:val="22"/>
                <w:szCs w:val="22"/>
              </w:rPr>
              <w:t>mean</w:t>
            </w:r>
            <w:proofErr w:type="spellEnd"/>
            <w:r>
              <w:rPr>
                <w:sz w:val="22"/>
                <w:szCs w:val="22"/>
              </w:rPr>
              <w:t>[</w:t>
            </w:r>
            <w:proofErr w:type="gramEnd"/>
            <w:r>
              <w:rPr>
                <w:sz w:val="22"/>
                <w:szCs w:val="22"/>
              </w:rPr>
              <w:t>|σ̂²ₜ − σ²ₜ|]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F6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Robust to outliers; linear penalty</w:t>
            </w:r>
          </w:p>
        </w:tc>
      </w:tr>
      <w:tr w:rsidR="00E10EF9" w:rsidRPr="00776553" w14:paraId="6547DEFB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F8" w14:textId="77777777" w:rsidR="00E10EF9" w:rsidRDefault="00000000">
            <w:r>
              <w:rPr>
                <w:sz w:val="22"/>
                <w:szCs w:val="22"/>
              </w:rPr>
              <w:t>QLIKE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F9" w14:textId="77777777" w:rsidR="00E10EF9" w:rsidRDefault="00000000">
            <w:proofErr w:type="spellStart"/>
            <w:proofErr w:type="gramStart"/>
            <w:r>
              <w:rPr>
                <w:sz w:val="22"/>
                <w:szCs w:val="22"/>
              </w:rPr>
              <w:t>mean</w:t>
            </w:r>
            <w:proofErr w:type="spellEnd"/>
            <w:r>
              <w:rPr>
                <w:sz w:val="22"/>
                <w:szCs w:val="22"/>
              </w:rPr>
              <w:t>[</w:t>
            </w:r>
            <w:proofErr w:type="gramEnd"/>
            <w:r>
              <w:rPr>
                <w:sz w:val="22"/>
                <w:szCs w:val="22"/>
              </w:rPr>
              <w:t xml:space="preserve">σ²ₜ/σ̂²ₜ − </w:t>
            </w:r>
            <w:proofErr w:type="spellStart"/>
            <w:r>
              <w:rPr>
                <w:sz w:val="22"/>
                <w:szCs w:val="22"/>
              </w:rPr>
              <w:t>ln</w:t>
            </w:r>
            <w:proofErr w:type="spellEnd"/>
            <w:r>
              <w:rPr>
                <w:sz w:val="22"/>
                <w:szCs w:val="22"/>
              </w:rPr>
              <w:t>(σ²ₜ/σ̂²ₜ) − 1]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FA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Robust to proxy noise — preferred standard in volatility forecasting literature (Patton, 2011)</w:t>
            </w:r>
          </w:p>
        </w:tc>
      </w:tr>
      <w:tr w:rsidR="00E10EF9" w:rsidRPr="00776553" w14:paraId="6547DEFF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FC" w14:textId="77777777" w:rsidR="00E10EF9" w:rsidRDefault="00000000">
            <w:r>
              <w:rPr>
                <w:sz w:val="22"/>
                <w:szCs w:val="22"/>
              </w:rPr>
              <w:t>HMSE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FD" w14:textId="77777777" w:rsidR="00E10EF9" w:rsidRDefault="00000000">
            <w:proofErr w:type="spellStart"/>
            <w:proofErr w:type="gramStart"/>
            <w:r>
              <w:rPr>
                <w:sz w:val="22"/>
                <w:szCs w:val="22"/>
              </w:rPr>
              <w:t>mean</w:t>
            </w:r>
            <w:proofErr w:type="spellEnd"/>
            <w:r>
              <w:rPr>
                <w:sz w:val="22"/>
                <w:szCs w:val="22"/>
              </w:rPr>
              <w:t>[</w:t>
            </w:r>
            <w:proofErr w:type="gramEnd"/>
            <w:r>
              <w:rPr>
                <w:sz w:val="22"/>
                <w:szCs w:val="22"/>
              </w:rPr>
              <w:t>(1 − σ̂²ₜ/σ</w:t>
            </w:r>
            <w:proofErr w:type="gramStart"/>
            <w:r>
              <w:rPr>
                <w:sz w:val="22"/>
                <w:szCs w:val="22"/>
              </w:rPr>
              <w:t>²ₜ)²</w:t>
            </w:r>
            <w:proofErr w:type="gramEnd"/>
            <w:r>
              <w:rPr>
                <w:sz w:val="22"/>
                <w:szCs w:val="22"/>
              </w:rPr>
              <w:t>]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7DEFE" w14:textId="77777777" w:rsidR="00E10EF9" w:rsidRPr="00776553" w:rsidRDefault="00000000">
            <w:pPr>
              <w:rPr>
                <w:lang w:val="en-US"/>
              </w:rPr>
            </w:pPr>
            <w:r w:rsidRPr="00776553">
              <w:rPr>
                <w:sz w:val="22"/>
                <w:szCs w:val="22"/>
                <w:lang w:val="en-US"/>
              </w:rPr>
              <w:t>Proportional penalty — useful for series with varying scale</w:t>
            </w:r>
          </w:p>
        </w:tc>
      </w:tr>
    </w:tbl>
    <w:p w14:paraId="6547DF00" w14:textId="77777777" w:rsidR="00E10EF9" w:rsidRPr="00776553" w:rsidRDefault="00E10EF9">
      <w:pPr>
        <w:rPr>
          <w:lang w:val="en-US"/>
        </w:rPr>
      </w:pPr>
    </w:p>
    <w:p w14:paraId="6547DF01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QLIKE is the primary loss function — it is the only loss function that is “robust” in the sense of Patton (2011): rankings between models are preserved even when the true volatility proxy is noisy (e.g. squared returns)</w:t>
      </w:r>
    </w:p>
    <w:p w14:paraId="6547DF02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All four metrics are reported for completeness; if rankings are consistent across loss functions, conclusions are robust</w:t>
      </w:r>
    </w:p>
    <w:p w14:paraId="6547DF03" w14:textId="77777777" w:rsidR="00E10EF9" w:rsidRPr="00776553" w:rsidRDefault="00E10EF9">
      <w:pPr>
        <w:rPr>
          <w:lang w:val="en-US"/>
        </w:rPr>
      </w:pPr>
    </w:p>
    <w:p w14:paraId="6547DF04" w14:textId="77777777" w:rsidR="00E10EF9" w:rsidRPr="00776553" w:rsidRDefault="00000000">
      <w:pPr>
        <w:pStyle w:val="Ttulo3"/>
        <w:rPr>
          <w:lang w:val="en-US"/>
        </w:rPr>
      </w:pPr>
      <w:r w:rsidRPr="00776553">
        <w:rPr>
          <w:lang w:val="en-US"/>
        </w:rPr>
        <w:t>3.6.2 Model Comparison Tests</w:t>
      </w:r>
    </w:p>
    <w:p w14:paraId="6547DF05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>Loss function values are not compared directly — statistical significance of differences is formally tested.</w:t>
      </w:r>
    </w:p>
    <w:p w14:paraId="6547DF06" w14:textId="77777777" w:rsidR="00E10EF9" w:rsidRPr="00776553" w:rsidRDefault="00E10EF9">
      <w:pPr>
        <w:rPr>
          <w:lang w:val="en-US"/>
        </w:rPr>
      </w:pPr>
    </w:p>
    <w:p w14:paraId="6547DF07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lastRenderedPageBreak/>
        <w:t>Diebold-Mariano (DM) pairwise tests applied to:</w:t>
      </w:r>
    </w:p>
    <w:p w14:paraId="6547DF08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proofErr w:type="gramStart"/>
      <w:r w:rsidRPr="00776553">
        <w:rPr>
          <w:lang w:val="en-US"/>
        </w:rPr>
        <w:t>GARCH(</w:t>
      </w:r>
      <w:proofErr w:type="gramEnd"/>
      <w:r w:rsidRPr="00776553">
        <w:rPr>
          <w:lang w:val="en-US"/>
        </w:rPr>
        <w:t>1,1) vs Historical Simulation — does standard parametric volatility modelling help at all?</w:t>
      </w:r>
    </w:p>
    <w:p w14:paraId="6547DF09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EGARCH-X vs </w:t>
      </w:r>
      <w:proofErr w:type="gramStart"/>
      <w:r w:rsidRPr="00776553">
        <w:rPr>
          <w:lang w:val="en-US"/>
        </w:rPr>
        <w:t>GARCH(</w:t>
      </w:r>
      <w:proofErr w:type="gramEnd"/>
      <w:r w:rsidRPr="00776553">
        <w:rPr>
          <w:lang w:val="en-US"/>
        </w:rPr>
        <w:t>1,1) — primary test of the thesis hypothesis: does sentiment improve over the no-sentiment baseline?</w:t>
      </w:r>
    </w:p>
    <w:p w14:paraId="6547DF0A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GJR-X vs EGARCH-X — does asymmetric sentiment decomposition add value beyond signed tone + volume?</w:t>
      </w:r>
    </w:p>
    <w:p w14:paraId="6547DF0B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GJR-X vs </w:t>
      </w:r>
      <w:proofErr w:type="gramStart"/>
      <w:r w:rsidRPr="00776553">
        <w:rPr>
          <w:lang w:val="en-US"/>
        </w:rPr>
        <w:t>GARCH(</w:t>
      </w:r>
      <w:proofErr w:type="gramEnd"/>
      <w:r w:rsidRPr="00776553">
        <w:rPr>
          <w:lang w:val="en-US"/>
        </w:rPr>
        <w:t>1,1) — does the sentiment-asymmetry channel beat the no-sentiment baseline?</w:t>
      </w:r>
    </w:p>
    <w:p w14:paraId="6547DF0C" w14:textId="77777777" w:rsidR="00E10EF9" w:rsidRPr="00776553" w:rsidRDefault="00E10EF9">
      <w:pPr>
        <w:rPr>
          <w:lang w:val="en-US"/>
        </w:rPr>
      </w:pPr>
    </w:p>
    <w:p w14:paraId="6547DF0D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 xml:space="preserve">Model Confidence Set (MCS, Hansen et al. 2011) applied to all four models simultaneously at </w:t>
      </w:r>
      <w:r>
        <w:t>α</w:t>
      </w:r>
      <w:r w:rsidRPr="00776553">
        <w:rPr>
          <w:lang w:val="en-US"/>
        </w:rPr>
        <w:t xml:space="preserve"> = 0.10; identifies the set of models that cannot be statistically distinguished as best. Preferred over multiple pairwise DM tests because it controls the multiple-testing problem directly.</w:t>
      </w:r>
    </w:p>
    <w:p w14:paraId="6547DF0E" w14:textId="77777777" w:rsidR="00E10EF9" w:rsidRPr="00776553" w:rsidRDefault="00E10EF9">
      <w:pPr>
        <w:rPr>
          <w:lang w:val="en-US"/>
        </w:rPr>
      </w:pPr>
    </w:p>
    <w:p w14:paraId="6547DF0F" w14:textId="77777777" w:rsidR="00E10EF9" w:rsidRPr="00776553" w:rsidRDefault="00000000">
      <w:pPr>
        <w:rPr>
          <w:lang w:val="en-US"/>
        </w:rPr>
      </w:pPr>
      <w:r w:rsidRPr="00776553">
        <w:rPr>
          <w:lang w:val="en-US"/>
        </w:rPr>
        <w:t xml:space="preserve">In-sample diagnostics reported for every estimated model: Ljung-Box on </w:t>
      </w:r>
      <w:proofErr w:type="spellStart"/>
      <w:r w:rsidRPr="00776553">
        <w:rPr>
          <w:lang w:val="en-US"/>
        </w:rPr>
        <w:t>standardised</w:t>
      </w:r>
      <w:proofErr w:type="spellEnd"/>
      <w:r w:rsidRPr="00776553">
        <w:rPr>
          <w:lang w:val="en-US"/>
        </w:rPr>
        <w:t xml:space="preserve"> residuals (remaining autocorrelation), Ljung-Box on squared </w:t>
      </w:r>
      <w:proofErr w:type="spellStart"/>
      <w:r w:rsidRPr="00776553">
        <w:rPr>
          <w:lang w:val="en-US"/>
        </w:rPr>
        <w:t>standardised</w:t>
      </w:r>
      <w:proofErr w:type="spellEnd"/>
      <w:r w:rsidRPr="00776553">
        <w:rPr>
          <w:lang w:val="en-US"/>
        </w:rPr>
        <w:t xml:space="preserve"> residuals (remaining ARCH effects), and the Engle-Ng (1993) Sign Bias Test (leverage effects).</w:t>
      </w:r>
    </w:p>
    <w:p w14:paraId="6547DF10" w14:textId="77777777" w:rsidR="00E10EF9" w:rsidRPr="00776553" w:rsidRDefault="00E10EF9">
      <w:pPr>
        <w:rPr>
          <w:lang w:val="en-US"/>
        </w:rPr>
      </w:pPr>
    </w:p>
    <w:p w14:paraId="6547DF11" w14:textId="77777777" w:rsidR="00E10EF9" w:rsidRDefault="00000000">
      <w:pPr>
        <w:pStyle w:val="Ttulo2"/>
      </w:pPr>
      <w:r>
        <w:t xml:space="preserve">3.7 </w:t>
      </w:r>
      <w:proofErr w:type="spellStart"/>
      <w:r>
        <w:t>Robustness</w:t>
      </w:r>
      <w:proofErr w:type="spellEnd"/>
      <w:r>
        <w:t xml:space="preserve"> Checks</w:t>
      </w:r>
    </w:p>
    <w:p w14:paraId="6547DF12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Alternative sentiment transformations: All models are re-run with each sentiment specification (Options A–F from Section 3.3.3); AIC/BIC and out-of-sample loss functions are compared — directly answers whether the results are sensitive to how sentiment is constructed</w:t>
      </w:r>
    </w:p>
    <w:p w14:paraId="6547DF13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Alternative GARCH orders: </w:t>
      </w:r>
      <w:proofErr w:type="gramStart"/>
      <w:r w:rsidRPr="00776553">
        <w:rPr>
          <w:lang w:val="en-US"/>
        </w:rPr>
        <w:t>GARCH(</w:t>
      </w:r>
      <w:proofErr w:type="gramEnd"/>
      <w:r w:rsidRPr="00776553">
        <w:rPr>
          <w:lang w:val="en-US"/>
        </w:rPr>
        <w:t xml:space="preserve">1,2), </w:t>
      </w:r>
      <w:proofErr w:type="gramStart"/>
      <w:r w:rsidRPr="00776553">
        <w:rPr>
          <w:lang w:val="en-US"/>
        </w:rPr>
        <w:t>GARCH(</w:t>
      </w:r>
      <w:proofErr w:type="gramEnd"/>
      <w:r w:rsidRPr="00776553">
        <w:rPr>
          <w:lang w:val="en-US"/>
        </w:rPr>
        <w:t xml:space="preserve">2,1), </w:t>
      </w:r>
      <w:proofErr w:type="gramStart"/>
      <w:r w:rsidRPr="00776553">
        <w:rPr>
          <w:lang w:val="en-US"/>
        </w:rPr>
        <w:t>GARCH(</w:t>
      </w:r>
      <w:proofErr w:type="gramEnd"/>
      <w:r w:rsidRPr="00776553">
        <w:rPr>
          <w:lang w:val="en-US"/>
        </w:rPr>
        <w:t xml:space="preserve">2,2) are estimated alongside </w:t>
      </w:r>
      <w:proofErr w:type="gramStart"/>
      <w:r w:rsidRPr="00776553">
        <w:rPr>
          <w:lang w:val="en-US"/>
        </w:rPr>
        <w:t>GARCH(</w:t>
      </w:r>
      <w:proofErr w:type="gramEnd"/>
      <w:r w:rsidRPr="00776553">
        <w:rPr>
          <w:lang w:val="en-US"/>
        </w:rPr>
        <w:t xml:space="preserve">1,1); AIC/BIC is used to confirm that </w:t>
      </w:r>
      <w:proofErr w:type="gramStart"/>
      <w:r w:rsidRPr="00776553">
        <w:rPr>
          <w:lang w:val="en-US"/>
        </w:rPr>
        <w:t>GARCH(</w:t>
      </w:r>
      <w:proofErr w:type="gramEnd"/>
      <w:r w:rsidRPr="00776553">
        <w:rPr>
          <w:lang w:val="en-US"/>
        </w:rPr>
        <w:t>1,1) is the appropriate baseline (this is almost always the case empirically but must be shown)</w:t>
      </w:r>
    </w:p>
    <w:p w14:paraId="6547DF14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Alternative error distributions: Normal, Student-t, GED, and Skewed-t are compared for all models; stable qualitative results across distributions indicate robustness</w:t>
      </w:r>
    </w:p>
    <w:p w14:paraId="6547DF15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Alternative train/test splits: The out-of-sample exercise is repeated with 60/40, 75/25, and 80/20 splits; qualitative conclusions should hold across all three</w:t>
      </w:r>
    </w:p>
    <w:p w14:paraId="6547DF16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Sub-sample analysis: The full sample is divided into sub-periods (pre-COVID, COVID, post-COVID/EV boom, post-China export restrictions 2023) and the full procedure is repeated; tests whether sentiment is more informative during crisis or high-uncertainty regimes — potentially a key finding</w:t>
      </w:r>
    </w:p>
    <w:p w14:paraId="6547DF17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Structural break testing: Chow test and/or Bai-Perron test applied to return series; if breaks are detected, known break points (March 2020, August 2023) are controlled for via dummies or sample splits; Markov-switching GARCH can be flagged as a possible extension</w:t>
      </w:r>
    </w:p>
    <w:p w14:paraId="6547DF18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Cross-metal consistency: The identical procedure is applied to all four metals independently; if sentiment helps for Tb and Dy (more supply-constrained, more geopolitically sensitive) but not for Nd/</w:t>
      </w:r>
      <w:proofErr w:type="spellStart"/>
      <w:r w:rsidRPr="00776553">
        <w:rPr>
          <w:lang w:val="en-US"/>
        </w:rPr>
        <w:t>Pr</w:t>
      </w:r>
      <w:proofErr w:type="spellEnd"/>
      <w:r w:rsidRPr="00776553">
        <w:rPr>
          <w:lang w:val="en-US"/>
        </w:rPr>
        <w:t>, that is itself a theoretically meaningful finding</w:t>
      </w:r>
    </w:p>
    <w:p w14:paraId="6547DF1A" w14:textId="796E5719" w:rsidR="00E10EF9" w:rsidRPr="00776553" w:rsidRDefault="00000000" w:rsidP="00F4721C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lastRenderedPageBreak/>
        <w:t>Sentiment lag structure: Models are estimated with S</w:t>
      </w:r>
      <w:r w:rsidRPr="00776553">
        <w:rPr>
          <w:rFonts w:ascii="Segoe UI Symbol" w:hAnsi="Segoe UI Symbol" w:cs="Segoe UI Symbol"/>
          <w:lang w:val="en-US"/>
        </w:rPr>
        <w:t>ₜ</w:t>
      </w:r>
      <w:r w:rsidRPr="00776553">
        <w:rPr>
          <w:rFonts w:ascii="Cambria Math" w:hAnsi="Cambria Math" w:cs="Cambria Math"/>
          <w:lang w:val="en-US"/>
        </w:rPr>
        <w:t>₋₁</w:t>
      </w:r>
      <w:r w:rsidRPr="00776553">
        <w:rPr>
          <w:lang w:val="en-US"/>
        </w:rPr>
        <w:t>, S</w:t>
      </w:r>
      <w:r w:rsidRPr="00776553">
        <w:rPr>
          <w:rFonts w:ascii="Segoe UI Symbol" w:hAnsi="Segoe UI Symbol" w:cs="Segoe UI Symbol"/>
          <w:lang w:val="en-US"/>
        </w:rPr>
        <w:t>ₜ</w:t>
      </w:r>
      <w:r w:rsidRPr="00776553">
        <w:rPr>
          <w:rFonts w:ascii="Cambria Math" w:hAnsi="Cambria Math" w:cs="Cambria Math"/>
          <w:lang w:val="en-US"/>
        </w:rPr>
        <w:t>₋₂</w:t>
      </w:r>
      <w:r w:rsidRPr="00776553">
        <w:rPr>
          <w:lang w:val="en-US"/>
        </w:rPr>
        <w:t>, and S</w:t>
      </w:r>
      <w:r w:rsidRPr="00776553">
        <w:rPr>
          <w:rFonts w:ascii="Segoe UI Symbol" w:hAnsi="Segoe UI Symbol" w:cs="Segoe UI Symbol"/>
          <w:lang w:val="en-US"/>
        </w:rPr>
        <w:t>ₜ</w:t>
      </w:r>
      <w:r w:rsidRPr="00776553">
        <w:rPr>
          <w:rFonts w:ascii="Cambria Math" w:hAnsi="Cambria Math" w:cs="Cambria Math"/>
          <w:lang w:val="en-US"/>
        </w:rPr>
        <w:t>₋₅</w:t>
      </w:r>
      <w:r w:rsidRPr="00776553">
        <w:rPr>
          <w:lang w:val="en-US"/>
        </w:rPr>
        <w:t>; a grid search over lag length is conducted using AIC/BIC to confirm the most informative lag</w:t>
      </w:r>
    </w:p>
    <w:p w14:paraId="6547DF1B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Endogeneity/reverse causality check: A VAR-based Granger causality analysis is run between sentiment and squared returns to test the direction of causality; provides a theoretical underpinning for the GARCH-X identification assumption that sentiment is exogenous to current volatility</w:t>
      </w:r>
    </w:p>
    <w:p w14:paraId="6547DF1C" w14:textId="77777777" w:rsidR="00E10EF9" w:rsidRPr="00776553" w:rsidRDefault="00E10EF9">
      <w:pPr>
        <w:rPr>
          <w:lang w:val="en-US"/>
        </w:rPr>
      </w:pPr>
    </w:p>
    <w:p w14:paraId="6547DF1D" w14:textId="77777777" w:rsidR="00E10EF9" w:rsidRDefault="00000000">
      <w:pPr>
        <w:pStyle w:val="Ttulo2"/>
      </w:pPr>
      <w:r>
        <w:t xml:space="preserve">Notes </w:t>
      </w:r>
      <w:proofErr w:type="spellStart"/>
      <w:r>
        <w:t>for</w:t>
      </w:r>
      <w:proofErr w:type="spellEnd"/>
      <w:r>
        <w:t xml:space="preserve"> Review</w:t>
      </w:r>
    </w:p>
    <w:p w14:paraId="6547DF1E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 xml:space="preserve">The Polarity + </w:t>
      </w:r>
      <w:proofErr w:type="spellStart"/>
      <w:r w:rsidRPr="00776553">
        <w:rPr>
          <w:lang w:val="en-US"/>
        </w:rPr>
        <w:t>NegTone</w:t>
      </w:r>
      <w:proofErr w:type="spellEnd"/>
      <w:r w:rsidRPr="00776553">
        <w:rPr>
          <w:lang w:val="en-US"/>
        </w:rPr>
        <w:t xml:space="preserve"> collinearity in GJR-X is real and addressed in the text via VIF reporting and a </w:t>
      </w:r>
      <w:proofErr w:type="spellStart"/>
      <w:r w:rsidRPr="00776553">
        <w:rPr>
          <w:lang w:val="en-US"/>
        </w:rPr>
        <w:t>PosTone</w:t>
      </w:r>
      <w:proofErr w:type="spellEnd"/>
      <w:r w:rsidRPr="00776553">
        <w:rPr>
          <w:lang w:val="en-US"/>
        </w:rPr>
        <w:t>/</w:t>
      </w:r>
      <w:proofErr w:type="spellStart"/>
      <w:r w:rsidRPr="00776553">
        <w:rPr>
          <w:lang w:val="en-US"/>
        </w:rPr>
        <w:t>NegTone</w:t>
      </w:r>
      <w:proofErr w:type="spellEnd"/>
      <w:r w:rsidRPr="00776553">
        <w:rPr>
          <w:lang w:val="en-US"/>
        </w:rPr>
        <w:t xml:space="preserve"> robustness specification. If a cleaner main specification is preferred, swapping Polarity → </w:t>
      </w:r>
      <w:proofErr w:type="spellStart"/>
      <w:r w:rsidRPr="00776553">
        <w:rPr>
          <w:lang w:val="en-US"/>
        </w:rPr>
        <w:t>PosTone</w:t>
      </w:r>
      <w:proofErr w:type="spellEnd"/>
      <w:r w:rsidRPr="00776553">
        <w:rPr>
          <w:lang w:val="en-US"/>
        </w:rPr>
        <w:t xml:space="preserve"> in the equation yields a tidier interpretation of </w:t>
      </w:r>
      <w:r>
        <w:t>δ</w:t>
      </w:r>
      <w:r w:rsidRPr="00776553">
        <w:rPr>
          <w:lang w:val="en-US"/>
        </w:rPr>
        <w:t xml:space="preserve">₁ vs </w:t>
      </w:r>
      <w:r>
        <w:t>δ</w:t>
      </w:r>
      <w:r w:rsidRPr="00776553">
        <w:rPr>
          <w:lang w:val="en-US"/>
        </w:rPr>
        <w:t>₂ as the “good-news vs bad-news” asymmetry test</w:t>
      </w:r>
    </w:p>
    <w:p w14:paraId="6547DF1F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The “fixed error distribution across specifications” rule stated in §3.4.2 is standard practice and is stated explicitly to preempt reviewer concerns about cherry-picking distributions per model</w:t>
      </w:r>
    </w:p>
    <w:p w14:paraId="6547DF20" w14:textId="77777777" w:rsidR="00E10EF9" w:rsidRPr="00776553" w:rsidRDefault="00000000">
      <w:pPr>
        <w:pStyle w:val="Prrafodelista"/>
        <w:numPr>
          <w:ilvl w:val="0"/>
          <w:numId w:val="2"/>
        </w:numPr>
        <w:rPr>
          <w:lang w:val="en-US"/>
        </w:rPr>
      </w:pPr>
      <w:r w:rsidRPr="00776553">
        <w:rPr>
          <w:lang w:val="en-US"/>
        </w:rPr>
        <w:t>The omission of GARCH-X from the main model path is justified in §3.1; this can be expanded if a supervisor requests further elaboration</w:t>
      </w:r>
    </w:p>
    <w:sectPr w:rsidR="00E10EF9" w:rsidRPr="0077655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2638"/>
    <w:multiLevelType w:val="hybridMultilevel"/>
    <w:tmpl w:val="80ACDFE2"/>
    <w:lvl w:ilvl="0" w:tplc="658E6DF6">
      <w:start w:val="1"/>
      <w:numFmt w:val="bullet"/>
      <w:lvlText w:val="●"/>
      <w:lvlJc w:val="left"/>
      <w:pPr>
        <w:ind w:left="720" w:hanging="360"/>
      </w:pPr>
    </w:lvl>
    <w:lvl w:ilvl="1" w:tplc="E0D6227C">
      <w:start w:val="1"/>
      <w:numFmt w:val="bullet"/>
      <w:lvlText w:val="○"/>
      <w:lvlJc w:val="left"/>
      <w:pPr>
        <w:ind w:left="1440" w:hanging="360"/>
      </w:pPr>
    </w:lvl>
    <w:lvl w:ilvl="2" w:tplc="7C0413E8">
      <w:start w:val="1"/>
      <w:numFmt w:val="bullet"/>
      <w:lvlText w:val="■"/>
      <w:lvlJc w:val="left"/>
      <w:pPr>
        <w:ind w:left="2160" w:hanging="360"/>
      </w:pPr>
    </w:lvl>
    <w:lvl w:ilvl="3" w:tplc="F4CE27EC">
      <w:start w:val="1"/>
      <w:numFmt w:val="bullet"/>
      <w:lvlText w:val="●"/>
      <w:lvlJc w:val="left"/>
      <w:pPr>
        <w:ind w:left="2880" w:hanging="360"/>
      </w:pPr>
    </w:lvl>
    <w:lvl w:ilvl="4" w:tplc="D5385AFC">
      <w:start w:val="1"/>
      <w:numFmt w:val="bullet"/>
      <w:lvlText w:val="○"/>
      <w:lvlJc w:val="left"/>
      <w:pPr>
        <w:ind w:left="3600" w:hanging="360"/>
      </w:pPr>
    </w:lvl>
    <w:lvl w:ilvl="5" w:tplc="F75C4784">
      <w:start w:val="1"/>
      <w:numFmt w:val="bullet"/>
      <w:lvlText w:val="■"/>
      <w:lvlJc w:val="left"/>
      <w:pPr>
        <w:ind w:left="4320" w:hanging="360"/>
      </w:pPr>
    </w:lvl>
    <w:lvl w:ilvl="6" w:tplc="1B2E1810">
      <w:start w:val="1"/>
      <w:numFmt w:val="bullet"/>
      <w:lvlText w:val="●"/>
      <w:lvlJc w:val="left"/>
      <w:pPr>
        <w:ind w:left="5040" w:hanging="360"/>
      </w:pPr>
    </w:lvl>
    <w:lvl w:ilvl="7" w:tplc="99B2B346">
      <w:start w:val="1"/>
      <w:numFmt w:val="bullet"/>
      <w:lvlText w:val="●"/>
      <w:lvlJc w:val="left"/>
      <w:pPr>
        <w:ind w:left="5760" w:hanging="360"/>
      </w:pPr>
    </w:lvl>
    <w:lvl w:ilvl="8" w:tplc="288A9A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4E5B43"/>
    <w:multiLevelType w:val="hybridMultilevel"/>
    <w:tmpl w:val="E5D2652A"/>
    <w:lvl w:ilvl="0" w:tplc="660675B2">
      <w:start w:val="1"/>
      <w:numFmt w:val="decimal"/>
      <w:lvlText w:val="%1."/>
      <w:lvlJc w:val="left"/>
      <w:pPr>
        <w:ind w:left="720" w:hanging="360"/>
      </w:pPr>
    </w:lvl>
    <w:lvl w:ilvl="1" w:tplc="BCB29E58">
      <w:numFmt w:val="decimal"/>
      <w:lvlText w:val=""/>
      <w:lvlJc w:val="left"/>
    </w:lvl>
    <w:lvl w:ilvl="2" w:tplc="20500726">
      <w:numFmt w:val="decimal"/>
      <w:lvlText w:val=""/>
      <w:lvlJc w:val="left"/>
    </w:lvl>
    <w:lvl w:ilvl="3" w:tplc="AF328924">
      <w:numFmt w:val="decimal"/>
      <w:lvlText w:val=""/>
      <w:lvlJc w:val="left"/>
    </w:lvl>
    <w:lvl w:ilvl="4" w:tplc="B67C4580">
      <w:numFmt w:val="decimal"/>
      <w:lvlText w:val=""/>
      <w:lvlJc w:val="left"/>
    </w:lvl>
    <w:lvl w:ilvl="5" w:tplc="AC747526">
      <w:numFmt w:val="decimal"/>
      <w:lvlText w:val=""/>
      <w:lvlJc w:val="left"/>
    </w:lvl>
    <w:lvl w:ilvl="6" w:tplc="C67AB076">
      <w:numFmt w:val="decimal"/>
      <w:lvlText w:val=""/>
      <w:lvlJc w:val="left"/>
    </w:lvl>
    <w:lvl w:ilvl="7" w:tplc="4EAA3098">
      <w:numFmt w:val="decimal"/>
      <w:lvlText w:val=""/>
      <w:lvlJc w:val="left"/>
    </w:lvl>
    <w:lvl w:ilvl="8" w:tplc="860E48E8">
      <w:numFmt w:val="decimal"/>
      <w:lvlText w:val=""/>
      <w:lvlJc w:val="left"/>
    </w:lvl>
  </w:abstractNum>
  <w:abstractNum w:abstractNumId="2" w15:restartNumberingAfterBreak="0">
    <w:nsid w:val="7C621C4F"/>
    <w:multiLevelType w:val="hybridMultilevel"/>
    <w:tmpl w:val="6FDE230C"/>
    <w:lvl w:ilvl="0" w:tplc="FA764590">
      <w:start w:val="1"/>
      <w:numFmt w:val="bullet"/>
      <w:lvlText w:val="•"/>
      <w:lvlJc w:val="left"/>
      <w:pPr>
        <w:ind w:left="720" w:hanging="360"/>
      </w:pPr>
    </w:lvl>
    <w:lvl w:ilvl="1" w:tplc="F81CCB20">
      <w:start w:val="1"/>
      <w:numFmt w:val="bullet"/>
      <w:lvlText w:val="○"/>
      <w:lvlJc w:val="left"/>
      <w:pPr>
        <w:ind w:left="1080" w:hanging="360"/>
      </w:pPr>
    </w:lvl>
    <w:lvl w:ilvl="2" w:tplc="2826C82E">
      <w:numFmt w:val="decimal"/>
      <w:lvlText w:val=""/>
      <w:lvlJc w:val="left"/>
    </w:lvl>
    <w:lvl w:ilvl="3" w:tplc="2E4C66A2">
      <w:numFmt w:val="decimal"/>
      <w:lvlText w:val=""/>
      <w:lvlJc w:val="left"/>
    </w:lvl>
    <w:lvl w:ilvl="4" w:tplc="DF9C0DDC">
      <w:numFmt w:val="decimal"/>
      <w:lvlText w:val=""/>
      <w:lvlJc w:val="left"/>
    </w:lvl>
    <w:lvl w:ilvl="5" w:tplc="EFEE249C">
      <w:numFmt w:val="decimal"/>
      <w:lvlText w:val=""/>
      <w:lvlJc w:val="left"/>
    </w:lvl>
    <w:lvl w:ilvl="6" w:tplc="F282E5EC">
      <w:numFmt w:val="decimal"/>
      <w:lvlText w:val=""/>
      <w:lvlJc w:val="left"/>
    </w:lvl>
    <w:lvl w:ilvl="7" w:tplc="526EDBF2">
      <w:numFmt w:val="decimal"/>
      <w:lvlText w:val=""/>
      <w:lvlJc w:val="left"/>
    </w:lvl>
    <w:lvl w:ilvl="8" w:tplc="570A87BE">
      <w:numFmt w:val="decimal"/>
      <w:lvlText w:val=""/>
      <w:lvlJc w:val="left"/>
    </w:lvl>
  </w:abstractNum>
  <w:num w:numId="1" w16cid:durableId="1512405386">
    <w:abstractNumId w:val="0"/>
    <w:lvlOverride w:ilvl="0">
      <w:startOverride w:val="1"/>
    </w:lvlOverride>
  </w:num>
  <w:num w:numId="2" w16cid:durableId="92807559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EF9"/>
    <w:rsid w:val="00776553"/>
    <w:rsid w:val="007A396E"/>
    <w:rsid w:val="00B35532"/>
    <w:rsid w:val="00B57449"/>
    <w:rsid w:val="00DC6B40"/>
    <w:rsid w:val="00E10EF9"/>
    <w:rsid w:val="00F4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7DDEE"/>
  <w15:docId w15:val="{FC6E689D-511D-438E-A79F-2F2A22F3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4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sz w:val="26"/>
      <w:szCs w:val="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3353</Words>
  <Characters>18447</Characters>
  <Application>Microsoft Office Word</Application>
  <DocSecurity>0</DocSecurity>
  <Lines>153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Aleix Cuevas</cp:lastModifiedBy>
  <cp:revision>4</cp:revision>
  <dcterms:created xsi:type="dcterms:W3CDTF">2026-05-13T12:25:00Z</dcterms:created>
  <dcterms:modified xsi:type="dcterms:W3CDTF">2026-05-20T15:52:00Z</dcterms:modified>
</cp:coreProperties>
</file>