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15C1E" w14:textId="641D160F" w:rsidR="00212F5A" w:rsidRPr="00212F5A" w:rsidRDefault="00212F5A" w:rsidP="00815C97">
      <w:pPr>
        <w:pStyle w:val="Textosinformato"/>
        <w:jc w:val="both"/>
        <w:rPr>
          <w:rFonts w:asciiTheme="minorHAnsi" w:hAnsiTheme="minorHAnsi" w:cs="Courier New"/>
          <w:color w:val="0070C0"/>
          <w:sz w:val="32"/>
          <w:szCs w:val="24"/>
        </w:rPr>
      </w:pPr>
      <w:r w:rsidRPr="00212F5A">
        <w:rPr>
          <w:rFonts w:asciiTheme="minorHAnsi" w:hAnsiTheme="minorHAnsi" w:cs="Courier New"/>
          <w:color w:val="0070C0"/>
          <w:sz w:val="32"/>
          <w:szCs w:val="24"/>
        </w:rPr>
        <w:t>APPENDIX C: CALCULATION OF FUTURE FREE CASH FLOWS</w:t>
      </w:r>
    </w:p>
    <w:p w14:paraId="2B57D898" w14:textId="77777777" w:rsidR="00212F5A" w:rsidRDefault="00212F5A" w:rsidP="00212F5A">
      <w:pPr>
        <w:pStyle w:val="Textosinformato"/>
        <w:spacing w:line="276" w:lineRule="auto"/>
        <w:jc w:val="both"/>
        <w:rPr>
          <w:rFonts w:asciiTheme="minorHAnsi" w:hAnsiTheme="minorHAnsi" w:cs="Courier New"/>
          <w:sz w:val="24"/>
          <w:szCs w:val="24"/>
        </w:rPr>
      </w:pPr>
    </w:p>
    <w:p w14:paraId="359270B8" w14:textId="77777777" w:rsidR="00815C97" w:rsidRPr="00212F5A" w:rsidRDefault="00815C97"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 xml:space="preserve">In this section we provide a detailed explanation of how we have obtained our predictions for future </w:t>
      </w:r>
      <w:r w:rsidRPr="00212F5A">
        <w:rPr>
          <w:rFonts w:ascii="Times New Roman" w:hAnsi="Times New Roman"/>
          <w:i/>
          <w:sz w:val="24"/>
          <w:szCs w:val="24"/>
        </w:rPr>
        <w:t>free cash flows</w:t>
      </w:r>
      <w:r w:rsidRPr="00212F5A">
        <w:rPr>
          <w:rFonts w:ascii="Times New Roman" w:hAnsi="Times New Roman"/>
          <w:sz w:val="24"/>
          <w:szCs w:val="24"/>
        </w:rPr>
        <w:t>.</w:t>
      </w:r>
    </w:p>
    <w:p w14:paraId="4DFB0A66" w14:textId="77777777" w:rsidR="00815C97" w:rsidRPr="00212F5A" w:rsidRDefault="00815C97"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We will talk about forecast drivers, or the assumptions required to forecast free cash flows into the future. It will be necessary to apply those forecast drivers to the free cash flow formula in order to obtain the dollar FCF over the 5-year horizon that we will need for our valuation project</w:t>
      </w:r>
    </w:p>
    <w:p w14:paraId="32CAD6CD" w14:textId="77777777" w:rsidR="00815C97" w:rsidRPr="00212F5A" w:rsidRDefault="00815C97"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So here's our free cash flow formula:</w:t>
      </w:r>
    </w:p>
    <w:p w14:paraId="0743F204" w14:textId="77777777" w:rsidR="00F063E5" w:rsidRPr="00212F5A" w:rsidRDefault="00F063E5" w:rsidP="00212F5A">
      <w:pPr>
        <w:pStyle w:val="Textosinformato"/>
        <w:spacing w:line="276" w:lineRule="auto"/>
        <w:jc w:val="both"/>
        <w:rPr>
          <w:rFonts w:ascii="Times New Roman" w:hAnsi="Times New Roman"/>
          <w:sz w:val="24"/>
          <w:szCs w:val="24"/>
        </w:rPr>
      </w:pPr>
    </w:p>
    <w:p w14:paraId="2A9F57F5" w14:textId="493FF3F4" w:rsidR="00815C97" w:rsidRPr="00212F5A" w:rsidRDefault="003B22F9" w:rsidP="00212F5A">
      <w:pPr>
        <w:pStyle w:val="Textosinformato"/>
        <w:spacing w:line="276" w:lineRule="auto"/>
        <w:jc w:val="both"/>
        <w:rPr>
          <w:rFonts w:ascii="Times New Roman" w:hAnsi="Times New Roman"/>
          <w:sz w:val="24"/>
          <w:szCs w:val="24"/>
        </w:rPr>
      </w:pPr>
      <m:oMathPara>
        <m:oMath>
          <m:r>
            <w:rPr>
              <w:rFonts w:ascii="Cambria Math" w:hAnsi="Cambria Math"/>
              <w:sz w:val="24"/>
              <w:szCs w:val="24"/>
            </w:rPr>
            <m:t>FCF=</m:t>
          </m:r>
          <m:d>
            <m:dPr>
              <m:ctrlPr>
                <w:rPr>
                  <w:rFonts w:ascii="Cambria Math" w:hAnsi="Cambria Math"/>
                  <w:i/>
                  <w:sz w:val="24"/>
                  <w:szCs w:val="24"/>
                </w:rPr>
              </m:ctrlPr>
            </m:dPr>
            <m:e>
              <m:r>
                <w:rPr>
                  <w:rFonts w:ascii="Cambria Math" w:hAnsi="Cambria Math"/>
                  <w:sz w:val="24"/>
                  <w:szCs w:val="24"/>
                </w:rPr>
                <m:t>Revenue-Cost-Depreciation</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e>
          </m:d>
          <m:r>
            <w:rPr>
              <w:rFonts w:ascii="Cambria Math" w:hAnsi="Cambria Math"/>
              <w:sz w:val="24"/>
              <w:szCs w:val="24"/>
            </w:rPr>
            <m:t xml:space="preserve">+ depreciation- </m:t>
          </m:r>
          <m:r>
            <w:rPr>
              <w:rFonts w:ascii="Cambria Math" w:hAnsi="Cambria Math"/>
              <w:sz w:val="24"/>
              <w:szCs w:val="24"/>
            </w:rPr>
            <m:t>net capital expenditures-net change in working capital</m:t>
          </m:r>
        </m:oMath>
      </m:oMathPara>
    </w:p>
    <w:p w14:paraId="4193ABE5" w14:textId="77777777" w:rsidR="00F063E5" w:rsidRDefault="00F063E5" w:rsidP="00212F5A">
      <w:pPr>
        <w:pStyle w:val="Textosinformato"/>
        <w:spacing w:line="276" w:lineRule="auto"/>
        <w:jc w:val="both"/>
        <w:rPr>
          <w:rFonts w:ascii="Times New Roman" w:hAnsi="Times New Roman"/>
          <w:sz w:val="24"/>
          <w:szCs w:val="24"/>
        </w:rPr>
      </w:pPr>
    </w:p>
    <w:p w14:paraId="1CA696B1" w14:textId="77777777" w:rsidR="00050752" w:rsidRPr="00212F5A" w:rsidRDefault="00050752" w:rsidP="00212F5A">
      <w:pPr>
        <w:pStyle w:val="Textosinformato"/>
        <w:spacing w:line="276" w:lineRule="auto"/>
        <w:jc w:val="both"/>
        <w:rPr>
          <w:rFonts w:ascii="Times New Roman" w:hAnsi="Times New Roman"/>
          <w:sz w:val="24"/>
          <w:szCs w:val="24"/>
        </w:rPr>
      </w:pPr>
    </w:p>
    <w:p w14:paraId="7DFBF46E" w14:textId="0646C292" w:rsidR="00212F5A" w:rsidRDefault="00212F5A" w:rsidP="00212F5A">
      <w:pPr>
        <w:pStyle w:val="Textosinformato"/>
        <w:numPr>
          <w:ilvl w:val="0"/>
          <w:numId w:val="1"/>
        </w:numPr>
        <w:spacing w:line="276" w:lineRule="auto"/>
        <w:jc w:val="both"/>
        <w:rPr>
          <w:rFonts w:ascii="Times New Roman" w:hAnsi="Times New Roman"/>
          <w:b/>
          <w:sz w:val="24"/>
          <w:szCs w:val="24"/>
        </w:rPr>
      </w:pPr>
      <w:r w:rsidRPr="00212F5A">
        <w:rPr>
          <w:rFonts w:ascii="Times New Roman" w:hAnsi="Times New Roman"/>
          <w:b/>
          <w:sz w:val="24"/>
          <w:szCs w:val="24"/>
        </w:rPr>
        <w:t>Revenue</w:t>
      </w:r>
    </w:p>
    <w:p w14:paraId="6B7C5A71" w14:textId="77777777" w:rsidR="00050752" w:rsidRPr="00212F5A" w:rsidRDefault="00050752" w:rsidP="00050752">
      <w:pPr>
        <w:pStyle w:val="Textosinformato"/>
        <w:spacing w:line="276" w:lineRule="auto"/>
        <w:ind w:left="720"/>
        <w:jc w:val="both"/>
        <w:rPr>
          <w:rFonts w:ascii="Times New Roman" w:hAnsi="Times New Roman"/>
          <w:b/>
          <w:sz w:val="24"/>
          <w:szCs w:val="24"/>
        </w:rPr>
      </w:pPr>
    </w:p>
    <w:p w14:paraId="672203C9" w14:textId="454E4A5D" w:rsidR="00F063E5" w:rsidRPr="00212F5A" w:rsidRDefault="00815C97"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We're going to start by</w:t>
      </w:r>
      <w:r w:rsidR="00F063E5" w:rsidRPr="00212F5A">
        <w:rPr>
          <w:rFonts w:ascii="Times New Roman" w:hAnsi="Times New Roman"/>
          <w:sz w:val="24"/>
          <w:szCs w:val="24"/>
        </w:rPr>
        <w:t xml:space="preserve"> </w:t>
      </w:r>
      <w:r w:rsidRPr="00212F5A">
        <w:rPr>
          <w:rFonts w:ascii="Times New Roman" w:hAnsi="Times New Roman"/>
          <w:sz w:val="24"/>
          <w:szCs w:val="24"/>
        </w:rPr>
        <w:t>forecasting the dollar revenues</w:t>
      </w:r>
      <w:r w:rsidR="00F063E5" w:rsidRPr="00212F5A">
        <w:rPr>
          <w:rFonts w:ascii="Times New Roman" w:hAnsi="Times New Roman"/>
          <w:sz w:val="24"/>
          <w:szCs w:val="24"/>
        </w:rPr>
        <w:t xml:space="preserve"> according to our revenue forecast drivers</w:t>
      </w:r>
      <w:r w:rsidRPr="00212F5A">
        <w:rPr>
          <w:rFonts w:ascii="Times New Roman" w:hAnsi="Times New Roman"/>
          <w:sz w:val="24"/>
          <w:szCs w:val="24"/>
        </w:rPr>
        <w:t>. And we know that revenue equals market</w:t>
      </w:r>
      <w:r w:rsidR="00F063E5" w:rsidRPr="00212F5A">
        <w:rPr>
          <w:rFonts w:ascii="Times New Roman" w:hAnsi="Times New Roman"/>
          <w:sz w:val="24"/>
          <w:szCs w:val="24"/>
        </w:rPr>
        <w:t xml:space="preserve"> </w:t>
      </w:r>
      <w:r w:rsidRPr="00212F5A">
        <w:rPr>
          <w:rFonts w:ascii="Times New Roman" w:hAnsi="Times New Roman"/>
          <w:sz w:val="24"/>
          <w:szCs w:val="24"/>
        </w:rPr>
        <w:t>size, t</w:t>
      </w:r>
      <w:r w:rsidR="00F063E5" w:rsidRPr="00212F5A">
        <w:rPr>
          <w:rFonts w:ascii="Times New Roman" w:hAnsi="Times New Roman"/>
          <w:sz w:val="24"/>
          <w:szCs w:val="24"/>
        </w:rPr>
        <w:t>imes market share, times price:</w:t>
      </w:r>
    </w:p>
    <w:p w14:paraId="3B6C5038" w14:textId="77777777" w:rsidR="00F063E5" w:rsidRPr="00212F5A" w:rsidRDefault="00F063E5" w:rsidP="00212F5A">
      <w:pPr>
        <w:pStyle w:val="Textosinformato"/>
        <w:spacing w:line="276" w:lineRule="auto"/>
        <w:jc w:val="both"/>
        <w:rPr>
          <w:rFonts w:ascii="Times New Roman" w:hAnsi="Times New Roman"/>
          <w:sz w:val="24"/>
          <w:szCs w:val="24"/>
        </w:rPr>
      </w:pPr>
    </w:p>
    <w:p w14:paraId="67879957" w14:textId="707B843D" w:rsidR="00F063E5" w:rsidRPr="00212F5A" w:rsidRDefault="00F063E5" w:rsidP="00212F5A">
      <w:pPr>
        <w:pStyle w:val="Textosinformato"/>
        <w:spacing w:line="276" w:lineRule="auto"/>
        <w:jc w:val="both"/>
        <w:rPr>
          <w:rFonts w:ascii="Times New Roman" w:hAnsi="Times New Roman"/>
          <w:sz w:val="24"/>
          <w:szCs w:val="24"/>
        </w:rPr>
      </w:pPr>
      <m:oMathPara>
        <m:oMath>
          <m:r>
            <w:rPr>
              <w:rFonts w:ascii="Cambria Math" w:hAnsi="Cambria Math"/>
              <w:sz w:val="24"/>
              <w:szCs w:val="24"/>
            </w:rPr>
            <m:t>Revenue=market size*market share*average price</m:t>
          </m:r>
        </m:oMath>
      </m:oMathPara>
    </w:p>
    <w:p w14:paraId="2A3226D1" w14:textId="77777777" w:rsidR="00212F5A" w:rsidRPr="00212F5A" w:rsidRDefault="00212F5A" w:rsidP="00815C97">
      <w:pPr>
        <w:pStyle w:val="Textosinformato"/>
        <w:jc w:val="both"/>
        <w:rPr>
          <w:rFonts w:ascii="Times New Roman" w:hAnsi="Times New Roman"/>
          <w:sz w:val="24"/>
          <w:szCs w:val="24"/>
        </w:rPr>
      </w:pPr>
    </w:p>
    <w:p w14:paraId="7107FBB1" w14:textId="2D2234F3" w:rsidR="00F063E5" w:rsidRDefault="00F063E5" w:rsidP="00815C97">
      <w:pPr>
        <w:pStyle w:val="Textosinformato"/>
        <w:jc w:val="both"/>
        <w:rPr>
          <w:rFonts w:ascii="Times New Roman" w:hAnsi="Times New Roman"/>
          <w:sz w:val="24"/>
          <w:szCs w:val="24"/>
        </w:rPr>
      </w:pPr>
    </w:p>
    <w:p w14:paraId="50742A65" w14:textId="77777777" w:rsidR="006F4AB6" w:rsidRPr="00212F5A" w:rsidRDefault="006F4AB6" w:rsidP="00815C97">
      <w:pPr>
        <w:pStyle w:val="Textosinformato"/>
        <w:jc w:val="both"/>
        <w:rPr>
          <w:rFonts w:ascii="Times New Roman" w:hAnsi="Times New Roman"/>
          <w:sz w:val="24"/>
          <w:szCs w:val="24"/>
        </w:rPr>
      </w:pPr>
    </w:p>
    <w:tbl>
      <w:tblPr>
        <w:tblStyle w:val="Tablanormal1"/>
        <w:tblW w:w="9933" w:type="dxa"/>
        <w:tblLayout w:type="fixed"/>
        <w:tblLook w:val="04A0" w:firstRow="1" w:lastRow="0" w:firstColumn="1" w:lastColumn="0" w:noHBand="0" w:noVBand="1"/>
      </w:tblPr>
      <w:tblGrid>
        <w:gridCol w:w="1982"/>
        <w:gridCol w:w="856"/>
        <w:gridCol w:w="1419"/>
        <w:gridCol w:w="1419"/>
        <w:gridCol w:w="1419"/>
        <w:gridCol w:w="1419"/>
        <w:gridCol w:w="1419"/>
      </w:tblGrid>
      <w:tr w:rsidR="006F4AB6" w:rsidRPr="006F4AB6" w14:paraId="57CCB345" w14:textId="77777777" w:rsidTr="006F4AB6">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shd w:val="clear" w:color="auto" w:fill="1F4E79" w:themeFill="accent1" w:themeFillShade="80"/>
            <w:noWrap/>
            <w:hideMark/>
          </w:tcPr>
          <w:p w14:paraId="29C8AB6E" w14:textId="0D889E37" w:rsidR="00A30510" w:rsidRPr="006F4AB6" w:rsidRDefault="006F4AB6" w:rsidP="00A30510">
            <w:pPr>
              <w:rPr>
                <w:rFonts w:ascii="Calibri" w:eastAsia="Times New Roman" w:hAnsi="Calibri"/>
                <w:color w:val="FFFFFF" w:themeColor="background1"/>
                <w:sz w:val="15"/>
              </w:rPr>
            </w:pPr>
            <w:r w:rsidRPr="006F4AB6">
              <w:rPr>
                <w:rFonts w:ascii="Calibri" w:eastAsia="Times New Roman" w:hAnsi="Calibri"/>
                <w:color w:val="FFFFFF" w:themeColor="background1"/>
                <w:sz w:val="22"/>
              </w:rPr>
              <w:t>YEARS</w:t>
            </w:r>
          </w:p>
        </w:tc>
        <w:tc>
          <w:tcPr>
            <w:tcW w:w="856" w:type="dxa"/>
            <w:shd w:val="clear" w:color="auto" w:fill="1F4E79" w:themeFill="accent1" w:themeFillShade="80"/>
            <w:noWrap/>
            <w:hideMark/>
          </w:tcPr>
          <w:p w14:paraId="550BB584" w14:textId="77777777" w:rsidR="00A30510" w:rsidRPr="006F4AB6" w:rsidRDefault="00A30510" w:rsidP="00A305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0 (F2015)</w:t>
            </w:r>
          </w:p>
        </w:tc>
        <w:tc>
          <w:tcPr>
            <w:tcW w:w="1419" w:type="dxa"/>
            <w:shd w:val="clear" w:color="auto" w:fill="1F4E79" w:themeFill="accent1" w:themeFillShade="80"/>
            <w:noWrap/>
            <w:hideMark/>
          </w:tcPr>
          <w:p w14:paraId="3D3F6005" w14:textId="77777777" w:rsidR="00A30510" w:rsidRPr="006F4AB6" w:rsidRDefault="00A30510" w:rsidP="00A3051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1</w:t>
            </w:r>
          </w:p>
        </w:tc>
        <w:tc>
          <w:tcPr>
            <w:tcW w:w="1419" w:type="dxa"/>
            <w:shd w:val="clear" w:color="auto" w:fill="1F4E79" w:themeFill="accent1" w:themeFillShade="80"/>
            <w:noWrap/>
            <w:hideMark/>
          </w:tcPr>
          <w:p w14:paraId="43537C34" w14:textId="77777777" w:rsidR="00A30510" w:rsidRPr="006F4AB6" w:rsidRDefault="00A30510" w:rsidP="00A3051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2</w:t>
            </w:r>
          </w:p>
        </w:tc>
        <w:tc>
          <w:tcPr>
            <w:tcW w:w="1419" w:type="dxa"/>
            <w:shd w:val="clear" w:color="auto" w:fill="1F4E79" w:themeFill="accent1" w:themeFillShade="80"/>
            <w:noWrap/>
            <w:hideMark/>
          </w:tcPr>
          <w:p w14:paraId="74D0AF4E" w14:textId="77777777" w:rsidR="00A30510" w:rsidRPr="006F4AB6" w:rsidRDefault="00A30510" w:rsidP="00A3051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3</w:t>
            </w:r>
          </w:p>
        </w:tc>
        <w:tc>
          <w:tcPr>
            <w:tcW w:w="1419" w:type="dxa"/>
            <w:shd w:val="clear" w:color="auto" w:fill="1F4E79" w:themeFill="accent1" w:themeFillShade="80"/>
            <w:noWrap/>
            <w:hideMark/>
          </w:tcPr>
          <w:p w14:paraId="04E22A11" w14:textId="77777777" w:rsidR="00A30510" w:rsidRPr="006F4AB6" w:rsidRDefault="00A30510" w:rsidP="00A3051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4</w:t>
            </w:r>
          </w:p>
        </w:tc>
        <w:tc>
          <w:tcPr>
            <w:tcW w:w="1419" w:type="dxa"/>
            <w:shd w:val="clear" w:color="auto" w:fill="1F4E79" w:themeFill="accent1" w:themeFillShade="80"/>
            <w:noWrap/>
            <w:hideMark/>
          </w:tcPr>
          <w:p w14:paraId="737482D9" w14:textId="77777777" w:rsidR="00A30510" w:rsidRPr="006F4AB6" w:rsidRDefault="00A30510" w:rsidP="00A3051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5"/>
              </w:rPr>
            </w:pPr>
            <w:r w:rsidRPr="006F4AB6">
              <w:rPr>
                <w:rFonts w:ascii="Calibri" w:eastAsia="Times New Roman" w:hAnsi="Calibri"/>
                <w:color w:val="FFFFFF" w:themeColor="background1"/>
                <w:sz w:val="15"/>
              </w:rPr>
              <w:t>5</w:t>
            </w:r>
          </w:p>
        </w:tc>
      </w:tr>
      <w:tr w:rsidR="006F4AB6" w:rsidRPr="006F4AB6" w14:paraId="41779F4F"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shd w:val="clear" w:color="auto" w:fill="auto"/>
            <w:noWrap/>
            <w:hideMark/>
          </w:tcPr>
          <w:p w14:paraId="63064265" w14:textId="695C3B6B" w:rsidR="00A30510" w:rsidRPr="006F4AB6" w:rsidRDefault="00A30510" w:rsidP="00A30510">
            <w:pPr>
              <w:rPr>
                <w:rFonts w:ascii="Calibri" w:eastAsia="Times New Roman" w:hAnsi="Calibri"/>
                <w:color w:val="FFFFFF" w:themeColor="background1"/>
                <w:sz w:val="15"/>
              </w:rPr>
            </w:pPr>
            <w:r w:rsidRPr="006F4AB6">
              <w:rPr>
                <w:rFonts w:ascii="Calibri" w:eastAsia="Times New Roman" w:hAnsi="Calibri"/>
                <w:color w:val="000000" w:themeColor="text1"/>
                <w:sz w:val="18"/>
              </w:rPr>
              <w:t>REVENUE FORECASTS:</w:t>
            </w:r>
          </w:p>
        </w:tc>
        <w:tc>
          <w:tcPr>
            <w:tcW w:w="856" w:type="dxa"/>
            <w:shd w:val="clear" w:color="auto" w:fill="BDD6EE" w:themeFill="accent1" w:themeFillTint="66"/>
            <w:noWrap/>
            <w:hideMark/>
          </w:tcPr>
          <w:p w14:paraId="3996A2B9"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c>
          <w:tcPr>
            <w:tcW w:w="1419" w:type="dxa"/>
            <w:shd w:val="clear" w:color="auto" w:fill="BDD6EE" w:themeFill="accent1" w:themeFillTint="66"/>
            <w:noWrap/>
            <w:hideMark/>
          </w:tcPr>
          <w:p w14:paraId="62ED6F85"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c>
          <w:tcPr>
            <w:tcW w:w="1419" w:type="dxa"/>
            <w:shd w:val="clear" w:color="auto" w:fill="BDD6EE" w:themeFill="accent1" w:themeFillTint="66"/>
            <w:noWrap/>
            <w:hideMark/>
          </w:tcPr>
          <w:p w14:paraId="49DC29C4"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c>
          <w:tcPr>
            <w:tcW w:w="1419" w:type="dxa"/>
            <w:shd w:val="clear" w:color="auto" w:fill="BDD6EE" w:themeFill="accent1" w:themeFillTint="66"/>
            <w:noWrap/>
            <w:hideMark/>
          </w:tcPr>
          <w:p w14:paraId="1E3B25FD"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c>
          <w:tcPr>
            <w:tcW w:w="1419" w:type="dxa"/>
            <w:shd w:val="clear" w:color="auto" w:fill="BDD6EE" w:themeFill="accent1" w:themeFillTint="66"/>
            <w:noWrap/>
            <w:hideMark/>
          </w:tcPr>
          <w:p w14:paraId="5E2D0FF5"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c>
          <w:tcPr>
            <w:tcW w:w="1419" w:type="dxa"/>
            <w:shd w:val="clear" w:color="auto" w:fill="BDD6EE" w:themeFill="accent1" w:themeFillTint="66"/>
            <w:noWrap/>
            <w:hideMark/>
          </w:tcPr>
          <w:p w14:paraId="01CA1AED"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5"/>
                <w:szCs w:val="20"/>
              </w:rPr>
            </w:pPr>
          </w:p>
        </w:tc>
      </w:tr>
      <w:tr w:rsidR="00A30510" w:rsidRPr="00A30510" w14:paraId="3D4BEFA6" w14:textId="77777777" w:rsidTr="006F4AB6">
        <w:trPr>
          <w:trHeight w:val="33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25276FCC" w14:textId="4FA7D2DB" w:rsidR="00A30510" w:rsidRPr="00A30510" w:rsidRDefault="00A30510" w:rsidP="00A30510">
            <w:pPr>
              <w:rPr>
                <w:rFonts w:ascii="Calibri" w:eastAsia="Times New Roman" w:hAnsi="Calibri"/>
                <w:color w:val="000000"/>
                <w:sz w:val="15"/>
                <w:lang w:val="en-GB"/>
              </w:rPr>
            </w:pPr>
            <w:r w:rsidRPr="00A30510">
              <w:rPr>
                <w:rFonts w:ascii="Calibri" w:eastAsia="Times New Roman" w:hAnsi="Calibri"/>
                <w:color w:val="000000"/>
                <w:sz w:val="16"/>
              </w:rPr>
              <w:t>MARKET FORECASTS:</w:t>
            </w:r>
          </w:p>
        </w:tc>
        <w:tc>
          <w:tcPr>
            <w:tcW w:w="856" w:type="dxa"/>
            <w:shd w:val="clear" w:color="auto" w:fill="BDD6EE" w:themeFill="accent1" w:themeFillTint="66"/>
            <w:noWrap/>
            <w:hideMark/>
          </w:tcPr>
          <w:p w14:paraId="01C2EFFE"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shd w:val="clear" w:color="auto" w:fill="BDD6EE" w:themeFill="accent1" w:themeFillTint="66"/>
            <w:noWrap/>
            <w:hideMark/>
          </w:tcPr>
          <w:p w14:paraId="2E7D9FBE"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shd w:val="clear" w:color="auto" w:fill="BDD6EE" w:themeFill="accent1" w:themeFillTint="66"/>
            <w:noWrap/>
            <w:hideMark/>
          </w:tcPr>
          <w:p w14:paraId="246605E8"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shd w:val="clear" w:color="auto" w:fill="BDD6EE" w:themeFill="accent1" w:themeFillTint="66"/>
            <w:noWrap/>
            <w:hideMark/>
          </w:tcPr>
          <w:p w14:paraId="78FD6381"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shd w:val="clear" w:color="auto" w:fill="BDD6EE" w:themeFill="accent1" w:themeFillTint="66"/>
            <w:noWrap/>
            <w:hideMark/>
          </w:tcPr>
          <w:p w14:paraId="2BDF3DF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shd w:val="clear" w:color="auto" w:fill="BDD6EE" w:themeFill="accent1" w:themeFillTint="66"/>
            <w:noWrap/>
            <w:hideMark/>
          </w:tcPr>
          <w:p w14:paraId="2E59923D"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12F3A62C"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253583B4"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Initial Market Size (Units, million)</w:t>
            </w:r>
          </w:p>
        </w:tc>
        <w:tc>
          <w:tcPr>
            <w:tcW w:w="856" w:type="dxa"/>
            <w:shd w:val="clear" w:color="auto" w:fill="BDD6EE" w:themeFill="accent1" w:themeFillTint="66"/>
            <w:noWrap/>
            <w:hideMark/>
          </w:tcPr>
          <w:p w14:paraId="570791B3"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586D6BC6"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114.999,800 SEK </w:t>
            </w:r>
          </w:p>
        </w:tc>
        <w:tc>
          <w:tcPr>
            <w:tcW w:w="1419" w:type="dxa"/>
            <w:noWrap/>
            <w:hideMark/>
          </w:tcPr>
          <w:p w14:paraId="78CC6C69"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p>
        </w:tc>
        <w:tc>
          <w:tcPr>
            <w:tcW w:w="1419" w:type="dxa"/>
            <w:noWrap/>
            <w:hideMark/>
          </w:tcPr>
          <w:p w14:paraId="5567DE0C"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0CBE4D67"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7BAC1020"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r>
      <w:tr w:rsidR="00A30510" w:rsidRPr="00A30510" w14:paraId="48D8BACC"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283A93EB"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Market Growth Rate</w:t>
            </w:r>
          </w:p>
        </w:tc>
        <w:tc>
          <w:tcPr>
            <w:tcW w:w="856" w:type="dxa"/>
            <w:shd w:val="clear" w:color="auto" w:fill="BDD6EE" w:themeFill="accent1" w:themeFillTint="66"/>
            <w:noWrap/>
            <w:hideMark/>
          </w:tcPr>
          <w:p w14:paraId="1BD28C9E"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77693BE6"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6,74%</w:t>
            </w:r>
          </w:p>
        </w:tc>
        <w:tc>
          <w:tcPr>
            <w:tcW w:w="1419" w:type="dxa"/>
            <w:noWrap/>
            <w:hideMark/>
          </w:tcPr>
          <w:p w14:paraId="1B2BD0BB"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p>
        </w:tc>
        <w:tc>
          <w:tcPr>
            <w:tcW w:w="1419" w:type="dxa"/>
            <w:noWrap/>
            <w:hideMark/>
          </w:tcPr>
          <w:p w14:paraId="7AF3583E"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648D3935"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18D89BA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1F196ED0"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3D830F7B"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Market Size (Units, million)</w:t>
            </w:r>
          </w:p>
        </w:tc>
        <w:tc>
          <w:tcPr>
            <w:tcW w:w="856" w:type="dxa"/>
            <w:shd w:val="clear" w:color="auto" w:fill="BDD6EE" w:themeFill="accent1" w:themeFillTint="66"/>
            <w:noWrap/>
            <w:hideMark/>
          </w:tcPr>
          <w:p w14:paraId="5AD42215"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172C58CC"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114.999,80 SEK </w:t>
            </w:r>
          </w:p>
        </w:tc>
        <w:tc>
          <w:tcPr>
            <w:tcW w:w="1419" w:type="dxa"/>
            <w:noWrap/>
            <w:hideMark/>
          </w:tcPr>
          <w:p w14:paraId="1B57436F"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122.750,79 SEK </w:t>
            </w:r>
          </w:p>
        </w:tc>
        <w:tc>
          <w:tcPr>
            <w:tcW w:w="1419" w:type="dxa"/>
            <w:noWrap/>
            <w:hideMark/>
          </w:tcPr>
          <w:p w14:paraId="7DC2AB13"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131.024,19 SEK </w:t>
            </w:r>
          </w:p>
        </w:tc>
        <w:tc>
          <w:tcPr>
            <w:tcW w:w="1419" w:type="dxa"/>
            <w:noWrap/>
            <w:hideMark/>
          </w:tcPr>
          <w:p w14:paraId="3029E91F"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139.855,22 SEK </w:t>
            </w:r>
          </w:p>
        </w:tc>
        <w:tc>
          <w:tcPr>
            <w:tcW w:w="1419" w:type="dxa"/>
            <w:noWrap/>
            <w:hideMark/>
          </w:tcPr>
          <w:p w14:paraId="52E10F6B"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149.281,46 SEK </w:t>
            </w:r>
          </w:p>
        </w:tc>
      </w:tr>
      <w:tr w:rsidR="00A30510" w:rsidRPr="00A30510" w14:paraId="3F72BB02"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06F498E5" w14:textId="7450FE16" w:rsidR="00A30510" w:rsidRPr="00A30510" w:rsidRDefault="00A30510" w:rsidP="00A30510">
            <w:pPr>
              <w:rPr>
                <w:rFonts w:ascii="Calibri" w:eastAsia="Times New Roman" w:hAnsi="Calibri"/>
                <w:color w:val="000000"/>
                <w:sz w:val="15"/>
                <w:lang w:val="en-GB"/>
              </w:rPr>
            </w:pPr>
            <w:r w:rsidRPr="00A30510">
              <w:rPr>
                <w:rFonts w:ascii="Calibri" w:eastAsia="Times New Roman" w:hAnsi="Calibri"/>
                <w:color w:val="000000"/>
                <w:sz w:val="16"/>
                <w:lang w:val="en-GB"/>
              </w:rPr>
              <w:t>H&amp;M M</w:t>
            </w:r>
            <w:r w:rsidRPr="00A30510">
              <w:rPr>
                <w:rFonts w:ascii="Calibri" w:eastAsia="Times New Roman" w:hAnsi="Calibri"/>
                <w:color w:val="000000"/>
                <w:sz w:val="16"/>
              </w:rPr>
              <w:t>ARKET SHARE:</w:t>
            </w:r>
          </w:p>
        </w:tc>
        <w:tc>
          <w:tcPr>
            <w:tcW w:w="856" w:type="dxa"/>
            <w:shd w:val="clear" w:color="auto" w:fill="BDD6EE" w:themeFill="accent1" w:themeFillTint="66"/>
            <w:noWrap/>
            <w:hideMark/>
          </w:tcPr>
          <w:p w14:paraId="6AFED34A"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4CFCAC40"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14690286"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1B92780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5D13FBA9"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62AA6F0A"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3875B52C"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2F7D168A"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Initial Market Share</w:t>
            </w:r>
          </w:p>
        </w:tc>
        <w:tc>
          <w:tcPr>
            <w:tcW w:w="856" w:type="dxa"/>
            <w:shd w:val="clear" w:color="auto" w:fill="BDD6EE" w:themeFill="accent1" w:themeFillTint="66"/>
            <w:noWrap/>
            <w:hideMark/>
          </w:tcPr>
          <w:p w14:paraId="7DB8E94C"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39DB0238"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7,990%</w:t>
            </w:r>
          </w:p>
        </w:tc>
        <w:tc>
          <w:tcPr>
            <w:tcW w:w="1419" w:type="dxa"/>
            <w:noWrap/>
            <w:hideMark/>
          </w:tcPr>
          <w:p w14:paraId="21F0F0B1"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p>
        </w:tc>
        <w:tc>
          <w:tcPr>
            <w:tcW w:w="1419" w:type="dxa"/>
            <w:noWrap/>
            <w:hideMark/>
          </w:tcPr>
          <w:p w14:paraId="334E81AE"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65D1BFB5"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3AB4783E"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r>
      <w:tr w:rsidR="00A30510" w:rsidRPr="00A30510" w14:paraId="47C4D872"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16B419E0"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Market Share Annual Growth Rate</w:t>
            </w:r>
          </w:p>
        </w:tc>
        <w:tc>
          <w:tcPr>
            <w:tcW w:w="856" w:type="dxa"/>
            <w:shd w:val="clear" w:color="auto" w:fill="BDD6EE" w:themeFill="accent1" w:themeFillTint="66"/>
            <w:noWrap/>
            <w:hideMark/>
          </w:tcPr>
          <w:p w14:paraId="4BAB7DF3"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0D0BBE34"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5,95%</w:t>
            </w:r>
          </w:p>
        </w:tc>
        <w:tc>
          <w:tcPr>
            <w:tcW w:w="1419" w:type="dxa"/>
            <w:noWrap/>
            <w:hideMark/>
          </w:tcPr>
          <w:p w14:paraId="168C8C16"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p>
        </w:tc>
        <w:tc>
          <w:tcPr>
            <w:tcW w:w="1419" w:type="dxa"/>
            <w:noWrap/>
            <w:hideMark/>
          </w:tcPr>
          <w:p w14:paraId="28E6EE80"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3E587B6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63838652"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4F5F5077"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65B07364"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 xml:space="preserve">Market Share </w:t>
            </w:r>
          </w:p>
        </w:tc>
        <w:tc>
          <w:tcPr>
            <w:tcW w:w="856" w:type="dxa"/>
            <w:shd w:val="clear" w:color="auto" w:fill="BDD6EE" w:themeFill="accent1" w:themeFillTint="66"/>
            <w:noWrap/>
            <w:hideMark/>
          </w:tcPr>
          <w:p w14:paraId="009E9E33"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6027C8B7"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7,990%</w:t>
            </w:r>
          </w:p>
        </w:tc>
        <w:tc>
          <w:tcPr>
            <w:tcW w:w="1419" w:type="dxa"/>
            <w:noWrap/>
            <w:hideMark/>
          </w:tcPr>
          <w:p w14:paraId="714C0B8A"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8,465%</w:t>
            </w:r>
          </w:p>
        </w:tc>
        <w:tc>
          <w:tcPr>
            <w:tcW w:w="1419" w:type="dxa"/>
            <w:noWrap/>
            <w:hideMark/>
          </w:tcPr>
          <w:p w14:paraId="0D63AA7E"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8,969%</w:t>
            </w:r>
          </w:p>
        </w:tc>
        <w:tc>
          <w:tcPr>
            <w:tcW w:w="1419" w:type="dxa"/>
            <w:noWrap/>
            <w:hideMark/>
          </w:tcPr>
          <w:p w14:paraId="439052E7"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9,502%</w:t>
            </w:r>
          </w:p>
        </w:tc>
        <w:tc>
          <w:tcPr>
            <w:tcW w:w="1419" w:type="dxa"/>
            <w:noWrap/>
            <w:hideMark/>
          </w:tcPr>
          <w:p w14:paraId="12C94B6D"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10,068%</w:t>
            </w:r>
          </w:p>
        </w:tc>
      </w:tr>
      <w:tr w:rsidR="00A30510" w:rsidRPr="00A30510" w14:paraId="1161FFBF"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7022830E" w14:textId="62308CB9" w:rsidR="00A30510" w:rsidRPr="00A30510" w:rsidRDefault="00A30510" w:rsidP="00A30510">
            <w:pPr>
              <w:rPr>
                <w:rFonts w:ascii="Calibri" w:eastAsia="Times New Roman" w:hAnsi="Calibri"/>
                <w:color w:val="000000"/>
                <w:sz w:val="15"/>
                <w:lang w:val="en-GB"/>
              </w:rPr>
            </w:pPr>
            <w:r w:rsidRPr="00A30510">
              <w:rPr>
                <w:rFonts w:ascii="Calibri" w:eastAsia="Times New Roman" w:hAnsi="Calibri"/>
                <w:color w:val="000000"/>
                <w:sz w:val="16"/>
              </w:rPr>
              <w:t>PRICING STRATEGY:</w:t>
            </w:r>
          </w:p>
        </w:tc>
        <w:tc>
          <w:tcPr>
            <w:tcW w:w="856" w:type="dxa"/>
            <w:shd w:val="clear" w:color="auto" w:fill="BDD6EE" w:themeFill="accent1" w:themeFillTint="66"/>
            <w:noWrap/>
            <w:hideMark/>
          </w:tcPr>
          <w:p w14:paraId="6B542FAA"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17B58D43"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2AF90A99"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2F185F75"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5512D71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4ED30B36"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19B8E6F2"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779CEFCA"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Initial Unit Price (€/unit)</w:t>
            </w:r>
          </w:p>
        </w:tc>
        <w:tc>
          <w:tcPr>
            <w:tcW w:w="856" w:type="dxa"/>
            <w:shd w:val="clear" w:color="auto" w:fill="BDD6EE" w:themeFill="accent1" w:themeFillTint="66"/>
            <w:noWrap/>
            <w:hideMark/>
          </w:tcPr>
          <w:p w14:paraId="7E313F52"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4257305D"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c>
          <w:tcPr>
            <w:tcW w:w="1419" w:type="dxa"/>
            <w:noWrap/>
            <w:hideMark/>
          </w:tcPr>
          <w:p w14:paraId="25E73821"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p>
        </w:tc>
        <w:tc>
          <w:tcPr>
            <w:tcW w:w="1419" w:type="dxa"/>
            <w:noWrap/>
            <w:hideMark/>
          </w:tcPr>
          <w:p w14:paraId="32610362"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4ECBA5AF"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75A017AB"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r>
      <w:tr w:rsidR="00A30510" w:rsidRPr="00A30510" w14:paraId="574EF8B0"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65809413"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Bi-Annual Price Increases (€/unit)</w:t>
            </w:r>
          </w:p>
        </w:tc>
        <w:tc>
          <w:tcPr>
            <w:tcW w:w="856" w:type="dxa"/>
            <w:shd w:val="clear" w:color="auto" w:fill="BDD6EE" w:themeFill="accent1" w:themeFillTint="66"/>
            <w:noWrap/>
            <w:hideMark/>
          </w:tcPr>
          <w:p w14:paraId="51BD2EF5"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61BF5E4B"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059155AA"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0</w:t>
            </w:r>
          </w:p>
        </w:tc>
        <w:tc>
          <w:tcPr>
            <w:tcW w:w="1419" w:type="dxa"/>
            <w:noWrap/>
            <w:hideMark/>
          </w:tcPr>
          <w:p w14:paraId="33901C3F"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0</w:t>
            </w:r>
          </w:p>
        </w:tc>
        <w:tc>
          <w:tcPr>
            <w:tcW w:w="1419" w:type="dxa"/>
            <w:noWrap/>
            <w:hideMark/>
          </w:tcPr>
          <w:p w14:paraId="3A986D49"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0</w:t>
            </w:r>
          </w:p>
        </w:tc>
        <w:tc>
          <w:tcPr>
            <w:tcW w:w="1419" w:type="dxa"/>
            <w:noWrap/>
            <w:hideMark/>
          </w:tcPr>
          <w:p w14:paraId="04A55F8B" w14:textId="77777777" w:rsidR="00A30510" w:rsidRPr="00A30510" w:rsidRDefault="00A30510" w:rsidP="00A305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0</w:t>
            </w:r>
          </w:p>
        </w:tc>
      </w:tr>
      <w:tr w:rsidR="00A30510" w:rsidRPr="00A30510" w14:paraId="352EA442"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0BA763B0" w14:textId="77777777" w:rsidR="00A30510" w:rsidRPr="00A30510" w:rsidRDefault="00A30510" w:rsidP="00A30510">
            <w:pPr>
              <w:rPr>
                <w:rFonts w:ascii="Calibri" w:eastAsia="Times New Roman" w:hAnsi="Calibri"/>
                <w:b w:val="0"/>
                <w:color w:val="000000"/>
                <w:sz w:val="15"/>
                <w:lang w:val="en-GB"/>
              </w:rPr>
            </w:pPr>
            <w:r w:rsidRPr="00A30510">
              <w:rPr>
                <w:rFonts w:ascii="Calibri" w:eastAsia="Times New Roman" w:hAnsi="Calibri"/>
                <w:b w:val="0"/>
                <w:color w:val="000000"/>
                <w:sz w:val="15"/>
                <w:lang w:val="en-GB"/>
              </w:rPr>
              <w:t>Unit Price (€/unit)</w:t>
            </w:r>
          </w:p>
        </w:tc>
        <w:tc>
          <w:tcPr>
            <w:tcW w:w="856" w:type="dxa"/>
            <w:shd w:val="clear" w:color="auto" w:fill="BDD6EE" w:themeFill="accent1" w:themeFillTint="66"/>
            <w:noWrap/>
            <w:hideMark/>
          </w:tcPr>
          <w:p w14:paraId="5DC988FD" w14:textId="77777777" w:rsidR="00A30510" w:rsidRPr="00A30510"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sz w:val="15"/>
                <w:szCs w:val="20"/>
              </w:rPr>
            </w:pPr>
          </w:p>
        </w:tc>
        <w:tc>
          <w:tcPr>
            <w:tcW w:w="1419" w:type="dxa"/>
            <w:noWrap/>
            <w:hideMark/>
          </w:tcPr>
          <w:p w14:paraId="17992CF3"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c>
          <w:tcPr>
            <w:tcW w:w="1419" w:type="dxa"/>
            <w:noWrap/>
            <w:hideMark/>
          </w:tcPr>
          <w:p w14:paraId="6A5E345A"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c>
          <w:tcPr>
            <w:tcW w:w="1419" w:type="dxa"/>
            <w:noWrap/>
            <w:hideMark/>
          </w:tcPr>
          <w:p w14:paraId="3B0B44E0"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c>
          <w:tcPr>
            <w:tcW w:w="1419" w:type="dxa"/>
            <w:noWrap/>
            <w:hideMark/>
          </w:tcPr>
          <w:p w14:paraId="3A5E1998"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c>
          <w:tcPr>
            <w:tcW w:w="1419" w:type="dxa"/>
            <w:noWrap/>
            <w:hideMark/>
          </w:tcPr>
          <w:p w14:paraId="4708BC5A" w14:textId="77777777" w:rsidR="00A30510" w:rsidRPr="00A30510"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rPr>
            </w:pPr>
            <w:r w:rsidRPr="00A30510">
              <w:rPr>
                <w:rFonts w:ascii="Calibri" w:eastAsia="Times New Roman" w:hAnsi="Calibri"/>
                <w:color w:val="000000"/>
                <w:sz w:val="15"/>
              </w:rPr>
              <w:t xml:space="preserve"> 18,82 SEK </w:t>
            </w:r>
          </w:p>
        </w:tc>
      </w:tr>
      <w:tr w:rsidR="00A30510" w:rsidRPr="00A30510" w14:paraId="231A6A58" w14:textId="77777777" w:rsidTr="006F4AB6">
        <w:trPr>
          <w:trHeight w:val="314"/>
        </w:trPr>
        <w:tc>
          <w:tcPr>
            <w:cnfStyle w:val="001000000000" w:firstRow="0" w:lastRow="0" w:firstColumn="1" w:lastColumn="0" w:oddVBand="0" w:evenVBand="0" w:oddHBand="0" w:evenHBand="0" w:firstRowFirstColumn="0" w:firstRowLastColumn="0" w:lastRowFirstColumn="0" w:lastRowLastColumn="0"/>
            <w:tcW w:w="1982" w:type="dxa"/>
            <w:noWrap/>
            <w:hideMark/>
          </w:tcPr>
          <w:p w14:paraId="6616CEBE" w14:textId="34E6F049" w:rsidR="00A30510" w:rsidRPr="00A30510" w:rsidRDefault="00A30510" w:rsidP="00A30510">
            <w:pPr>
              <w:rPr>
                <w:rFonts w:ascii="Calibri" w:eastAsia="Times New Roman" w:hAnsi="Calibri"/>
                <w:color w:val="000000"/>
                <w:sz w:val="15"/>
                <w:lang w:val="en-GB"/>
              </w:rPr>
            </w:pPr>
            <w:r w:rsidRPr="00A30510">
              <w:rPr>
                <w:rFonts w:ascii="Calibri" w:eastAsia="Times New Roman" w:hAnsi="Calibri"/>
                <w:color w:val="000000"/>
                <w:sz w:val="16"/>
              </w:rPr>
              <w:t>INCREMENTAL EARNINGS FORECAST</w:t>
            </w:r>
          </w:p>
        </w:tc>
        <w:tc>
          <w:tcPr>
            <w:tcW w:w="856" w:type="dxa"/>
            <w:shd w:val="clear" w:color="auto" w:fill="BDD6EE" w:themeFill="accent1" w:themeFillTint="66"/>
            <w:noWrap/>
            <w:hideMark/>
          </w:tcPr>
          <w:p w14:paraId="4D2670E7"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56C6225C"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0A211877"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32B43611"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468B03CA"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c>
          <w:tcPr>
            <w:tcW w:w="1419" w:type="dxa"/>
            <w:noWrap/>
            <w:hideMark/>
          </w:tcPr>
          <w:p w14:paraId="5E1D3F83" w14:textId="77777777" w:rsidR="00A30510" w:rsidRPr="00A30510" w:rsidRDefault="00A30510" w:rsidP="00A30510">
            <w:pPr>
              <w:cnfStyle w:val="000000000000" w:firstRow="0" w:lastRow="0" w:firstColumn="0" w:lastColumn="0" w:oddVBand="0" w:evenVBand="0" w:oddHBand="0" w:evenHBand="0" w:firstRowFirstColumn="0" w:firstRowLastColumn="0" w:lastRowFirstColumn="0" w:lastRowLastColumn="0"/>
              <w:rPr>
                <w:rFonts w:eastAsia="Times New Roman"/>
                <w:sz w:val="15"/>
                <w:szCs w:val="20"/>
              </w:rPr>
            </w:pPr>
          </w:p>
        </w:tc>
      </w:tr>
      <w:tr w:rsidR="00A30510" w:rsidRPr="00A30510" w14:paraId="673402E2" w14:textId="77777777" w:rsidTr="006F4AB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82" w:type="dxa"/>
            <w:shd w:val="clear" w:color="auto" w:fill="FFE599" w:themeFill="accent4" w:themeFillTint="66"/>
            <w:noWrap/>
            <w:hideMark/>
          </w:tcPr>
          <w:p w14:paraId="476E7F12" w14:textId="77777777" w:rsidR="00A30510" w:rsidRPr="006F4AB6" w:rsidRDefault="00A30510" w:rsidP="00A30510">
            <w:pPr>
              <w:rPr>
                <w:rFonts w:ascii="Calibri" w:eastAsia="Times New Roman" w:hAnsi="Calibri"/>
                <w:color w:val="000000"/>
                <w:sz w:val="15"/>
                <w:lang w:val="en-GB"/>
              </w:rPr>
            </w:pPr>
            <w:r w:rsidRPr="006F4AB6">
              <w:rPr>
                <w:rFonts w:ascii="Calibri" w:eastAsia="Times New Roman" w:hAnsi="Calibri"/>
                <w:color w:val="000000"/>
                <w:sz w:val="15"/>
                <w:lang w:val="en-GB"/>
              </w:rPr>
              <w:t>Sales</w:t>
            </w:r>
          </w:p>
        </w:tc>
        <w:tc>
          <w:tcPr>
            <w:tcW w:w="856" w:type="dxa"/>
            <w:shd w:val="clear" w:color="auto" w:fill="FFE599" w:themeFill="accent4" w:themeFillTint="66"/>
            <w:noWrap/>
            <w:hideMark/>
          </w:tcPr>
          <w:p w14:paraId="2886D3FD" w14:textId="77777777" w:rsidR="00A30510" w:rsidRPr="006F4AB6" w:rsidRDefault="00A30510" w:rsidP="00A30510">
            <w:pPr>
              <w:cnfStyle w:val="000000100000" w:firstRow="0" w:lastRow="0" w:firstColumn="0" w:lastColumn="0" w:oddVBand="0" w:evenVBand="0" w:oddHBand="1" w:evenHBand="0" w:firstRowFirstColumn="0" w:firstRowLastColumn="0" w:lastRowFirstColumn="0" w:lastRowLastColumn="0"/>
              <w:rPr>
                <w:rFonts w:eastAsia="Times New Roman"/>
                <w:b/>
                <w:sz w:val="15"/>
                <w:szCs w:val="20"/>
              </w:rPr>
            </w:pPr>
          </w:p>
        </w:tc>
        <w:tc>
          <w:tcPr>
            <w:tcW w:w="1419" w:type="dxa"/>
            <w:shd w:val="clear" w:color="auto" w:fill="FFE599" w:themeFill="accent4" w:themeFillTint="66"/>
            <w:noWrap/>
            <w:hideMark/>
          </w:tcPr>
          <w:p w14:paraId="577F6C3F" w14:textId="77777777" w:rsidR="00A30510" w:rsidRPr="006F4AB6"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rPr>
            </w:pPr>
            <w:r w:rsidRPr="006F4AB6">
              <w:rPr>
                <w:rFonts w:ascii="Calibri" w:eastAsia="Times New Roman" w:hAnsi="Calibri"/>
                <w:b/>
                <w:color w:val="000000"/>
                <w:sz w:val="15"/>
              </w:rPr>
              <w:t xml:space="preserve"> 172.918,12 SEK </w:t>
            </w:r>
          </w:p>
        </w:tc>
        <w:tc>
          <w:tcPr>
            <w:tcW w:w="1419" w:type="dxa"/>
            <w:shd w:val="clear" w:color="auto" w:fill="FFE599" w:themeFill="accent4" w:themeFillTint="66"/>
            <w:noWrap/>
            <w:hideMark/>
          </w:tcPr>
          <w:p w14:paraId="4E6896D6" w14:textId="77777777" w:rsidR="00A30510" w:rsidRPr="006F4AB6"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rPr>
            </w:pPr>
            <w:r w:rsidRPr="006F4AB6">
              <w:rPr>
                <w:rFonts w:ascii="Calibri" w:eastAsia="Times New Roman" w:hAnsi="Calibri"/>
                <w:b/>
                <w:color w:val="000000"/>
                <w:sz w:val="15"/>
              </w:rPr>
              <w:t xml:space="preserve"> 195.554,88 SEK </w:t>
            </w:r>
          </w:p>
        </w:tc>
        <w:tc>
          <w:tcPr>
            <w:tcW w:w="1419" w:type="dxa"/>
            <w:shd w:val="clear" w:color="auto" w:fill="FFE599" w:themeFill="accent4" w:themeFillTint="66"/>
            <w:noWrap/>
            <w:hideMark/>
          </w:tcPr>
          <w:p w14:paraId="1D6F6371" w14:textId="77777777" w:rsidR="00A30510" w:rsidRPr="006F4AB6"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rPr>
            </w:pPr>
            <w:r w:rsidRPr="006F4AB6">
              <w:rPr>
                <w:rFonts w:ascii="Calibri" w:eastAsia="Times New Roman" w:hAnsi="Calibri"/>
                <w:b/>
                <w:color w:val="000000"/>
                <w:sz w:val="15"/>
              </w:rPr>
              <w:t xml:space="preserve"> 221.155,03 SEK </w:t>
            </w:r>
          </w:p>
        </w:tc>
        <w:tc>
          <w:tcPr>
            <w:tcW w:w="1419" w:type="dxa"/>
            <w:shd w:val="clear" w:color="auto" w:fill="FFE599" w:themeFill="accent4" w:themeFillTint="66"/>
            <w:noWrap/>
            <w:hideMark/>
          </w:tcPr>
          <w:p w14:paraId="55469568" w14:textId="77777777" w:rsidR="00A30510" w:rsidRPr="006F4AB6"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rPr>
            </w:pPr>
            <w:r w:rsidRPr="006F4AB6">
              <w:rPr>
                <w:rFonts w:ascii="Calibri" w:eastAsia="Times New Roman" w:hAnsi="Calibri"/>
                <w:b/>
                <w:color w:val="000000"/>
                <w:sz w:val="15"/>
              </w:rPr>
              <w:t xml:space="preserve"> 250.106,50 SEK </w:t>
            </w:r>
          </w:p>
        </w:tc>
        <w:tc>
          <w:tcPr>
            <w:tcW w:w="1419" w:type="dxa"/>
            <w:shd w:val="clear" w:color="auto" w:fill="FFE599" w:themeFill="accent4" w:themeFillTint="66"/>
            <w:noWrap/>
            <w:hideMark/>
          </w:tcPr>
          <w:p w14:paraId="0FDE88D5" w14:textId="77777777" w:rsidR="00A30510" w:rsidRPr="006F4AB6" w:rsidRDefault="00A30510" w:rsidP="00A305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rPr>
            </w:pPr>
            <w:r w:rsidRPr="006F4AB6">
              <w:rPr>
                <w:rFonts w:ascii="Calibri" w:eastAsia="Times New Roman" w:hAnsi="Calibri"/>
                <w:b/>
                <w:color w:val="000000"/>
                <w:sz w:val="15"/>
              </w:rPr>
              <w:t xml:space="preserve"> 282.848,02 SEK </w:t>
            </w:r>
          </w:p>
        </w:tc>
      </w:tr>
    </w:tbl>
    <w:p w14:paraId="5E9451B7" w14:textId="77777777" w:rsidR="00A30510" w:rsidRDefault="00A30510" w:rsidP="00815C97">
      <w:pPr>
        <w:pStyle w:val="Textosinformato"/>
        <w:jc w:val="both"/>
        <w:rPr>
          <w:rFonts w:asciiTheme="minorHAnsi" w:hAnsiTheme="minorHAnsi" w:cs="Courier New"/>
          <w:sz w:val="24"/>
          <w:szCs w:val="24"/>
        </w:rPr>
      </w:pPr>
    </w:p>
    <w:p w14:paraId="064A6AB3" w14:textId="77777777" w:rsidR="00A30510" w:rsidRDefault="00A30510" w:rsidP="00815C97">
      <w:pPr>
        <w:pStyle w:val="Textosinformato"/>
        <w:jc w:val="both"/>
        <w:rPr>
          <w:rFonts w:asciiTheme="minorHAnsi" w:hAnsiTheme="minorHAnsi" w:cs="Courier New"/>
          <w:sz w:val="24"/>
          <w:szCs w:val="24"/>
        </w:rPr>
      </w:pPr>
    </w:p>
    <w:p w14:paraId="6A72B0B6" w14:textId="77777777" w:rsidR="00212F5A" w:rsidRPr="00212F5A" w:rsidRDefault="00212F5A" w:rsidP="00212F5A">
      <w:pPr>
        <w:pStyle w:val="Textosinformato"/>
        <w:jc w:val="both"/>
        <w:rPr>
          <w:rFonts w:ascii="Times New Roman" w:hAnsi="Times New Roman"/>
          <w:sz w:val="24"/>
          <w:szCs w:val="24"/>
        </w:rPr>
      </w:pPr>
      <w:r w:rsidRPr="00212F5A">
        <w:rPr>
          <w:rFonts w:ascii="Times New Roman" w:hAnsi="Times New Roman"/>
          <w:sz w:val="24"/>
          <w:szCs w:val="24"/>
        </w:rPr>
        <w:t xml:space="preserve">For determining the market size, we have just considered the total volume of operations in the clothing/apparel sector where H&amp;M belongs to. The projected growth rate is also taken from secondary information sources such as Factiva or agencies’ reports. The market share of H&amp;M is just the sales </w:t>
      </w:r>
      <w:r w:rsidRPr="00212F5A">
        <w:rPr>
          <w:rFonts w:ascii="Times New Roman" w:hAnsi="Times New Roman"/>
          <w:sz w:val="24"/>
          <w:szCs w:val="24"/>
        </w:rPr>
        <w:lastRenderedPageBreak/>
        <w:t>revenue obtained by the firm divided by the total market size, that is the amount of the market that H&amp;M currently captures. We have also to consider H&amp;M growth in sales over the next 5 years, we have estimated future growth relying on past performance. Finally, we determine the average price dividing the sales revenue by the amount of units sold.</w:t>
      </w:r>
    </w:p>
    <w:p w14:paraId="4CF21427" w14:textId="77777777" w:rsidR="00212F5A" w:rsidRDefault="00212F5A" w:rsidP="00212F5A">
      <w:pPr>
        <w:pStyle w:val="Textosinformato"/>
        <w:jc w:val="both"/>
        <w:rPr>
          <w:rFonts w:ascii="Times New Roman" w:hAnsi="Times New Roman"/>
          <w:sz w:val="24"/>
          <w:szCs w:val="24"/>
        </w:rPr>
      </w:pPr>
      <w:r w:rsidRPr="00212F5A">
        <w:rPr>
          <w:rFonts w:ascii="Times New Roman" w:hAnsi="Times New Roman"/>
          <w:sz w:val="24"/>
          <w:szCs w:val="24"/>
        </w:rPr>
        <w:t xml:space="preserve">So for year 1, our revenue forecast is just going to be the year 1 initial market size, 114.999,8 million SEK, times our share, we're going to get 7,99% of that market. And then we're going to multiply it by our per unit price of $18,82 for a revenue forecast in year 1 at </w:t>
      </w:r>
      <w:r w:rsidRPr="00212F5A">
        <w:rPr>
          <w:rFonts w:ascii="Times New Roman" w:hAnsi="Times New Roman"/>
          <w:sz w:val="24"/>
          <w:szCs w:val="24"/>
          <w:lang w:val="es-ES_tradnl"/>
        </w:rPr>
        <w:t xml:space="preserve">172.918,12 </w:t>
      </w:r>
      <w:r w:rsidRPr="00212F5A">
        <w:rPr>
          <w:rFonts w:ascii="Times New Roman" w:hAnsi="Times New Roman"/>
          <w:sz w:val="24"/>
          <w:szCs w:val="24"/>
        </w:rPr>
        <w:t>million</w:t>
      </w:r>
      <w:r w:rsidRPr="00212F5A">
        <w:rPr>
          <w:rFonts w:ascii="Times New Roman" w:hAnsi="Times New Roman"/>
          <w:sz w:val="24"/>
          <w:szCs w:val="24"/>
          <w:lang w:val="es-ES_tradnl"/>
        </w:rPr>
        <w:t xml:space="preserve"> SEK</w:t>
      </w:r>
      <w:r w:rsidRPr="00212F5A">
        <w:rPr>
          <w:rFonts w:ascii="Times New Roman" w:hAnsi="Times New Roman"/>
          <w:sz w:val="24"/>
          <w:szCs w:val="24"/>
        </w:rPr>
        <w:t xml:space="preserve">. If we repeat that process for years 2 through 5, we'll get our revenue forecasts for all 5 years, and there they are. </w:t>
      </w:r>
    </w:p>
    <w:p w14:paraId="07DA53F5" w14:textId="77777777" w:rsidR="00212F5A" w:rsidRPr="00212F5A" w:rsidRDefault="00212F5A" w:rsidP="00212F5A">
      <w:pPr>
        <w:pStyle w:val="Textosinformato"/>
        <w:jc w:val="both"/>
        <w:rPr>
          <w:rFonts w:ascii="Times New Roman" w:hAnsi="Times New Roman"/>
          <w:sz w:val="24"/>
          <w:szCs w:val="24"/>
        </w:rPr>
      </w:pPr>
    </w:p>
    <w:p w14:paraId="1F91D09A" w14:textId="77777777" w:rsidR="00212F5A" w:rsidRDefault="00212F5A" w:rsidP="00685B6B">
      <w:pPr>
        <w:pStyle w:val="Textosinformato"/>
        <w:jc w:val="both"/>
        <w:rPr>
          <w:rFonts w:asciiTheme="minorHAnsi" w:hAnsiTheme="minorHAnsi" w:cs="Courier New"/>
          <w:sz w:val="24"/>
          <w:szCs w:val="24"/>
        </w:rPr>
      </w:pPr>
    </w:p>
    <w:p w14:paraId="37FC7073" w14:textId="2BD48A98" w:rsidR="00212F5A" w:rsidRDefault="00212F5A" w:rsidP="00212F5A">
      <w:pPr>
        <w:pStyle w:val="Textosinformato"/>
        <w:numPr>
          <w:ilvl w:val="0"/>
          <w:numId w:val="1"/>
        </w:numPr>
        <w:jc w:val="both"/>
        <w:rPr>
          <w:rFonts w:ascii="Times New Roman" w:hAnsi="Times New Roman"/>
          <w:b/>
          <w:sz w:val="24"/>
          <w:szCs w:val="24"/>
        </w:rPr>
      </w:pPr>
      <w:r w:rsidRPr="00050752">
        <w:rPr>
          <w:rFonts w:ascii="Times New Roman" w:hAnsi="Times New Roman"/>
          <w:b/>
          <w:sz w:val="24"/>
          <w:szCs w:val="24"/>
        </w:rPr>
        <w:t>Costs</w:t>
      </w:r>
    </w:p>
    <w:p w14:paraId="20B8C578" w14:textId="77777777" w:rsidR="00050752" w:rsidRPr="00050752" w:rsidRDefault="00050752" w:rsidP="00050752">
      <w:pPr>
        <w:pStyle w:val="Textosinformato"/>
        <w:ind w:left="720"/>
        <w:jc w:val="both"/>
        <w:rPr>
          <w:rFonts w:ascii="Times New Roman" w:hAnsi="Times New Roman"/>
          <w:b/>
          <w:sz w:val="24"/>
          <w:szCs w:val="24"/>
        </w:rPr>
      </w:pPr>
    </w:p>
    <w:p w14:paraId="725B7984" w14:textId="69F85479" w:rsidR="00685B6B" w:rsidRDefault="00685B6B"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Now let's move on to costs. And we'll start with COGS, Cost of Goods Sold. You can see that our forecast drivers here are expressed as a percentage and in particular a percentage of sales. Thus we are going to need the forecasted revenue to get the COGS forecast. This is because we assume the company won’t make meaningful changes in its cost structure so both the percentage of COGS and the percentage of SG&amp;A expense with respect to sales will remain approximately constant.</w:t>
      </w:r>
    </w:p>
    <w:p w14:paraId="2E9E85FF" w14:textId="77777777" w:rsidR="00050752" w:rsidRPr="00212F5A" w:rsidRDefault="00050752" w:rsidP="00212F5A">
      <w:pPr>
        <w:pStyle w:val="Textosinformato"/>
        <w:spacing w:line="276" w:lineRule="auto"/>
        <w:jc w:val="both"/>
        <w:rPr>
          <w:rFonts w:ascii="Times New Roman" w:hAnsi="Times New Roman"/>
          <w:sz w:val="24"/>
          <w:szCs w:val="24"/>
        </w:rPr>
      </w:pPr>
    </w:p>
    <w:p w14:paraId="4EB7CA8C" w14:textId="118C52F7" w:rsidR="00685B6B" w:rsidRPr="00212F5A" w:rsidRDefault="00685B6B" w:rsidP="00212F5A">
      <w:pPr>
        <w:pStyle w:val="Textosinformato"/>
        <w:spacing w:line="276" w:lineRule="auto"/>
        <w:jc w:val="both"/>
        <w:rPr>
          <w:rFonts w:ascii="Times New Roman" w:hAnsi="Times New Roman"/>
          <w:sz w:val="24"/>
          <w:szCs w:val="24"/>
        </w:rPr>
      </w:pPr>
      <w:r w:rsidRPr="00212F5A">
        <w:rPr>
          <w:rFonts w:ascii="Times New Roman" w:hAnsi="Times New Roman"/>
          <w:sz w:val="24"/>
          <w:szCs w:val="24"/>
        </w:rPr>
        <w:t>So if we look at year one, we can see that 42,56% of the sales are assumed to be cost of goods sold. So, we take our 172</w:t>
      </w:r>
      <w:r w:rsidR="00B13429" w:rsidRPr="00212F5A">
        <w:rPr>
          <w:rFonts w:ascii="Times New Roman" w:hAnsi="Times New Roman"/>
          <w:sz w:val="24"/>
          <w:szCs w:val="24"/>
        </w:rPr>
        <w:t>.</w:t>
      </w:r>
      <w:r w:rsidRPr="00212F5A">
        <w:rPr>
          <w:rFonts w:ascii="Times New Roman" w:hAnsi="Times New Roman"/>
          <w:sz w:val="24"/>
          <w:szCs w:val="24"/>
        </w:rPr>
        <w:t>918,12 million SEK revenue forecast, multiply it times that 42,56%, and out pops an estimate, or a projection of costs of goods sold in the first year of 73</w:t>
      </w:r>
      <w:r w:rsidR="00B13429" w:rsidRPr="00212F5A">
        <w:rPr>
          <w:rFonts w:ascii="Times New Roman" w:hAnsi="Times New Roman"/>
          <w:sz w:val="24"/>
          <w:szCs w:val="24"/>
        </w:rPr>
        <w:t>.</w:t>
      </w:r>
      <w:r w:rsidRPr="00212F5A">
        <w:rPr>
          <w:rFonts w:ascii="Times New Roman" w:hAnsi="Times New Roman"/>
          <w:sz w:val="24"/>
          <w:szCs w:val="24"/>
        </w:rPr>
        <w:t>593,75 million. If we repeat that process through years 2</w:t>
      </w:r>
      <w:r w:rsidR="00CF3A64" w:rsidRPr="00212F5A">
        <w:rPr>
          <w:rFonts w:ascii="Times New Roman" w:hAnsi="Times New Roman"/>
          <w:sz w:val="24"/>
          <w:szCs w:val="24"/>
        </w:rPr>
        <w:t xml:space="preserve"> </w:t>
      </w:r>
      <w:r w:rsidRPr="00212F5A">
        <w:rPr>
          <w:rFonts w:ascii="Times New Roman" w:hAnsi="Times New Roman"/>
          <w:sz w:val="24"/>
          <w:szCs w:val="24"/>
        </w:rPr>
        <w:t>through 5, we're going to get a full blown COGS forecast over the entire</w:t>
      </w:r>
      <w:r w:rsidR="00CF3A64" w:rsidRPr="00212F5A">
        <w:rPr>
          <w:rFonts w:ascii="Times New Roman" w:hAnsi="Times New Roman"/>
          <w:sz w:val="24"/>
          <w:szCs w:val="24"/>
        </w:rPr>
        <w:t xml:space="preserve"> </w:t>
      </w:r>
      <w:r w:rsidRPr="00212F5A">
        <w:rPr>
          <w:rFonts w:ascii="Times New Roman" w:hAnsi="Times New Roman"/>
          <w:sz w:val="24"/>
          <w:szCs w:val="24"/>
        </w:rPr>
        <w:t xml:space="preserve">projection period. </w:t>
      </w:r>
      <w:r w:rsidR="00CF3A64" w:rsidRPr="00212F5A">
        <w:rPr>
          <w:rFonts w:ascii="Times New Roman" w:hAnsi="Times New Roman"/>
          <w:sz w:val="24"/>
          <w:szCs w:val="24"/>
        </w:rPr>
        <w:t>Regarding SG</w:t>
      </w:r>
      <w:r w:rsidRPr="00212F5A">
        <w:rPr>
          <w:rFonts w:ascii="Times New Roman" w:hAnsi="Times New Roman"/>
          <w:sz w:val="24"/>
          <w:szCs w:val="24"/>
        </w:rPr>
        <w:t>&amp;A,</w:t>
      </w:r>
      <w:r w:rsidR="00CF3A64" w:rsidRPr="00212F5A">
        <w:rPr>
          <w:rFonts w:ascii="Times New Roman" w:hAnsi="Times New Roman"/>
          <w:sz w:val="24"/>
          <w:szCs w:val="24"/>
        </w:rPr>
        <w:t xml:space="preserve"> the process is quite similar. We have multiplied the percentage of S&amp;G (assumed constant) by our forecasted revenue.</w:t>
      </w:r>
      <w:r w:rsidRPr="00212F5A">
        <w:rPr>
          <w:rFonts w:ascii="Times New Roman" w:hAnsi="Times New Roman"/>
          <w:sz w:val="24"/>
          <w:szCs w:val="24"/>
        </w:rPr>
        <w:t xml:space="preserve"> Finally moving on to R&amp;D,</w:t>
      </w:r>
      <w:r w:rsidR="00CF3A64" w:rsidRPr="00212F5A">
        <w:rPr>
          <w:rFonts w:ascii="Times New Roman" w:hAnsi="Times New Roman"/>
          <w:sz w:val="24"/>
          <w:szCs w:val="24"/>
        </w:rPr>
        <w:t xml:space="preserve"> </w:t>
      </w:r>
      <w:r w:rsidRPr="00212F5A">
        <w:rPr>
          <w:rFonts w:ascii="Times New Roman" w:hAnsi="Times New Roman"/>
          <w:sz w:val="24"/>
          <w:szCs w:val="24"/>
        </w:rPr>
        <w:t>there's really not much to do here</w:t>
      </w:r>
      <w:r w:rsidR="00CF3A64" w:rsidRPr="00212F5A">
        <w:rPr>
          <w:rFonts w:ascii="Times New Roman" w:hAnsi="Times New Roman"/>
          <w:sz w:val="24"/>
          <w:szCs w:val="24"/>
        </w:rPr>
        <w:t xml:space="preserve"> because Hennes &amp; Mauritz does not have any investment in R&amp;D so it will be improbable to think about one over the next 5 years.</w:t>
      </w:r>
    </w:p>
    <w:p w14:paraId="5203AEF3" w14:textId="59CB8B26" w:rsidR="00685B6B" w:rsidRDefault="00685B6B" w:rsidP="00685B6B">
      <w:pPr>
        <w:pStyle w:val="Textosinformato"/>
        <w:jc w:val="both"/>
        <w:rPr>
          <w:rFonts w:asciiTheme="minorHAnsi" w:hAnsiTheme="minorHAnsi" w:cs="Courier New"/>
          <w:sz w:val="24"/>
          <w:szCs w:val="24"/>
        </w:rPr>
      </w:pPr>
    </w:p>
    <w:tbl>
      <w:tblPr>
        <w:tblStyle w:val="Tablanormal1"/>
        <w:tblW w:w="9951" w:type="dxa"/>
        <w:tblLayout w:type="fixed"/>
        <w:tblLook w:val="04A0" w:firstRow="1" w:lastRow="0" w:firstColumn="1" w:lastColumn="0" w:noHBand="0" w:noVBand="1"/>
      </w:tblPr>
      <w:tblGrid>
        <w:gridCol w:w="2008"/>
        <w:gridCol w:w="1108"/>
        <w:gridCol w:w="1151"/>
        <w:gridCol w:w="1421"/>
        <w:gridCol w:w="1421"/>
        <w:gridCol w:w="1421"/>
        <w:gridCol w:w="1421"/>
      </w:tblGrid>
      <w:tr w:rsidR="006F4AB6" w:rsidRPr="006F4AB6" w14:paraId="52383A4D" w14:textId="77777777" w:rsidTr="006F4AB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shd w:val="clear" w:color="auto" w:fill="1F4E79" w:themeFill="accent1" w:themeFillShade="80"/>
            <w:noWrap/>
            <w:hideMark/>
          </w:tcPr>
          <w:p w14:paraId="751A2E7F" w14:textId="0E0D11B0" w:rsidR="005D7DD5" w:rsidRPr="006F4AB6" w:rsidRDefault="006F4AB6">
            <w:pPr>
              <w:rPr>
                <w:rFonts w:ascii="Calibri" w:eastAsia="Times New Roman" w:hAnsi="Calibri"/>
                <w:color w:val="FFFFFF" w:themeColor="background1"/>
                <w:sz w:val="16"/>
              </w:rPr>
            </w:pPr>
            <w:r w:rsidRPr="006F4AB6">
              <w:rPr>
                <w:rFonts w:ascii="Calibri" w:eastAsia="Times New Roman" w:hAnsi="Calibri"/>
                <w:color w:val="FFFFFF" w:themeColor="background1"/>
                <w:sz w:val="22"/>
              </w:rPr>
              <w:t>YEARS</w:t>
            </w:r>
          </w:p>
        </w:tc>
        <w:tc>
          <w:tcPr>
            <w:tcW w:w="1108" w:type="dxa"/>
            <w:shd w:val="clear" w:color="auto" w:fill="1F4E79" w:themeFill="accent1" w:themeFillShade="80"/>
            <w:noWrap/>
            <w:hideMark/>
          </w:tcPr>
          <w:p w14:paraId="4A187353" w14:textId="77777777" w:rsidR="005D7DD5" w:rsidRPr="006F4AB6" w:rsidRDefault="005D7D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0 (F2015)</w:t>
            </w:r>
          </w:p>
        </w:tc>
        <w:tc>
          <w:tcPr>
            <w:tcW w:w="1151" w:type="dxa"/>
            <w:shd w:val="clear" w:color="auto" w:fill="1F4E79" w:themeFill="accent1" w:themeFillShade="80"/>
            <w:noWrap/>
            <w:hideMark/>
          </w:tcPr>
          <w:p w14:paraId="270D267F" w14:textId="77777777" w:rsidR="005D7DD5" w:rsidRPr="006F4AB6" w:rsidRDefault="005D7DD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1</w:t>
            </w:r>
          </w:p>
        </w:tc>
        <w:tc>
          <w:tcPr>
            <w:tcW w:w="1421" w:type="dxa"/>
            <w:shd w:val="clear" w:color="auto" w:fill="1F4E79" w:themeFill="accent1" w:themeFillShade="80"/>
            <w:noWrap/>
            <w:hideMark/>
          </w:tcPr>
          <w:p w14:paraId="3E8AACD4" w14:textId="77777777" w:rsidR="005D7DD5" w:rsidRPr="006F4AB6" w:rsidRDefault="005D7DD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2</w:t>
            </w:r>
          </w:p>
        </w:tc>
        <w:tc>
          <w:tcPr>
            <w:tcW w:w="1421" w:type="dxa"/>
            <w:shd w:val="clear" w:color="auto" w:fill="1F4E79" w:themeFill="accent1" w:themeFillShade="80"/>
            <w:noWrap/>
            <w:hideMark/>
          </w:tcPr>
          <w:p w14:paraId="691520EC" w14:textId="77777777" w:rsidR="005D7DD5" w:rsidRPr="006F4AB6" w:rsidRDefault="005D7DD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3</w:t>
            </w:r>
          </w:p>
        </w:tc>
        <w:tc>
          <w:tcPr>
            <w:tcW w:w="1421" w:type="dxa"/>
            <w:shd w:val="clear" w:color="auto" w:fill="1F4E79" w:themeFill="accent1" w:themeFillShade="80"/>
            <w:noWrap/>
            <w:hideMark/>
          </w:tcPr>
          <w:p w14:paraId="6A9CEAC1" w14:textId="77777777" w:rsidR="005D7DD5" w:rsidRPr="006F4AB6" w:rsidRDefault="005D7DD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4</w:t>
            </w:r>
          </w:p>
        </w:tc>
        <w:tc>
          <w:tcPr>
            <w:tcW w:w="1421" w:type="dxa"/>
            <w:shd w:val="clear" w:color="auto" w:fill="1F4E79" w:themeFill="accent1" w:themeFillShade="80"/>
            <w:noWrap/>
            <w:hideMark/>
          </w:tcPr>
          <w:p w14:paraId="20E6D2F8" w14:textId="77777777" w:rsidR="005D7DD5" w:rsidRPr="006F4AB6" w:rsidRDefault="005D7DD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5</w:t>
            </w:r>
          </w:p>
        </w:tc>
      </w:tr>
      <w:tr w:rsidR="006F4AB6" w:rsidRPr="006F4AB6" w14:paraId="1917BD0F" w14:textId="77777777" w:rsidTr="006F4AB6">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shd w:val="clear" w:color="auto" w:fill="auto"/>
            <w:noWrap/>
            <w:hideMark/>
          </w:tcPr>
          <w:p w14:paraId="52217D61" w14:textId="489987DA" w:rsidR="005D7DD5" w:rsidRPr="006F4AB6" w:rsidRDefault="001F3561">
            <w:pPr>
              <w:rPr>
                <w:rFonts w:ascii="Calibri" w:eastAsia="Times New Roman" w:hAnsi="Calibri"/>
                <w:color w:val="FFFFFF" w:themeColor="background1"/>
                <w:sz w:val="16"/>
              </w:rPr>
            </w:pPr>
            <w:r w:rsidRPr="006F4AB6">
              <w:rPr>
                <w:rFonts w:ascii="Calibri" w:eastAsia="Times New Roman" w:hAnsi="Calibri"/>
                <w:color w:val="000000" w:themeColor="text1"/>
                <w:sz w:val="18"/>
              </w:rPr>
              <w:t>OPERATING EXPENSES</w:t>
            </w:r>
          </w:p>
        </w:tc>
        <w:tc>
          <w:tcPr>
            <w:tcW w:w="1108" w:type="dxa"/>
            <w:shd w:val="clear" w:color="auto" w:fill="auto"/>
            <w:noWrap/>
            <w:hideMark/>
          </w:tcPr>
          <w:p w14:paraId="7E0C6424"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c>
          <w:tcPr>
            <w:tcW w:w="1151" w:type="dxa"/>
            <w:shd w:val="clear" w:color="auto" w:fill="BDD6EE" w:themeFill="accent1" w:themeFillTint="66"/>
            <w:noWrap/>
            <w:hideMark/>
          </w:tcPr>
          <w:p w14:paraId="3C6AAD25"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c>
          <w:tcPr>
            <w:tcW w:w="1421" w:type="dxa"/>
            <w:shd w:val="clear" w:color="auto" w:fill="BDD6EE" w:themeFill="accent1" w:themeFillTint="66"/>
            <w:noWrap/>
            <w:hideMark/>
          </w:tcPr>
          <w:p w14:paraId="638125DA"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c>
          <w:tcPr>
            <w:tcW w:w="1421" w:type="dxa"/>
            <w:shd w:val="clear" w:color="auto" w:fill="BDD6EE" w:themeFill="accent1" w:themeFillTint="66"/>
            <w:noWrap/>
            <w:hideMark/>
          </w:tcPr>
          <w:p w14:paraId="6C960BFC"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c>
          <w:tcPr>
            <w:tcW w:w="1421" w:type="dxa"/>
            <w:shd w:val="clear" w:color="auto" w:fill="BDD6EE" w:themeFill="accent1" w:themeFillTint="66"/>
            <w:noWrap/>
            <w:hideMark/>
          </w:tcPr>
          <w:p w14:paraId="5356C30C"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c>
          <w:tcPr>
            <w:tcW w:w="1421" w:type="dxa"/>
            <w:shd w:val="clear" w:color="auto" w:fill="BDD6EE" w:themeFill="accent1" w:themeFillTint="66"/>
            <w:noWrap/>
            <w:hideMark/>
          </w:tcPr>
          <w:p w14:paraId="428590FB" w14:textId="77777777" w:rsidR="005D7DD5" w:rsidRPr="006F4AB6" w:rsidRDefault="005D7DD5">
            <w:p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6"/>
                <w:szCs w:val="20"/>
              </w:rPr>
            </w:pPr>
          </w:p>
        </w:tc>
      </w:tr>
      <w:tr w:rsidR="00685B6B" w:rsidRPr="005D7DD5" w14:paraId="07FB05A1"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3EBCB40D" w14:textId="77777777" w:rsidR="005D7DD5" w:rsidRPr="005D7DD5" w:rsidRDefault="005D7DD5">
            <w:pPr>
              <w:rPr>
                <w:rFonts w:ascii="Calibri" w:eastAsia="Times New Roman" w:hAnsi="Calibri"/>
                <w:color w:val="000000"/>
                <w:sz w:val="16"/>
              </w:rPr>
            </w:pPr>
            <w:r w:rsidRPr="005D7DD5">
              <w:rPr>
                <w:rFonts w:ascii="Calibri" w:eastAsia="Times New Roman" w:hAnsi="Calibri"/>
                <w:color w:val="000000"/>
                <w:sz w:val="16"/>
              </w:rPr>
              <w:t>COGS</w:t>
            </w:r>
          </w:p>
        </w:tc>
        <w:tc>
          <w:tcPr>
            <w:tcW w:w="1108" w:type="dxa"/>
            <w:noWrap/>
            <w:hideMark/>
          </w:tcPr>
          <w:p w14:paraId="23D09DAF" w14:textId="6EA9BAA1" w:rsidR="00685B6B" w:rsidRPr="00685B6B" w:rsidRDefault="00685B6B" w:rsidP="00685B6B">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r>
              <w:rPr>
                <w:rFonts w:asciiTheme="minorHAnsi" w:eastAsia="Times New Roman" w:hAnsiTheme="minorHAnsi"/>
                <w:sz w:val="16"/>
                <w:szCs w:val="20"/>
              </w:rPr>
              <w:t xml:space="preserve">76969,6 </w:t>
            </w:r>
            <w:r w:rsidRPr="00685B6B">
              <w:rPr>
                <w:rFonts w:eastAsia="Times New Roman"/>
                <w:sz w:val="16"/>
                <w:szCs w:val="20"/>
              </w:rPr>
              <w:t xml:space="preserve">SEK </w:t>
            </w:r>
          </w:p>
          <w:p w14:paraId="026D23C1"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hideMark/>
          </w:tcPr>
          <w:p w14:paraId="30015085"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3D7ADB01"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2D309A4B"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3C9BFC6C"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72F9885" w14:textId="77777777" w:rsidR="005D7DD5" w:rsidRPr="005D7DD5" w:rsidRDefault="005D7DD5">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685B6B" w:rsidRPr="005D7DD5" w14:paraId="39BA2A91" w14:textId="77777777"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4413A6C3" w14:textId="77777777" w:rsidR="005D7DD5" w:rsidRPr="001F3561" w:rsidRDefault="005D7DD5">
            <w:pPr>
              <w:rPr>
                <w:rFonts w:ascii="Calibri" w:eastAsia="Times New Roman" w:hAnsi="Calibri"/>
                <w:b w:val="0"/>
                <w:color w:val="000000"/>
                <w:sz w:val="16"/>
              </w:rPr>
            </w:pPr>
            <w:r w:rsidRPr="001F3561">
              <w:rPr>
                <w:rFonts w:ascii="Calibri" w:eastAsia="Times New Roman" w:hAnsi="Calibri"/>
                <w:b w:val="0"/>
                <w:color w:val="000000"/>
                <w:sz w:val="15"/>
              </w:rPr>
              <w:t>COGS / Sales (% Sales)</w:t>
            </w:r>
          </w:p>
        </w:tc>
        <w:tc>
          <w:tcPr>
            <w:tcW w:w="1108" w:type="dxa"/>
            <w:noWrap/>
            <w:hideMark/>
          </w:tcPr>
          <w:p w14:paraId="07EE5B30"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c>
          <w:tcPr>
            <w:tcW w:w="1151" w:type="dxa"/>
            <w:noWrap/>
            <w:hideMark/>
          </w:tcPr>
          <w:p w14:paraId="5E2CF14A"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c>
          <w:tcPr>
            <w:tcW w:w="1421" w:type="dxa"/>
            <w:noWrap/>
            <w:hideMark/>
          </w:tcPr>
          <w:p w14:paraId="7D318E34"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c>
          <w:tcPr>
            <w:tcW w:w="1421" w:type="dxa"/>
            <w:noWrap/>
            <w:hideMark/>
          </w:tcPr>
          <w:p w14:paraId="7129576D"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c>
          <w:tcPr>
            <w:tcW w:w="1421" w:type="dxa"/>
            <w:noWrap/>
            <w:hideMark/>
          </w:tcPr>
          <w:p w14:paraId="5A0BD839"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c>
          <w:tcPr>
            <w:tcW w:w="1421" w:type="dxa"/>
            <w:noWrap/>
            <w:hideMark/>
          </w:tcPr>
          <w:p w14:paraId="1372E4A4" w14:textId="77777777" w:rsidR="005D7DD5" w:rsidRPr="005D7DD5" w:rsidRDefault="005D7DD5"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42,56%</w:t>
            </w:r>
          </w:p>
        </w:tc>
      </w:tr>
      <w:tr w:rsidR="00685B6B" w:rsidRPr="005D7DD5" w14:paraId="58B0B371"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35FFBEFD" w14:textId="77777777" w:rsidR="005D7DD5" w:rsidRPr="005D7DD5" w:rsidRDefault="005D7DD5">
            <w:pPr>
              <w:rPr>
                <w:rFonts w:ascii="Calibri" w:eastAsia="Times New Roman" w:hAnsi="Calibri"/>
                <w:color w:val="000000"/>
                <w:sz w:val="16"/>
              </w:rPr>
            </w:pPr>
            <w:r w:rsidRPr="005D7DD5">
              <w:rPr>
                <w:rFonts w:ascii="Calibri" w:eastAsia="Times New Roman" w:hAnsi="Calibri"/>
                <w:color w:val="000000"/>
                <w:sz w:val="16"/>
              </w:rPr>
              <w:t xml:space="preserve">SG &amp; A </w:t>
            </w:r>
          </w:p>
        </w:tc>
        <w:tc>
          <w:tcPr>
            <w:tcW w:w="1108" w:type="dxa"/>
            <w:noWrap/>
            <w:hideMark/>
          </w:tcPr>
          <w:p w14:paraId="7B318CD8" w14:textId="2F182449"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70551,51</w:t>
            </w:r>
            <w:r w:rsidR="00790769">
              <w:rPr>
                <w:rFonts w:ascii="Calibri" w:eastAsia="Times New Roman" w:hAnsi="Calibri"/>
                <w:color w:val="000000"/>
                <w:sz w:val="16"/>
              </w:rPr>
              <w:t xml:space="preserve"> SEK</w:t>
            </w:r>
          </w:p>
        </w:tc>
        <w:tc>
          <w:tcPr>
            <w:tcW w:w="1151" w:type="dxa"/>
            <w:noWrap/>
            <w:hideMark/>
          </w:tcPr>
          <w:p w14:paraId="36F52C83" w14:textId="77777777"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421" w:type="dxa"/>
            <w:noWrap/>
            <w:hideMark/>
          </w:tcPr>
          <w:p w14:paraId="76B962BF" w14:textId="77777777"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10E2C54" w14:textId="77777777"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57C75E91" w14:textId="77777777"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1683C887" w14:textId="77777777" w:rsidR="005D7DD5" w:rsidRPr="005D7DD5" w:rsidRDefault="005D7DD5"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685B6B" w:rsidRPr="005D7DD5" w14:paraId="5F692407" w14:textId="1BB0C6AC"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0DE0CC12" w14:textId="20E25EBF" w:rsidR="001F3561" w:rsidRPr="001F3561" w:rsidRDefault="001F3561" w:rsidP="001F3561">
            <w:pPr>
              <w:rPr>
                <w:rFonts w:ascii="Calibri" w:eastAsia="Times New Roman" w:hAnsi="Calibri"/>
                <w:b w:val="0"/>
                <w:color w:val="000000"/>
                <w:sz w:val="16"/>
              </w:rPr>
            </w:pPr>
            <w:r w:rsidRPr="001F3561">
              <w:rPr>
                <w:rFonts w:ascii="Calibri" w:eastAsia="Times New Roman" w:hAnsi="Calibri"/>
                <w:b w:val="0"/>
                <w:color w:val="000000"/>
                <w:sz w:val="15"/>
              </w:rPr>
              <w:t xml:space="preserve">% of 2015 Company SG&amp;A </w:t>
            </w:r>
          </w:p>
        </w:tc>
        <w:tc>
          <w:tcPr>
            <w:tcW w:w="1108" w:type="dxa"/>
            <w:noWrap/>
          </w:tcPr>
          <w:p w14:paraId="4BE80277" w14:textId="13587D81"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13,39%</w:t>
            </w:r>
          </w:p>
        </w:tc>
        <w:tc>
          <w:tcPr>
            <w:tcW w:w="1151" w:type="dxa"/>
            <w:noWrap/>
          </w:tcPr>
          <w:p w14:paraId="1EB370B7" w14:textId="2C70B39F"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13,39%</w:t>
            </w:r>
          </w:p>
        </w:tc>
        <w:tc>
          <w:tcPr>
            <w:tcW w:w="1421" w:type="dxa"/>
            <w:noWrap/>
          </w:tcPr>
          <w:p w14:paraId="64F7DC05" w14:textId="7AA7B0ED"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13,39%</w:t>
            </w:r>
          </w:p>
        </w:tc>
        <w:tc>
          <w:tcPr>
            <w:tcW w:w="1421" w:type="dxa"/>
            <w:noWrap/>
          </w:tcPr>
          <w:p w14:paraId="13C086DB" w14:textId="0E3B6FF5"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13,39%</w:t>
            </w:r>
          </w:p>
        </w:tc>
        <w:tc>
          <w:tcPr>
            <w:tcW w:w="1421" w:type="dxa"/>
            <w:noWrap/>
          </w:tcPr>
          <w:p w14:paraId="5C024DA2" w14:textId="1942C739"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13,39%</w:t>
            </w:r>
          </w:p>
        </w:tc>
        <w:tc>
          <w:tcPr>
            <w:tcW w:w="1421" w:type="dxa"/>
          </w:tcPr>
          <w:p w14:paraId="67C284E2" w14:textId="6C9ADB15"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13,39%</w:t>
            </w:r>
          </w:p>
        </w:tc>
      </w:tr>
      <w:tr w:rsidR="00685B6B" w:rsidRPr="005D7DD5" w14:paraId="488831B5"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5F981B20" w14:textId="77777777" w:rsidR="001F3561" w:rsidRPr="005D7DD5" w:rsidRDefault="001F3561">
            <w:pPr>
              <w:jc w:val="right"/>
              <w:rPr>
                <w:rFonts w:ascii="Calibri" w:eastAsia="Times New Roman" w:hAnsi="Calibri"/>
                <w:color w:val="000000"/>
                <w:sz w:val="16"/>
              </w:rPr>
            </w:pPr>
          </w:p>
        </w:tc>
        <w:tc>
          <w:tcPr>
            <w:tcW w:w="1108" w:type="dxa"/>
            <w:noWrap/>
            <w:hideMark/>
          </w:tcPr>
          <w:p w14:paraId="0F53400B"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hideMark/>
          </w:tcPr>
          <w:p w14:paraId="07CC9820"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EF4CAF5"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201AEFD9"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4701F50"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1C6E24D8"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685B6B" w:rsidRPr="005D7DD5" w14:paraId="2E393563" w14:textId="77777777"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2BE7D249" w14:textId="77777777" w:rsidR="001F3561" w:rsidRPr="005D7DD5" w:rsidRDefault="001F3561">
            <w:pPr>
              <w:rPr>
                <w:rFonts w:ascii="Calibri" w:eastAsia="Times New Roman" w:hAnsi="Calibri"/>
                <w:color w:val="000000"/>
                <w:sz w:val="16"/>
              </w:rPr>
            </w:pPr>
            <w:r w:rsidRPr="005D7DD5">
              <w:rPr>
                <w:rFonts w:ascii="Calibri" w:eastAsia="Times New Roman" w:hAnsi="Calibri"/>
                <w:color w:val="000000"/>
                <w:sz w:val="16"/>
              </w:rPr>
              <w:t>R&amp;D</w:t>
            </w:r>
          </w:p>
        </w:tc>
        <w:tc>
          <w:tcPr>
            <w:tcW w:w="1108" w:type="dxa"/>
            <w:noWrap/>
            <w:hideMark/>
          </w:tcPr>
          <w:p w14:paraId="42BE3929"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151" w:type="dxa"/>
            <w:noWrap/>
            <w:hideMark/>
          </w:tcPr>
          <w:p w14:paraId="16A3BC47"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227AB63A"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58AD9F05"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17BA5564"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626A973F"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r>
      <w:tr w:rsidR="00685B6B" w:rsidRPr="005D7DD5" w14:paraId="495EFFBA"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63C1E736" w14:textId="27597F88" w:rsidR="001F3561" w:rsidRPr="001F3561" w:rsidRDefault="001F3561">
            <w:pPr>
              <w:rPr>
                <w:rFonts w:ascii="Calibri" w:eastAsia="Times New Roman" w:hAnsi="Calibri"/>
                <w:color w:val="000000"/>
                <w:sz w:val="15"/>
              </w:rPr>
            </w:pPr>
            <w:r w:rsidRPr="001F3561">
              <w:rPr>
                <w:rFonts w:ascii="Calibri" w:eastAsia="Times New Roman" w:hAnsi="Calibri"/>
                <w:color w:val="000000"/>
                <w:sz w:val="15"/>
              </w:rPr>
              <w:t xml:space="preserve">R&amp;D </w:t>
            </w:r>
            <w:proofErr w:type="spellStart"/>
            <w:r w:rsidRPr="001F3561">
              <w:rPr>
                <w:rFonts w:ascii="Calibri" w:eastAsia="Times New Roman" w:hAnsi="Calibri"/>
                <w:color w:val="000000"/>
                <w:sz w:val="15"/>
              </w:rPr>
              <w:t>Upfront</w:t>
            </w:r>
            <w:proofErr w:type="spellEnd"/>
            <w:r w:rsidRPr="001F3561">
              <w:rPr>
                <w:rFonts w:ascii="Calibri" w:eastAsia="Times New Roman" w:hAnsi="Calibri"/>
                <w:color w:val="000000"/>
                <w:sz w:val="15"/>
              </w:rPr>
              <w:t xml:space="preserve"> ($mil)</w:t>
            </w:r>
          </w:p>
        </w:tc>
        <w:tc>
          <w:tcPr>
            <w:tcW w:w="1108" w:type="dxa"/>
            <w:noWrap/>
            <w:hideMark/>
          </w:tcPr>
          <w:p w14:paraId="645FC29C"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hideMark/>
          </w:tcPr>
          <w:p w14:paraId="48B9C5AB"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19E119A6"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6BA1B7B0"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3610D898"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3F520A39"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r>
      <w:tr w:rsidR="00685B6B" w:rsidRPr="005D7DD5" w14:paraId="0B49F7C7" w14:textId="77777777"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5C85664C" w14:textId="1DAD6BAA" w:rsidR="001F3561" w:rsidRPr="001F3561" w:rsidRDefault="001F3561">
            <w:pPr>
              <w:rPr>
                <w:rFonts w:ascii="Calibri" w:eastAsia="Times New Roman" w:hAnsi="Calibri"/>
                <w:color w:val="000000"/>
                <w:sz w:val="15"/>
              </w:rPr>
            </w:pPr>
            <w:r w:rsidRPr="001F3561">
              <w:rPr>
                <w:rFonts w:ascii="Calibri" w:eastAsia="Times New Roman" w:hAnsi="Calibri"/>
                <w:color w:val="000000"/>
                <w:sz w:val="15"/>
              </w:rPr>
              <w:t xml:space="preserve">R&amp;D </w:t>
            </w:r>
            <w:proofErr w:type="spellStart"/>
            <w:r w:rsidRPr="001F3561">
              <w:rPr>
                <w:rFonts w:ascii="Calibri" w:eastAsia="Times New Roman" w:hAnsi="Calibri"/>
                <w:color w:val="000000"/>
                <w:sz w:val="15"/>
              </w:rPr>
              <w:t>for</w:t>
            </w:r>
            <w:proofErr w:type="spellEnd"/>
            <w:r w:rsidRPr="001F3561">
              <w:rPr>
                <w:rFonts w:ascii="Calibri" w:eastAsia="Times New Roman" w:hAnsi="Calibri"/>
                <w:color w:val="000000"/>
                <w:sz w:val="15"/>
              </w:rPr>
              <w:t xml:space="preserve"> </w:t>
            </w:r>
            <w:proofErr w:type="spellStart"/>
            <w:r w:rsidRPr="001F3561">
              <w:rPr>
                <w:rFonts w:ascii="Calibri" w:eastAsia="Times New Roman" w:hAnsi="Calibri"/>
                <w:color w:val="000000"/>
                <w:sz w:val="15"/>
              </w:rPr>
              <w:t>Versioning</w:t>
            </w:r>
            <w:proofErr w:type="spellEnd"/>
            <w:r w:rsidRPr="001F3561">
              <w:rPr>
                <w:rFonts w:ascii="Calibri" w:eastAsia="Times New Roman" w:hAnsi="Calibri"/>
                <w:color w:val="000000"/>
                <w:sz w:val="15"/>
              </w:rPr>
              <w:t xml:space="preserve"> ($mil)</w:t>
            </w:r>
          </w:p>
        </w:tc>
        <w:tc>
          <w:tcPr>
            <w:tcW w:w="1108" w:type="dxa"/>
            <w:noWrap/>
            <w:hideMark/>
          </w:tcPr>
          <w:p w14:paraId="4B6939E2"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151" w:type="dxa"/>
            <w:noWrap/>
            <w:hideMark/>
          </w:tcPr>
          <w:p w14:paraId="1EDE6C6B"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55F20C20"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41C81DDD"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352E72E4"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c>
          <w:tcPr>
            <w:tcW w:w="1421" w:type="dxa"/>
            <w:noWrap/>
            <w:hideMark/>
          </w:tcPr>
          <w:p w14:paraId="51FA52DE" w14:textId="77777777"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D7DD5">
              <w:rPr>
                <w:rFonts w:ascii="Calibri" w:eastAsia="Times New Roman" w:hAnsi="Calibri"/>
                <w:color w:val="000000"/>
                <w:sz w:val="16"/>
              </w:rPr>
              <w:t>0</w:t>
            </w:r>
          </w:p>
        </w:tc>
      </w:tr>
      <w:tr w:rsidR="00685B6B" w:rsidRPr="005D7DD5" w14:paraId="568502B2"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2FB33AB3" w14:textId="77777777" w:rsidR="001F3561" w:rsidRPr="005D7DD5" w:rsidRDefault="001F3561">
            <w:pPr>
              <w:jc w:val="right"/>
              <w:rPr>
                <w:rFonts w:ascii="Calibri" w:eastAsia="Times New Roman" w:hAnsi="Calibri"/>
                <w:color w:val="000000"/>
                <w:sz w:val="16"/>
              </w:rPr>
            </w:pPr>
          </w:p>
        </w:tc>
        <w:tc>
          <w:tcPr>
            <w:tcW w:w="1108" w:type="dxa"/>
            <w:noWrap/>
            <w:hideMark/>
          </w:tcPr>
          <w:p w14:paraId="68175767"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hideMark/>
          </w:tcPr>
          <w:p w14:paraId="62810706"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0AF74DA5"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C6A6BF6"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29BC9EF9"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442B91CB"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685B6B" w:rsidRPr="005D7DD5" w14:paraId="0C9B80E9" w14:textId="77777777"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47C53A5C" w14:textId="77777777" w:rsidR="001F3561" w:rsidRPr="005D7DD5" w:rsidRDefault="001F3561">
            <w:pPr>
              <w:rPr>
                <w:rFonts w:eastAsia="Times New Roman"/>
                <w:sz w:val="16"/>
                <w:szCs w:val="20"/>
              </w:rPr>
            </w:pPr>
          </w:p>
        </w:tc>
        <w:tc>
          <w:tcPr>
            <w:tcW w:w="1108" w:type="dxa"/>
            <w:noWrap/>
            <w:hideMark/>
          </w:tcPr>
          <w:p w14:paraId="23048420"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151" w:type="dxa"/>
            <w:noWrap/>
            <w:hideMark/>
          </w:tcPr>
          <w:p w14:paraId="7F4D9590"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21" w:type="dxa"/>
            <w:noWrap/>
            <w:hideMark/>
          </w:tcPr>
          <w:p w14:paraId="5E6FC2A0"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21" w:type="dxa"/>
            <w:noWrap/>
            <w:hideMark/>
          </w:tcPr>
          <w:p w14:paraId="008A6426"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21" w:type="dxa"/>
            <w:noWrap/>
            <w:hideMark/>
          </w:tcPr>
          <w:p w14:paraId="5830A81F"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21" w:type="dxa"/>
            <w:noWrap/>
            <w:hideMark/>
          </w:tcPr>
          <w:p w14:paraId="5DAE8E72"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r>
      <w:tr w:rsidR="00685B6B" w:rsidRPr="005D7DD5" w14:paraId="1F3213BC"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44AD27C9" w14:textId="50A502C2" w:rsidR="001F3561" w:rsidRPr="005D7DD5" w:rsidRDefault="001F3561">
            <w:pPr>
              <w:rPr>
                <w:rFonts w:ascii="Calibri" w:eastAsia="Times New Roman" w:hAnsi="Calibri"/>
                <w:color w:val="000000"/>
                <w:sz w:val="16"/>
              </w:rPr>
            </w:pPr>
            <w:r>
              <w:rPr>
                <w:rFonts w:ascii="Calibri" w:eastAsia="Times New Roman" w:hAnsi="Calibri"/>
                <w:color w:val="000000"/>
                <w:sz w:val="16"/>
              </w:rPr>
              <w:t>INCREMENTAL EARNINGS FORECAST</w:t>
            </w:r>
          </w:p>
        </w:tc>
        <w:tc>
          <w:tcPr>
            <w:tcW w:w="1108" w:type="dxa"/>
            <w:noWrap/>
            <w:hideMark/>
          </w:tcPr>
          <w:p w14:paraId="369A721C"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tcPr>
          <w:p w14:paraId="5E18745C" w14:textId="17401B40" w:rsidR="001F3561" w:rsidRPr="005D7DD5" w:rsidRDefault="001F35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421" w:type="dxa"/>
            <w:noWrap/>
          </w:tcPr>
          <w:p w14:paraId="6B34E59B" w14:textId="15CDE7BE" w:rsidR="001F3561" w:rsidRPr="005D7DD5" w:rsidRDefault="001F35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421" w:type="dxa"/>
            <w:noWrap/>
          </w:tcPr>
          <w:p w14:paraId="675952A2" w14:textId="43F47F8C" w:rsidR="001F3561" w:rsidRPr="005D7DD5" w:rsidRDefault="001F35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421" w:type="dxa"/>
            <w:noWrap/>
          </w:tcPr>
          <w:p w14:paraId="68C3FD45" w14:textId="29C9F624" w:rsidR="001F3561" w:rsidRPr="005D7DD5" w:rsidRDefault="001F35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421" w:type="dxa"/>
            <w:noWrap/>
          </w:tcPr>
          <w:p w14:paraId="41D839E6" w14:textId="53BA3682" w:rsidR="001F3561" w:rsidRPr="005D7DD5" w:rsidRDefault="001F35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r>
      <w:tr w:rsidR="00685B6B" w:rsidRPr="005D7DD5" w14:paraId="1B42989E" w14:textId="77777777" w:rsidTr="00685B6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5F2BCB57" w14:textId="77777777" w:rsidR="001F3561" w:rsidRPr="005D7DD5" w:rsidRDefault="001F3561">
            <w:pPr>
              <w:rPr>
                <w:rFonts w:ascii="Calibri" w:eastAsia="Times New Roman" w:hAnsi="Calibri"/>
                <w:color w:val="000000"/>
                <w:sz w:val="16"/>
              </w:rPr>
            </w:pPr>
            <w:r w:rsidRPr="005D7DD5">
              <w:rPr>
                <w:rFonts w:ascii="Calibri" w:eastAsia="Times New Roman" w:hAnsi="Calibri"/>
                <w:color w:val="000000"/>
                <w:sz w:val="16"/>
              </w:rPr>
              <w:t>Sales</w:t>
            </w:r>
          </w:p>
        </w:tc>
        <w:tc>
          <w:tcPr>
            <w:tcW w:w="1108" w:type="dxa"/>
            <w:noWrap/>
            <w:hideMark/>
          </w:tcPr>
          <w:p w14:paraId="537507AA" w14:textId="77777777" w:rsidR="001F3561" w:rsidRPr="005D7DD5" w:rsidRDefault="001F3561">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151" w:type="dxa"/>
            <w:noWrap/>
            <w:hideMark/>
          </w:tcPr>
          <w:p w14:paraId="4BB3E9D6" w14:textId="03B1C8D8"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172.918,12 SEK</w:t>
            </w:r>
          </w:p>
        </w:tc>
        <w:tc>
          <w:tcPr>
            <w:tcW w:w="1421" w:type="dxa"/>
            <w:noWrap/>
            <w:hideMark/>
          </w:tcPr>
          <w:p w14:paraId="501E91DB" w14:textId="0C2315C5"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195.554,88 SEK</w:t>
            </w:r>
          </w:p>
        </w:tc>
        <w:tc>
          <w:tcPr>
            <w:tcW w:w="1421" w:type="dxa"/>
            <w:noWrap/>
            <w:hideMark/>
          </w:tcPr>
          <w:p w14:paraId="3FCE539A" w14:textId="55245DF9"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221.155,03 SEK</w:t>
            </w:r>
          </w:p>
        </w:tc>
        <w:tc>
          <w:tcPr>
            <w:tcW w:w="1421" w:type="dxa"/>
            <w:noWrap/>
            <w:hideMark/>
          </w:tcPr>
          <w:p w14:paraId="696A1B00" w14:textId="02EBE5FC"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250.106,50 SEK</w:t>
            </w:r>
          </w:p>
        </w:tc>
        <w:tc>
          <w:tcPr>
            <w:tcW w:w="1421" w:type="dxa"/>
            <w:noWrap/>
            <w:hideMark/>
          </w:tcPr>
          <w:p w14:paraId="269AC9F6" w14:textId="4899BCC0" w:rsidR="001F3561" w:rsidRPr="005D7DD5" w:rsidRDefault="001F3561" w:rsidP="001F3561">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D7DD5">
              <w:rPr>
                <w:rFonts w:ascii="Calibri" w:eastAsia="Times New Roman" w:hAnsi="Calibri"/>
                <w:color w:val="000000"/>
                <w:sz w:val="16"/>
              </w:rPr>
              <w:t>282.848,02 SEK</w:t>
            </w:r>
          </w:p>
        </w:tc>
      </w:tr>
      <w:tr w:rsidR="00685B6B" w:rsidRPr="005D7DD5" w14:paraId="742A1556" w14:textId="77777777" w:rsidTr="00685B6B">
        <w:trPr>
          <w:trHeight w:val="318"/>
        </w:trPr>
        <w:tc>
          <w:tcPr>
            <w:cnfStyle w:val="001000000000" w:firstRow="0" w:lastRow="0" w:firstColumn="1" w:lastColumn="0" w:oddVBand="0" w:evenVBand="0" w:oddHBand="0" w:evenHBand="0" w:firstRowFirstColumn="0" w:firstRowLastColumn="0" w:lastRowFirstColumn="0" w:lastRowLastColumn="0"/>
            <w:tcW w:w="2008" w:type="dxa"/>
            <w:noWrap/>
            <w:hideMark/>
          </w:tcPr>
          <w:p w14:paraId="49DAA5A8" w14:textId="53D1A9B1" w:rsidR="001F3561" w:rsidRPr="005D7DD5" w:rsidRDefault="001F3561">
            <w:pPr>
              <w:rPr>
                <w:rFonts w:ascii="Calibri" w:eastAsia="Times New Roman" w:hAnsi="Calibri"/>
                <w:color w:val="000000"/>
                <w:sz w:val="16"/>
              </w:rPr>
            </w:pPr>
            <w:r>
              <w:rPr>
                <w:rFonts w:ascii="Calibri" w:eastAsia="Times New Roman" w:hAnsi="Calibri"/>
                <w:color w:val="000000"/>
                <w:sz w:val="16"/>
              </w:rPr>
              <w:t>INCREMENTAL EARNINGS FORECAST</w:t>
            </w:r>
          </w:p>
        </w:tc>
        <w:tc>
          <w:tcPr>
            <w:tcW w:w="1108" w:type="dxa"/>
            <w:noWrap/>
            <w:hideMark/>
          </w:tcPr>
          <w:p w14:paraId="223C2238" w14:textId="77777777" w:rsidR="001F3561" w:rsidRPr="005D7DD5" w:rsidRDefault="001F3561">
            <w:pP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151" w:type="dxa"/>
            <w:noWrap/>
            <w:hideMark/>
          </w:tcPr>
          <w:p w14:paraId="77F977D0"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38764C9E"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2D660C29"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3EED54AA"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21" w:type="dxa"/>
            <w:noWrap/>
            <w:hideMark/>
          </w:tcPr>
          <w:p w14:paraId="31D5DA72" w14:textId="77777777" w:rsidR="001F3561" w:rsidRPr="005D7DD5" w:rsidRDefault="001F3561" w:rsidP="001F3561">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685B6B" w:rsidRPr="005D7DD5" w14:paraId="4E26AE1E" w14:textId="77777777" w:rsidTr="006F4AB6">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008" w:type="dxa"/>
            <w:shd w:val="clear" w:color="auto" w:fill="FFE599" w:themeFill="accent4" w:themeFillTint="66"/>
            <w:noWrap/>
            <w:hideMark/>
          </w:tcPr>
          <w:p w14:paraId="0D8180DA" w14:textId="77777777" w:rsidR="001F3561" w:rsidRPr="006F4AB6" w:rsidRDefault="001F3561">
            <w:pPr>
              <w:rPr>
                <w:rFonts w:ascii="Calibri" w:eastAsia="Times New Roman" w:hAnsi="Calibri"/>
                <w:color w:val="000000"/>
                <w:sz w:val="16"/>
              </w:rPr>
            </w:pPr>
            <w:r w:rsidRPr="006F4AB6">
              <w:rPr>
                <w:rFonts w:ascii="Calibri" w:eastAsia="Times New Roman" w:hAnsi="Calibri"/>
                <w:color w:val="000000"/>
                <w:sz w:val="16"/>
              </w:rPr>
              <w:t>COGS</w:t>
            </w:r>
          </w:p>
        </w:tc>
        <w:tc>
          <w:tcPr>
            <w:tcW w:w="1108" w:type="dxa"/>
            <w:shd w:val="clear" w:color="auto" w:fill="FFE599" w:themeFill="accent4" w:themeFillTint="66"/>
            <w:noWrap/>
            <w:hideMark/>
          </w:tcPr>
          <w:p w14:paraId="6D2AB980" w14:textId="77777777" w:rsidR="001F3561" w:rsidRPr="006F4AB6" w:rsidRDefault="001F3561">
            <w:pPr>
              <w:cnfStyle w:val="000000100000" w:firstRow="0" w:lastRow="0" w:firstColumn="0" w:lastColumn="0" w:oddVBand="0" w:evenVBand="0" w:oddHBand="1" w:evenHBand="0" w:firstRowFirstColumn="0" w:firstRowLastColumn="0" w:lastRowFirstColumn="0" w:lastRowLastColumn="0"/>
              <w:rPr>
                <w:rFonts w:eastAsia="Times New Roman"/>
                <w:b/>
                <w:sz w:val="16"/>
                <w:szCs w:val="20"/>
              </w:rPr>
            </w:pPr>
          </w:p>
        </w:tc>
        <w:tc>
          <w:tcPr>
            <w:tcW w:w="1151" w:type="dxa"/>
            <w:shd w:val="clear" w:color="auto" w:fill="FFE599" w:themeFill="accent4" w:themeFillTint="66"/>
            <w:noWrap/>
            <w:hideMark/>
          </w:tcPr>
          <w:p w14:paraId="1B1B41FD" w14:textId="6B6B30E1" w:rsidR="001F3561" w:rsidRPr="006F4AB6"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73.593,95 SEK</w:t>
            </w:r>
          </w:p>
        </w:tc>
        <w:tc>
          <w:tcPr>
            <w:tcW w:w="1421" w:type="dxa"/>
            <w:shd w:val="clear" w:color="auto" w:fill="FFE599" w:themeFill="accent4" w:themeFillTint="66"/>
            <w:noWrap/>
            <w:hideMark/>
          </w:tcPr>
          <w:p w14:paraId="7FBF3C55" w14:textId="30C45EB7" w:rsidR="001F3561" w:rsidRPr="006F4AB6"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83.228,16 SEK</w:t>
            </w:r>
          </w:p>
        </w:tc>
        <w:tc>
          <w:tcPr>
            <w:tcW w:w="1421" w:type="dxa"/>
            <w:shd w:val="clear" w:color="auto" w:fill="FFE599" w:themeFill="accent4" w:themeFillTint="66"/>
            <w:noWrap/>
            <w:hideMark/>
          </w:tcPr>
          <w:p w14:paraId="667A7646" w14:textId="5609161C" w:rsidR="001F3561" w:rsidRPr="006F4AB6"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94.123,58 SEK</w:t>
            </w:r>
          </w:p>
        </w:tc>
        <w:tc>
          <w:tcPr>
            <w:tcW w:w="1421" w:type="dxa"/>
            <w:shd w:val="clear" w:color="auto" w:fill="FFE599" w:themeFill="accent4" w:themeFillTint="66"/>
            <w:noWrap/>
            <w:hideMark/>
          </w:tcPr>
          <w:p w14:paraId="03183CC4" w14:textId="26FC0905" w:rsidR="001F3561" w:rsidRPr="006F4AB6"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106.445,33 SEK</w:t>
            </w:r>
          </w:p>
        </w:tc>
        <w:tc>
          <w:tcPr>
            <w:tcW w:w="1421" w:type="dxa"/>
            <w:shd w:val="clear" w:color="auto" w:fill="FFE599" w:themeFill="accent4" w:themeFillTint="66"/>
            <w:noWrap/>
            <w:hideMark/>
          </w:tcPr>
          <w:p w14:paraId="53DFDCCE" w14:textId="5532D44B" w:rsidR="001F3561" w:rsidRPr="006F4AB6" w:rsidRDefault="001F3561" w:rsidP="001F35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120.380,12 SEK</w:t>
            </w:r>
          </w:p>
        </w:tc>
      </w:tr>
      <w:tr w:rsidR="00685B6B" w:rsidRPr="005D7DD5" w14:paraId="4088ACFC" w14:textId="77777777" w:rsidTr="006F4AB6">
        <w:trPr>
          <w:trHeight w:val="318"/>
        </w:trPr>
        <w:tc>
          <w:tcPr>
            <w:cnfStyle w:val="001000000000" w:firstRow="0" w:lastRow="0" w:firstColumn="1" w:lastColumn="0" w:oddVBand="0" w:evenVBand="0" w:oddHBand="0" w:evenHBand="0" w:firstRowFirstColumn="0" w:firstRowLastColumn="0" w:lastRowFirstColumn="0" w:lastRowLastColumn="0"/>
            <w:tcW w:w="2008" w:type="dxa"/>
            <w:shd w:val="clear" w:color="auto" w:fill="FFE599" w:themeFill="accent4" w:themeFillTint="66"/>
            <w:noWrap/>
            <w:hideMark/>
          </w:tcPr>
          <w:p w14:paraId="3CF2993A" w14:textId="77777777" w:rsidR="001F3561" w:rsidRPr="006F4AB6" w:rsidRDefault="001F3561">
            <w:pPr>
              <w:rPr>
                <w:rFonts w:ascii="Calibri" w:eastAsia="Times New Roman" w:hAnsi="Calibri"/>
                <w:color w:val="000000"/>
                <w:sz w:val="16"/>
              </w:rPr>
            </w:pPr>
            <w:r w:rsidRPr="006F4AB6">
              <w:rPr>
                <w:rFonts w:ascii="Calibri" w:eastAsia="Times New Roman" w:hAnsi="Calibri"/>
                <w:color w:val="000000"/>
                <w:sz w:val="16"/>
              </w:rPr>
              <w:t>SG &amp; A</w:t>
            </w:r>
          </w:p>
        </w:tc>
        <w:tc>
          <w:tcPr>
            <w:tcW w:w="1108" w:type="dxa"/>
            <w:shd w:val="clear" w:color="auto" w:fill="FFE599" w:themeFill="accent4" w:themeFillTint="66"/>
            <w:noWrap/>
            <w:hideMark/>
          </w:tcPr>
          <w:p w14:paraId="422D10F6" w14:textId="77777777" w:rsidR="001F3561" w:rsidRPr="006F4AB6" w:rsidRDefault="001F3561">
            <w:pPr>
              <w:cnfStyle w:val="000000000000" w:firstRow="0" w:lastRow="0" w:firstColumn="0" w:lastColumn="0" w:oddVBand="0" w:evenVBand="0" w:oddHBand="0" w:evenHBand="0" w:firstRowFirstColumn="0" w:firstRowLastColumn="0" w:lastRowFirstColumn="0" w:lastRowLastColumn="0"/>
              <w:rPr>
                <w:rFonts w:eastAsia="Times New Roman"/>
                <w:b/>
                <w:sz w:val="16"/>
                <w:szCs w:val="20"/>
              </w:rPr>
            </w:pPr>
          </w:p>
        </w:tc>
        <w:tc>
          <w:tcPr>
            <w:tcW w:w="1151" w:type="dxa"/>
            <w:shd w:val="clear" w:color="auto" w:fill="FFE599" w:themeFill="accent4" w:themeFillTint="66"/>
            <w:noWrap/>
            <w:hideMark/>
          </w:tcPr>
          <w:p w14:paraId="55F089AE" w14:textId="20A38A44" w:rsidR="001F3561" w:rsidRPr="006F4AB6"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79.998,36 SEK</w:t>
            </w:r>
          </w:p>
        </w:tc>
        <w:tc>
          <w:tcPr>
            <w:tcW w:w="1421" w:type="dxa"/>
            <w:shd w:val="clear" w:color="auto" w:fill="FFE599" w:themeFill="accent4" w:themeFillTint="66"/>
            <w:noWrap/>
            <w:hideMark/>
          </w:tcPr>
          <w:p w14:paraId="07DEA9A9" w14:textId="2DE748F8" w:rsidR="001F3561" w:rsidRPr="006F4AB6"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90.710,14 SEK</w:t>
            </w:r>
          </w:p>
        </w:tc>
        <w:tc>
          <w:tcPr>
            <w:tcW w:w="1421" w:type="dxa"/>
            <w:shd w:val="clear" w:color="auto" w:fill="FFE599" w:themeFill="accent4" w:themeFillTint="66"/>
            <w:noWrap/>
            <w:hideMark/>
          </w:tcPr>
          <w:p w14:paraId="041F7CE2" w14:textId="6709B57C" w:rsidR="001F3561" w:rsidRPr="006F4AB6"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102.856,22 SEK</w:t>
            </w:r>
          </w:p>
        </w:tc>
        <w:tc>
          <w:tcPr>
            <w:tcW w:w="1421" w:type="dxa"/>
            <w:shd w:val="clear" w:color="auto" w:fill="FFE599" w:themeFill="accent4" w:themeFillTint="66"/>
            <w:noWrap/>
            <w:hideMark/>
          </w:tcPr>
          <w:p w14:paraId="47069E54" w14:textId="3D2ADDC2" w:rsidR="001F3561" w:rsidRPr="006F4AB6"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116.628,67 SEK</w:t>
            </w:r>
          </w:p>
        </w:tc>
        <w:tc>
          <w:tcPr>
            <w:tcW w:w="1421" w:type="dxa"/>
            <w:shd w:val="clear" w:color="auto" w:fill="FFE599" w:themeFill="accent4" w:themeFillTint="66"/>
            <w:noWrap/>
            <w:hideMark/>
          </w:tcPr>
          <w:p w14:paraId="63F4C724" w14:textId="3E85D49E" w:rsidR="001F3561" w:rsidRPr="006F4AB6" w:rsidRDefault="001F3561" w:rsidP="001F35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16"/>
              </w:rPr>
            </w:pPr>
            <w:r w:rsidRPr="006F4AB6">
              <w:rPr>
                <w:rFonts w:ascii="Calibri" w:eastAsia="Times New Roman" w:hAnsi="Calibri"/>
                <w:b/>
                <w:color w:val="000000"/>
                <w:sz w:val="16"/>
              </w:rPr>
              <w:t>132.245,25 SEK</w:t>
            </w:r>
          </w:p>
        </w:tc>
      </w:tr>
    </w:tbl>
    <w:p w14:paraId="6866545B" w14:textId="77777777" w:rsidR="00050752" w:rsidRDefault="00050752" w:rsidP="00050752">
      <w:pPr>
        <w:pStyle w:val="Textosinformato"/>
        <w:spacing w:line="276" w:lineRule="auto"/>
        <w:jc w:val="both"/>
        <w:rPr>
          <w:rFonts w:asciiTheme="minorHAnsi" w:hAnsiTheme="minorHAnsi" w:cs="Courier New"/>
          <w:sz w:val="24"/>
          <w:szCs w:val="24"/>
        </w:rPr>
      </w:pPr>
    </w:p>
    <w:p w14:paraId="12875976" w14:textId="77777777" w:rsidR="00050752" w:rsidRDefault="00050752" w:rsidP="00050752">
      <w:pPr>
        <w:pStyle w:val="Textosinformato"/>
        <w:spacing w:line="276" w:lineRule="auto"/>
        <w:jc w:val="both"/>
        <w:rPr>
          <w:rFonts w:ascii="Times New Roman" w:hAnsi="Times New Roman"/>
          <w:sz w:val="24"/>
          <w:szCs w:val="24"/>
        </w:rPr>
      </w:pPr>
    </w:p>
    <w:p w14:paraId="55679347" w14:textId="29C58254" w:rsidR="00815C97" w:rsidRPr="00212F5A" w:rsidRDefault="00CF3A64" w:rsidP="00050752">
      <w:pPr>
        <w:pStyle w:val="Textosinformato"/>
        <w:spacing w:line="276" w:lineRule="auto"/>
        <w:jc w:val="both"/>
        <w:rPr>
          <w:rFonts w:ascii="Times New Roman" w:hAnsi="Times New Roman"/>
          <w:sz w:val="24"/>
          <w:szCs w:val="24"/>
        </w:rPr>
      </w:pPr>
      <w:r w:rsidRPr="00212F5A">
        <w:rPr>
          <w:rFonts w:ascii="Times New Roman" w:hAnsi="Times New Roman"/>
          <w:sz w:val="24"/>
          <w:szCs w:val="24"/>
        </w:rPr>
        <w:t>Once we have revenues and costs it is time</w:t>
      </w:r>
      <w:r w:rsidR="00815C97" w:rsidRPr="00212F5A">
        <w:rPr>
          <w:rFonts w:ascii="Times New Roman" w:hAnsi="Times New Roman"/>
          <w:sz w:val="24"/>
          <w:szCs w:val="24"/>
        </w:rPr>
        <w:t xml:space="preserve"> to subtract off </w:t>
      </w:r>
      <w:r w:rsidRPr="00212F5A">
        <w:rPr>
          <w:rFonts w:ascii="Times New Roman" w:hAnsi="Times New Roman"/>
          <w:sz w:val="24"/>
          <w:szCs w:val="24"/>
        </w:rPr>
        <w:t xml:space="preserve">the </w:t>
      </w:r>
      <w:r w:rsidR="00815C97" w:rsidRPr="00212F5A">
        <w:rPr>
          <w:rFonts w:ascii="Times New Roman" w:hAnsi="Times New Roman"/>
          <w:sz w:val="24"/>
          <w:szCs w:val="24"/>
        </w:rPr>
        <w:t xml:space="preserve">COGS to get at gross profit. </w:t>
      </w:r>
      <w:r w:rsidRPr="00212F5A">
        <w:rPr>
          <w:rFonts w:ascii="Times New Roman" w:hAnsi="Times New Roman"/>
          <w:sz w:val="24"/>
          <w:szCs w:val="24"/>
        </w:rPr>
        <w:t xml:space="preserve">Then </w:t>
      </w:r>
      <w:proofErr w:type="spellStart"/>
      <w:r w:rsidRPr="00212F5A">
        <w:rPr>
          <w:rFonts w:ascii="Times New Roman" w:hAnsi="Times New Roman"/>
          <w:sz w:val="24"/>
          <w:szCs w:val="24"/>
        </w:rPr>
        <w:t>substract</w:t>
      </w:r>
      <w:proofErr w:type="spellEnd"/>
    </w:p>
    <w:p w14:paraId="218812DD" w14:textId="1B9B5654" w:rsidR="00CF3A64" w:rsidRPr="00212F5A" w:rsidRDefault="00CF3A64" w:rsidP="00050752">
      <w:pPr>
        <w:pStyle w:val="Textosinformato"/>
        <w:spacing w:line="276" w:lineRule="auto"/>
        <w:jc w:val="both"/>
        <w:rPr>
          <w:rFonts w:ascii="Times New Roman" w:hAnsi="Times New Roman"/>
          <w:sz w:val="24"/>
          <w:szCs w:val="24"/>
        </w:rPr>
      </w:pPr>
      <w:r w:rsidRPr="00212F5A">
        <w:rPr>
          <w:rFonts w:ascii="Times New Roman" w:hAnsi="Times New Roman"/>
          <w:sz w:val="24"/>
          <w:szCs w:val="24"/>
        </w:rPr>
        <w:t xml:space="preserve">off </w:t>
      </w:r>
      <w:r w:rsidR="00815C97" w:rsidRPr="00212F5A">
        <w:rPr>
          <w:rFonts w:ascii="Times New Roman" w:hAnsi="Times New Roman"/>
          <w:sz w:val="24"/>
          <w:szCs w:val="24"/>
        </w:rPr>
        <w:t>SG&amp;A expenses and R&amp;D expenses to get</w:t>
      </w:r>
      <w:r w:rsidRPr="00212F5A">
        <w:rPr>
          <w:rFonts w:ascii="Times New Roman" w:hAnsi="Times New Roman"/>
          <w:sz w:val="24"/>
          <w:szCs w:val="24"/>
        </w:rPr>
        <w:t xml:space="preserve"> </w:t>
      </w:r>
      <w:r w:rsidR="00815C97" w:rsidRPr="00212F5A">
        <w:rPr>
          <w:rFonts w:ascii="Times New Roman" w:hAnsi="Times New Roman"/>
          <w:sz w:val="24"/>
          <w:szCs w:val="24"/>
        </w:rPr>
        <w:t xml:space="preserve">estimates of EBITDA. </w:t>
      </w:r>
    </w:p>
    <w:p w14:paraId="51D5282C" w14:textId="77777777" w:rsidR="00D35714" w:rsidRDefault="00D35714" w:rsidP="00CF3A64">
      <w:pPr>
        <w:pStyle w:val="Textosinformato"/>
        <w:jc w:val="both"/>
        <w:rPr>
          <w:rFonts w:asciiTheme="minorHAnsi" w:hAnsiTheme="minorHAnsi" w:cs="Courier New"/>
          <w:sz w:val="24"/>
          <w:szCs w:val="24"/>
        </w:rPr>
      </w:pPr>
    </w:p>
    <w:tbl>
      <w:tblPr>
        <w:tblStyle w:val="Tabladecuadrcula1clara-nfasis3"/>
        <w:tblW w:w="9787" w:type="dxa"/>
        <w:tblLook w:val="04A0" w:firstRow="1" w:lastRow="0" w:firstColumn="1" w:lastColumn="0" w:noHBand="0" w:noVBand="1"/>
      </w:tblPr>
      <w:tblGrid>
        <w:gridCol w:w="1128"/>
        <w:gridCol w:w="1731"/>
        <w:gridCol w:w="1732"/>
        <w:gridCol w:w="1732"/>
        <w:gridCol w:w="1732"/>
        <w:gridCol w:w="1732"/>
      </w:tblGrid>
      <w:tr w:rsidR="00D35714" w:rsidRPr="006F4AB6" w14:paraId="13199767" w14:textId="77777777" w:rsidTr="006F4AB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shd w:val="clear" w:color="auto" w:fill="1F4E79" w:themeFill="accent1" w:themeFillShade="80"/>
            <w:noWrap/>
            <w:hideMark/>
          </w:tcPr>
          <w:p w14:paraId="1BFA745D" w14:textId="77777777" w:rsidR="00D35714" w:rsidRPr="006F4AB6" w:rsidRDefault="00D35714">
            <w:pPr>
              <w:rPr>
                <w:rFonts w:ascii="Calibri" w:eastAsia="Times New Roman" w:hAnsi="Calibri"/>
                <w:b w:val="0"/>
                <w:color w:val="FFFFFF" w:themeColor="background1"/>
              </w:rPr>
            </w:pPr>
            <w:r w:rsidRPr="006F4AB6">
              <w:rPr>
                <w:rFonts w:ascii="Calibri" w:eastAsia="Times New Roman" w:hAnsi="Calibri"/>
                <w:b w:val="0"/>
                <w:color w:val="FFFFFF" w:themeColor="background1"/>
              </w:rPr>
              <w:t>EBITDA</w:t>
            </w:r>
          </w:p>
        </w:tc>
        <w:tc>
          <w:tcPr>
            <w:tcW w:w="0" w:type="auto"/>
            <w:shd w:val="clear" w:color="auto" w:fill="FFE599" w:themeFill="accent4" w:themeFillTint="66"/>
            <w:noWrap/>
            <w:hideMark/>
          </w:tcPr>
          <w:p w14:paraId="7B83B08A" w14:textId="77777777" w:rsidR="00D35714" w:rsidRPr="006F4AB6" w:rsidRDefault="00D3571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6F4AB6">
              <w:rPr>
                <w:rFonts w:ascii="Calibri" w:eastAsia="Times New Roman" w:hAnsi="Calibri"/>
                <w:color w:val="000000"/>
                <w:sz w:val="20"/>
              </w:rPr>
              <w:t xml:space="preserve"> 19.325,81 SEK </w:t>
            </w:r>
          </w:p>
        </w:tc>
        <w:tc>
          <w:tcPr>
            <w:tcW w:w="0" w:type="auto"/>
            <w:shd w:val="clear" w:color="auto" w:fill="FFE599" w:themeFill="accent4" w:themeFillTint="66"/>
            <w:noWrap/>
            <w:hideMark/>
          </w:tcPr>
          <w:p w14:paraId="06189FEA" w14:textId="77777777" w:rsidR="00D35714" w:rsidRPr="006F4AB6" w:rsidRDefault="00D3571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6F4AB6">
              <w:rPr>
                <w:rFonts w:ascii="Calibri" w:eastAsia="Times New Roman" w:hAnsi="Calibri"/>
                <w:color w:val="000000"/>
                <w:sz w:val="20"/>
              </w:rPr>
              <w:t xml:space="preserve"> 21.616,59 SEK </w:t>
            </w:r>
          </w:p>
        </w:tc>
        <w:tc>
          <w:tcPr>
            <w:tcW w:w="0" w:type="auto"/>
            <w:shd w:val="clear" w:color="auto" w:fill="FFE599" w:themeFill="accent4" w:themeFillTint="66"/>
            <w:noWrap/>
            <w:hideMark/>
          </w:tcPr>
          <w:p w14:paraId="79BB7832" w14:textId="77777777" w:rsidR="00D35714" w:rsidRPr="006F4AB6" w:rsidRDefault="00D3571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6F4AB6">
              <w:rPr>
                <w:rFonts w:ascii="Calibri" w:eastAsia="Times New Roman" w:hAnsi="Calibri"/>
                <w:color w:val="000000"/>
                <w:sz w:val="20"/>
              </w:rPr>
              <w:t xml:space="preserve"> 24.175,23 SEK </w:t>
            </w:r>
          </w:p>
        </w:tc>
        <w:tc>
          <w:tcPr>
            <w:tcW w:w="0" w:type="auto"/>
            <w:shd w:val="clear" w:color="auto" w:fill="FFE599" w:themeFill="accent4" w:themeFillTint="66"/>
            <w:noWrap/>
            <w:hideMark/>
          </w:tcPr>
          <w:p w14:paraId="27FF0C1A" w14:textId="77777777" w:rsidR="00D35714" w:rsidRPr="006F4AB6" w:rsidRDefault="00D3571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6F4AB6">
              <w:rPr>
                <w:rFonts w:ascii="Calibri" w:eastAsia="Times New Roman" w:hAnsi="Calibri"/>
                <w:color w:val="000000"/>
                <w:sz w:val="20"/>
              </w:rPr>
              <w:t xml:space="preserve"> 27.032,50 SEK </w:t>
            </w:r>
          </w:p>
        </w:tc>
        <w:tc>
          <w:tcPr>
            <w:tcW w:w="0" w:type="auto"/>
            <w:shd w:val="clear" w:color="auto" w:fill="FFE599" w:themeFill="accent4" w:themeFillTint="66"/>
            <w:noWrap/>
            <w:hideMark/>
          </w:tcPr>
          <w:p w14:paraId="7E8017AF" w14:textId="77777777" w:rsidR="00D35714" w:rsidRPr="006F4AB6" w:rsidRDefault="00D3571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6F4AB6">
              <w:rPr>
                <w:rFonts w:ascii="Calibri" w:eastAsia="Times New Roman" w:hAnsi="Calibri"/>
                <w:color w:val="000000"/>
                <w:sz w:val="20"/>
              </w:rPr>
              <w:t xml:space="preserve"> 30.222,65 SEK </w:t>
            </w:r>
          </w:p>
        </w:tc>
      </w:tr>
    </w:tbl>
    <w:p w14:paraId="79731385" w14:textId="77777777" w:rsidR="00D35714" w:rsidRPr="006F4AB6" w:rsidRDefault="00D35714" w:rsidP="00CF3A64">
      <w:pPr>
        <w:pStyle w:val="Textosinformato"/>
        <w:jc w:val="both"/>
        <w:rPr>
          <w:rFonts w:asciiTheme="minorHAnsi" w:hAnsiTheme="minorHAnsi" w:cs="Courier New"/>
          <w:sz w:val="24"/>
          <w:szCs w:val="24"/>
        </w:rPr>
      </w:pPr>
    </w:p>
    <w:p w14:paraId="1380D110" w14:textId="77777777" w:rsidR="00050752" w:rsidRDefault="00050752" w:rsidP="00CF3A64">
      <w:pPr>
        <w:pStyle w:val="Textosinformato"/>
        <w:jc w:val="both"/>
        <w:rPr>
          <w:rFonts w:asciiTheme="minorHAnsi" w:hAnsiTheme="minorHAnsi" w:cs="Courier New"/>
          <w:sz w:val="24"/>
          <w:szCs w:val="24"/>
        </w:rPr>
      </w:pPr>
    </w:p>
    <w:p w14:paraId="4EC0D8F7" w14:textId="77777777" w:rsidR="00D35714" w:rsidRDefault="00D35714" w:rsidP="00CF3A64">
      <w:pPr>
        <w:pStyle w:val="Textosinformato"/>
        <w:jc w:val="both"/>
        <w:rPr>
          <w:rFonts w:asciiTheme="minorHAnsi" w:hAnsiTheme="minorHAnsi" w:cs="Courier New"/>
          <w:sz w:val="24"/>
          <w:szCs w:val="24"/>
        </w:rPr>
      </w:pPr>
    </w:p>
    <w:p w14:paraId="1C69D742" w14:textId="4A5D1824" w:rsidR="00050752" w:rsidRDefault="00050752" w:rsidP="00050752">
      <w:pPr>
        <w:pStyle w:val="Textosinformato"/>
        <w:numPr>
          <w:ilvl w:val="0"/>
          <w:numId w:val="1"/>
        </w:numPr>
        <w:jc w:val="both"/>
        <w:rPr>
          <w:rFonts w:ascii="Times New Roman" w:hAnsi="Times New Roman"/>
          <w:b/>
          <w:sz w:val="24"/>
          <w:szCs w:val="24"/>
        </w:rPr>
      </w:pPr>
      <w:r w:rsidRPr="00050752">
        <w:rPr>
          <w:rFonts w:ascii="Times New Roman" w:hAnsi="Times New Roman"/>
          <w:b/>
          <w:sz w:val="24"/>
          <w:szCs w:val="24"/>
        </w:rPr>
        <w:t>Capital expenditures</w:t>
      </w:r>
    </w:p>
    <w:p w14:paraId="53E92481" w14:textId="77777777" w:rsidR="00050752" w:rsidRPr="00050752" w:rsidRDefault="00050752" w:rsidP="00050752">
      <w:pPr>
        <w:pStyle w:val="Textosinformato"/>
        <w:ind w:left="720"/>
        <w:jc w:val="both"/>
        <w:rPr>
          <w:rFonts w:ascii="Times New Roman" w:hAnsi="Times New Roman"/>
          <w:b/>
          <w:sz w:val="24"/>
          <w:szCs w:val="24"/>
        </w:rPr>
      </w:pPr>
    </w:p>
    <w:p w14:paraId="45B5D3E2" w14:textId="16DE55FF" w:rsidR="00655A99" w:rsidRPr="00050752" w:rsidRDefault="00CF3A64"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Now</w:t>
      </w:r>
      <w:r w:rsidR="00815C97" w:rsidRPr="00050752">
        <w:rPr>
          <w:rFonts w:ascii="Times New Roman" w:hAnsi="Times New Roman"/>
          <w:sz w:val="24"/>
          <w:szCs w:val="24"/>
        </w:rPr>
        <w:t xml:space="preserve"> let's move on</w:t>
      </w:r>
      <w:r w:rsidRPr="00050752">
        <w:rPr>
          <w:rFonts w:ascii="Times New Roman" w:hAnsi="Times New Roman"/>
          <w:sz w:val="24"/>
          <w:szCs w:val="24"/>
        </w:rPr>
        <w:t xml:space="preserve"> </w:t>
      </w:r>
      <w:r w:rsidR="00815C97" w:rsidRPr="00050752">
        <w:rPr>
          <w:rFonts w:ascii="Times New Roman" w:hAnsi="Times New Roman"/>
          <w:sz w:val="24"/>
          <w:szCs w:val="24"/>
        </w:rPr>
        <w:t>to capital expenditures. So, our upfront investment</w:t>
      </w:r>
      <w:r w:rsidRPr="00050752">
        <w:rPr>
          <w:rFonts w:ascii="Times New Roman" w:hAnsi="Times New Roman"/>
          <w:sz w:val="24"/>
          <w:szCs w:val="24"/>
        </w:rPr>
        <w:t xml:space="preserve"> </w:t>
      </w:r>
      <w:r w:rsidR="00655A99" w:rsidRPr="00050752">
        <w:rPr>
          <w:rFonts w:ascii="Times New Roman" w:hAnsi="Times New Roman"/>
          <w:sz w:val="24"/>
          <w:szCs w:val="24"/>
        </w:rPr>
        <w:t>is going to be 12</w:t>
      </w:r>
      <w:r w:rsidR="00B13429" w:rsidRPr="00050752">
        <w:rPr>
          <w:rFonts w:ascii="Times New Roman" w:hAnsi="Times New Roman"/>
          <w:sz w:val="24"/>
          <w:szCs w:val="24"/>
        </w:rPr>
        <w:t>.</w:t>
      </w:r>
      <w:r w:rsidR="00655A99" w:rsidRPr="00050752">
        <w:rPr>
          <w:rFonts w:ascii="Times New Roman" w:hAnsi="Times New Roman"/>
          <w:sz w:val="24"/>
          <w:szCs w:val="24"/>
        </w:rPr>
        <w:t>059</w:t>
      </w:r>
      <w:r w:rsidR="00815C97" w:rsidRPr="00050752">
        <w:rPr>
          <w:rFonts w:ascii="Times New Roman" w:hAnsi="Times New Roman"/>
          <w:sz w:val="24"/>
          <w:szCs w:val="24"/>
        </w:rPr>
        <w:t xml:space="preserve"> million</w:t>
      </w:r>
      <w:r w:rsidR="00655A99" w:rsidRPr="00050752">
        <w:rPr>
          <w:rFonts w:ascii="Times New Roman" w:hAnsi="Times New Roman"/>
          <w:sz w:val="24"/>
          <w:szCs w:val="24"/>
        </w:rPr>
        <w:t xml:space="preserve"> SEK, which is the amount posted in Hennes &amp; Maurtiz’s 2015 financial statements. </w:t>
      </w:r>
      <w:r w:rsidR="00815C97" w:rsidRPr="00050752">
        <w:rPr>
          <w:rFonts w:ascii="Times New Roman" w:hAnsi="Times New Roman"/>
          <w:sz w:val="24"/>
          <w:szCs w:val="24"/>
        </w:rPr>
        <w:t xml:space="preserve">Then we're going to invest </w:t>
      </w:r>
      <w:r w:rsidR="00655A99" w:rsidRPr="00050752">
        <w:rPr>
          <w:rFonts w:ascii="Times New Roman" w:hAnsi="Times New Roman"/>
          <w:sz w:val="24"/>
          <w:szCs w:val="24"/>
        </w:rPr>
        <w:t>each year of the project, 23.73% of that amount (estimation based on past data).</w:t>
      </w:r>
      <w:r w:rsidR="00815C97" w:rsidRPr="00050752">
        <w:rPr>
          <w:rFonts w:ascii="Times New Roman" w:hAnsi="Times New Roman"/>
          <w:sz w:val="24"/>
          <w:szCs w:val="24"/>
        </w:rPr>
        <w:t xml:space="preserve"> So to get our dollar forecast</w:t>
      </w:r>
      <w:r w:rsidR="00655A99" w:rsidRPr="00050752">
        <w:rPr>
          <w:rFonts w:ascii="Times New Roman" w:hAnsi="Times New Roman"/>
          <w:sz w:val="24"/>
          <w:szCs w:val="24"/>
        </w:rPr>
        <w:t xml:space="preserve"> </w:t>
      </w:r>
      <w:r w:rsidR="00815C97" w:rsidRPr="00050752">
        <w:rPr>
          <w:rFonts w:ascii="Times New Roman" w:hAnsi="Times New Roman"/>
          <w:sz w:val="24"/>
          <w:szCs w:val="24"/>
        </w:rPr>
        <w:t xml:space="preserve">there's nothing to do for year zero, that's just the </w:t>
      </w:r>
      <w:r w:rsidR="00655A99" w:rsidRPr="00050752">
        <w:rPr>
          <w:rFonts w:ascii="Times New Roman" w:hAnsi="Times New Roman"/>
          <w:sz w:val="24"/>
          <w:szCs w:val="24"/>
        </w:rPr>
        <w:t>12059 million SEK</w:t>
      </w:r>
      <w:r w:rsidR="00815C97" w:rsidRPr="00050752">
        <w:rPr>
          <w:rFonts w:ascii="Times New Roman" w:hAnsi="Times New Roman"/>
          <w:sz w:val="24"/>
          <w:szCs w:val="24"/>
        </w:rPr>
        <w:t>. F</w:t>
      </w:r>
      <w:r w:rsidR="00655A99" w:rsidRPr="00050752">
        <w:rPr>
          <w:rFonts w:ascii="Times New Roman" w:hAnsi="Times New Roman"/>
          <w:sz w:val="24"/>
          <w:szCs w:val="24"/>
        </w:rPr>
        <w:t>or year 1 we're going to take 23,73</w:t>
      </w:r>
      <w:r w:rsidR="00815C97" w:rsidRPr="00050752">
        <w:rPr>
          <w:rFonts w:ascii="Times New Roman" w:hAnsi="Times New Roman"/>
          <w:sz w:val="24"/>
          <w:szCs w:val="24"/>
        </w:rPr>
        <w:t>% of</w:t>
      </w:r>
      <w:r w:rsidR="00655A99" w:rsidRPr="00050752">
        <w:rPr>
          <w:rFonts w:ascii="Times New Roman" w:hAnsi="Times New Roman"/>
          <w:sz w:val="24"/>
          <w:szCs w:val="24"/>
        </w:rPr>
        <w:t xml:space="preserve"> that 12</w:t>
      </w:r>
      <w:r w:rsidR="00B13429" w:rsidRPr="00050752">
        <w:rPr>
          <w:rFonts w:ascii="Times New Roman" w:hAnsi="Times New Roman"/>
          <w:sz w:val="24"/>
          <w:szCs w:val="24"/>
        </w:rPr>
        <w:t>.</w:t>
      </w:r>
      <w:r w:rsidR="00655A99" w:rsidRPr="00050752">
        <w:rPr>
          <w:rFonts w:ascii="Times New Roman" w:hAnsi="Times New Roman"/>
          <w:sz w:val="24"/>
          <w:szCs w:val="24"/>
        </w:rPr>
        <w:t>059 million SEK</w:t>
      </w:r>
      <w:r w:rsidR="00815C97" w:rsidRPr="00050752">
        <w:rPr>
          <w:rFonts w:ascii="Times New Roman" w:hAnsi="Times New Roman"/>
          <w:sz w:val="24"/>
          <w:szCs w:val="24"/>
        </w:rPr>
        <w:t xml:space="preserve"> million to get </w:t>
      </w:r>
      <w:r w:rsidR="00655A99" w:rsidRPr="00050752">
        <w:rPr>
          <w:rFonts w:ascii="Times New Roman" w:hAnsi="Times New Roman"/>
          <w:sz w:val="24"/>
          <w:szCs w:val="24"/>
        </w:rPr>
        <w:t>12</w:t>
      </w:r>
      <w:r w:rsidR="00B13429" w:rsidRPr="00050752">
        <w:rPr>
          <w:rFonts w:ascii="Times New Roman" w:hAnsi="Times New Roman"/>
          <w:sz w:val="24"/>
          <w:szCs w:val="24"/>
        </w:rPr>
        <w:t>.</w:t>
      </w:r>
      <w:r w:rsidR="00655A99" w:rsidRPr="00050752">
        <w:rPr>
          <w:rFonts w:ascii="Times New Roman" w:hAnsi="Times New Roman"/>
          <w:sz w:val="24"/>
          <w:szCs w:val="24"/>
        </w:rPr>
        <w:t>059 million SEK. And then from year 2 to year 5 we assume a constant growth of also 23,73% (multiply our CAPEX at year 1 by (1+0,23)</w:t>
      </w:r>
      <w:r w:rsidR="00655A99" w:rsidRPr="00050752">
        <w:rPr>
          <w:rFonts w:ascii="Times New Roman" w:hAnsi="Times New Roman"/>
          <w:sz w:val="24"/>
          <w:szCs w:val="24"/>
          <w:vertAlign w:val="superscript"/>
        </w:rPr>
        <w:t xml:space="preserve"> t</w:t>
      </w:r>
      <w:r w:rsidR="00655A99" w:rsidRPr="00050752">
        <w:rPr>
          <w:rFonts w:ascii="Times New Roman" w:hAnsi="Times New Roman"/>
          <w:sz w:val="24"/>
          <w:szCs w:val="24"/>
        </w:rPr>
        <w:t>). Now, we're going to assume we're going to straight line depreciate this capital expenditure over 5 years. What that means is one fifth of the capital stock is going to depreciate each year. In order to make things a little bit easier it is more comfortable to create a row of accumulated capital expenditures to know each year the amount to depreciate. To compute the amount depreciated we need just to multiply the accumulated capex by 20% (1/5).</w:t>
      </w:r>
    </w:p>
    <w:p w14:paraId="7FF9B125" w14:textId="77777777" w:rsidR="00655A99" w:rsidRPr="007871C0" w:rsidRDefault="00655A99" w:rsidP="00815C97">
      <w:pPr>
        <w:pStyle w:val="Textosinformato"/>
        <w:jc w:val="both"/>
        <w:rPr>
          <w:rFonts w:asciiTheme="minorHAnsi" w:hAnsiTheme="minorHAnsi" w:cs="Courier New"/>
          <w:sz w:val="24"/>
          <w:szCs w:val="24"/>
        </w:rPr>
      </w:pPr>
    </w:p>
    <w:tbl>
      <w:tblPr>
        <w:tblStyle w:val="Tablanormal1"/>
        <w:tblW w:w="9772" w:type="dxa"/>
        <w:tblLayout w:type="fixed"/>
        <w:tblLook w:val="04A0" w:firstRow="1" w:lastRow="0" w:firstColumn="1" w:lastColumn="0" w:noHBand="0" w:noVBand="1"/>
      </w:tblPr>
      <w:tblGrid>
        <w:gridCol w:w="1840"/>
        <w:gridCol w:w="952"/>
        <w:gridCol w:w="1396"/>
        <w:gridCol w:w="1396"/>
        <w:gridCol w:w="1396"/>
        <w:gridCol w:w="1396"/>
        <w:gridCol w:w="1396"/>
      </w:tblGrid>
      <w:tr w:rsidR="006F4AB6" w:rsidRPr="006F4AB6" w14:paraId="47C75BBC" w14:textId="77777777" w:rsidTr="006F4AB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40" w:type="dxa"/>
            <w:shd w:val="clear" w:color="auto" w:fill="1F4E79" w:themeFill="accent1" w:themeFillShade="80"/>
            <w:noWrap/>
            <w:hideMark/>
          </w:tcPr>
          <w:p w14:paraId="3E0EFA1C" w14:textId="097EFFEC" w:rsidR="00B23920" w:rsidRPr="006F4AB6" w:rsidRDefault="006F4AB6">
            <w:pPr>
              <w:rPr>
                <w:rFonts w:ascii="Calibri" w:eastAsia="Times New Roman" w:hAnsi="Calibri"/>
                <w:b w:val="0"/>
                <w:color w:val="FFFFFF" w:themeColor="background1"/>
                <w:sz w:val="16"/>
                <w:lang w:val="en-GB"/>
              </w:rPr>
            </w:pPr>
            <w:r w:rsidRPr="006F4AB6">
              <w:rPr>
                <w:rFonts w:ascii="Calibri" w:eastAsia="Times New Roman" w:hAnsi="Calibri"/>
                <w:color w:val="FFFFFF" w:themeColor="background1"/>
                <w:sz w:val="22"/>
              </w:rPr>
              <w:t>YEARS</w:t>
            </w:r>
          </w:p>
        </w:tc>
        <w:tc>
          <w:tcPr>
            <w:tcW w:w="952" w:type="dxa"/>
            <w:shd w:val="clear" w:color="auto" w:fill="1F4E79" w:themeFill="accent1" w:themeFillShade="80"/>
            <w:noWrap/>
            <w:hideMark/>
          </w:tcPr>
          <w:p w14:paraId="488891AC" w14:textId="77777777" w:rsidR="00B23920" w:rsidRPr="006F4AB6" w:rsidRDefault="00B2392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0 (F2015)</w:t>
            </w:r>
          </w:p>
        </w:tc>
        <w:tc>
          <w:tcPr>
            <w:tcW w:w="1396" w:type="dxa"/>
            <w:shd w:val="clear" w:color="auto" w:fill="1F4E79" w:themeFill="accent1" w:themeFillShade="80"/>
            <w:noWrap/>
            <w:hideMark/>
          </w:tcPr>
          <w:p w14:paraId="3A495305" w14:textId="77777777" w:rsidR="00B23920" w:rsidRPr="006F4AB6" w:rsidRDefault="00B2392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1</w:t>
            </w:r>
          </w:p>
        </w:tc>
        <w:tc>
          <w:tcPr>
            <w:tcW w:w="1396" w:type="dxa"/>
            <w:shd w:val="clear" w:color="auto" w:fill="1F4E79" w:themeFill="accent1" w:themeFillShade="80"/>
            <w:noWrap/>
            <w:hideMark/>
          </w:tcPr>
          <w:p w14:paraId="2A02B0FF" w14:textId="77777777" w:rsidR="00B23920" w:rsidRPr="006F4AB6" w:rsidRDefault="00B2392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2</w:t>
            </w:r>
          </w:p>
        </w:tc>
        <w:tc>
          <w:tcPr>
            <w:tcW w:w="1396" w:type="dxa"/>
            <w:shd w:val="clear" w:color="auto" w:fill="1F4E79" w:themeFill="accent1" w:themeFillShade="80"/>
            <w:noWrap/>
            <w:hideMark/>
          </w:tcPr>
          <w:p w14:paraId="444CF9BB" w14:textId="77777777" w:rsidR="00B23920" w:rsidRPr="006F4AB6" w:rsidRDefault="00B2392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3</w:t>
            </w:r>
          </w:p>
        </w:tc>
        <w:tc>
          <w:tcPr>
            <w:tcW w:w="1396" w:type="dxa"/>
            <w:shd w:val="clear" w:color="auto" w:fill="1F4E79" w:themeFill="accent1" w:themeFillShade="80"/>
            <w:noWrap/>
            <w:hideMark/>
          </w:tcPr>
          <w:p w14:paraId="581565A1" w14:textId="77777777" w:rsidR="00B23920" w:rsidRPr="006F4AB6" w:rsidRDefault="00B2392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4</w:t>
            </w:r>
          </w:p>
        </w:tc>
        <w:tc>
          <w:tcPr>
            <w:tcW w:w="1396" w:type="dxa"/>
            <w:shd w:val="clear" w:color="auto" w:fill="1F4E79" w:themeFill="accent1" w:themeFillShade="80"/>
            <w:noWrap/>
            <w:hideMark/>
          </w:tcPr>
          <w:p w14:paraId="47E8C481" w14:textId="77777777" w:rsidR="00B23920" w:rsidRPr="006F4AB6" w:rsidRDefault="00B2392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5</w:t>
            </w:r>
          </w:p>
        </w:tc>
      </w:tr>
      <w:tr w:rsidR="00B23920" w:rsidRPr="00B23920" w14:paraId="45EAFC56" w14:textId="77777777" w:rsidTr="006F4AB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4690D40" w14:textId="5F2B47E7" w:rsidR="00B23920" w:rsidRPr="00B23920" w:rsidRDefault="00B23920">
            <w:pPr>
              <w:rPr>
                <w:rFonts w:ascii="Calibri" w:eastAsia="Times New Roman" w:hAnsi="Calibri"/>
                <w:b w:val="0"/>
                <w:color w:val="000000"/>
                <w:sz w:val="16"/>
                <w:lang w:val="en-GB"/>
              </w:rPr>
            </w:pPr>
            <w:r w:rsidRPr="00B23920">
              <w:rPr>
                <w:rFonts w:ascii="Calibri" w:eastAsia="Times New Roman" w:hAnsi="Calibri"/>
                <w:b w:val="0"/>
                <w:color w:val="000000"/>
                <w:sz w:val="16"/>
                <w:lang w:val="en-GB"/>
              </w:rPr>
              <w:t>Capital Expenditures &amp; PP&amp;E Information:</w:t>
            </w:r>
          </w:p>
        </w:tc>
        <w:tc>
          <w:tcPr>
            <w:tcW w:w="952" w:type="dxa"/>
            <w:shd w:val="clear" w:color="auto" w:fill="BDD6EE" w:themeFill="accent1" w:themeFillTint="66"/>
            <w:noWrap/>
            <w:hideMark/>
          </w:tcPr>
          <w:p w14:paraId="0C068914"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96" w:type="dxa"/>
            <w:shd w:val="clear" w:color="auto" w:fill="BDD6EE" w:themeFill="accent1" w:themeFillTint="66"/>
            <w:noWrap/>
            <w:hideMark/>
          </w:tcPr>
          <w:p w14:paraId="71C57B8F"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96" w:type="dxa"/>
            <w:shd w:val="clear" w:color="auto" w:fill="BDD6EE" w:themeFill="accent1" w:themeFillTint="66"/>
            <w:noWrap/>
            <w:hideMark/>
          </w:tcPr>
          <w:p w14:paraId="40221F1A"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96" w:type="dxa"/>
            <w:shd w:val="clear" w:color="auto" w:fill="BDD6EE" w:themeFill="accent1" w:themeFillTint="66"/>
            <w:noWrap/>
            <w:hideMark/>
          </w:tcPr>
          <w:p w14:paraId="780FEF8D"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96" w:type="dxa"/>
            <w:shd w:val="clear" w:color="auto" w:fill="BDD6EE" w:themeFill="accent1" w:themeFillTint="66"/>
            <w:noWrap/>
            <w:hideMark/>
          </w:tcPr>
          <w:p w14:paraId="1665DC87"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96" w:type="dxa"/>
            <w:shd w:val="clear" w:color="auto" w:fill="BDD6EE" w:themeFill="accent1" w:themeFillTint="66"/>
            <w:noWrap/>
            <w:hideMark/>
          </w:tcPr>
          <w:p w14:paraId="5CC9D486"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r>
      <w:tr w:rsidR="00B23920" w:rsidRPr="00B23920" w14:paraId="17C659E6" w14:textId="77777777" w:rsidTr="006F4AB6">
        <w:trPr>
          <w:trHeight w:val="454"/>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2DF390B" w14:textId="77777777" w:rsidR="00B23920" w:rsidRPr="00655A99" w:rsidRDefault="00B23920">
            <w:pPr>
              <w:rPr>
                <w:rFonts w:ascii="Calibri" w:eastAsia="Times New Roman" w:hAnsi="Calibri"/>
                <w:color w:val="000000"/>
                <w:sz w:val="15"/>
                <w:lang w:val="en-GB"/>
              </w:rPr>
            </w:pPr>
            <w:r w:rsidRPr="00655A99">
              <w:rPr>
                <w:rFonts w:ascii="Calibri" w:eastAsia="Times New Roman" w:hAnsi="Calibri"/>
                <w:color w:val="000000"/>
                <w:sz w:val="15"/>
                <w:lang w:val="en-GB"/>
              </w:rPr>
              <w:t>Initial investment (SEK millions)</w:t>
            </w:r>
          </w:p>
        </w:tc>
        <w:tc>
          <w:tcPr>
            <w:tcW w:w="952" w:type="dxa"/>
            <w:noWrap/>
            <w:hideMark/>
          </w:tcPr>
          <w:p w14:paraId="10E7EAC3" w14:textId="17FA3244"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Pr>
                <w:rFonts w:ascii="Calibri" w:eastAsia="Times New Roman" w:hAnsi="Calibri"/>
                <w:color w:val="000000"/>
                <w:sz w:val="15"/>
                <w:szCs w:val="15"/>
              </w:rPr>
              <w:t xml:space="preserve"> 12.059</w:t>
            </w:r>
            <w:r w:rsidRPr="00B23920">
              <w:rPr>
                <w:rFonts w:ascii="Calibri" w:eastAsia="Times New Roman" w:hAnsi="Calibri"/>
                <w:color w:val="000000"/>
                <w:sz w:val="15"/>
                <w:szCs w:val="15"/>
              </w:rPr>
              <w:t xml:space="preserve"> SEK </w:t>
            </w:r>
          </w:p>
        </w:tc>
        <w:tc>
          <w:tcPr>
            <w:tcW w:w="1396" w:type="dxa"/>
            <w:noWrap/>
            <w:hideMark/>
          </w:tcPr>
          <w:p w14:paraId="2C26059F"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p>
        </w:tc>
        <w:tc>
          <w:tcPr>
            <w:tcW w:w="1396" w:type="dxa"/>
            <w:noWrap/>
            <w:hideMark/>
          </w:tcPr>
          <w:p w14:paraId="49B262E1"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5B881B77"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0F929A3F"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06341997"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r>
      <w:tr w:rsidR="00B23920" w:rsidRPr="00B23920" w14:paraId="250FC215" w14:textId="77777777" w:rsidTr="006F4A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2F738E31" w14:textId="77777777" w:rsidR="00B23920" w:rsidRPr="00655A99" w:rsidRDefault="00B23920">
            <w:pPr>
              <w:rPr>
                <w:rFonts w:ascii="Calibri" w:eastAsia="Times New Roman" w:hAnsi="Calibri"/>
                <w:color w:val="000000"/>
                <w:sz w:val="15"/>
                <w:lang w:val="en-GB"/>
              </w:rPr>
            </w:pPr>
            <w:r w:rsidRPr="00655A99">
              <w:rPr>
                <w:rFonts w:ascii="Calibri" w:eastAsia="Times New Roman" w:hAnsi="Calibri"/>
                <w:color w:val="000000"/>
                <w:sz w:val="15"/>
                <w:lang w:val="en-GB"/>
              </w:rPr>
              <w:t>Future investment (% of initial investment)</w:t>
            </w:r>
          </w:p>
        </w:tc>
        <w:tc>
          <w:tcPr>
            <w:tcW w:w="952" w:type="dxa"/>
            <w:noWrap/>
            <w:hideMark/>
          </w:tcPr>
          <w:p w14:paraId="74FE287D"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5564323A"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23,73%</w:t>
            </w:r>
          </w:p>
        </w:tc>
        <w:tc>
          <w:tcPr>
            <w:tcW w:w="1396" w:type="dxa"/>
            <w:noWrap/>
            <w:hideMark/>
          </w:tcPr>
          <w:p w14:paraId="7FE7CDC8"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p>
        </w:tc>
        <w:tc>
          <w:tcPr>
            <w:tcW w:w="1396" w:type="dxa"/>
            <w:noWrap/>
            <w:hideMark/>
          </w:tcPr>
          <w:p w14:paraId="7ACE7560"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5D79F0AA"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2A128F4A"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r>
      <w:tr w:rsidR="00B23920" w:rsidRPr="00B23920" w14:paraId="1647BC8D" w14:textId="77777777" w:rsidTr="006F4AB6">
        <w:trPr>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8955BF2" w14:textId="77777777" w:rsidR="00B23920" w:rsidRPr="00655A99" w:rsidRDefault="00B23920">
            <w:pPr>
              <w:rPr>
                <w:rFonts w:ascii="Calibri" w:eastAsia="Times New Roman" w:hAnsi="Calibri"/>
                <w:color w:val="000000"/>
                <w:sz w:val="15"/>
                <w:lang w:val="en-GB"/>
              </w:rPr>
            </w:pPr>
            <w:r w:rsidRPr="00655A99">
              <w:rPr>
                <w:rFonts w:ascii="Calibri" w:eastAsia="Times New Roman" w:hAnsi="Calibri"/>
                <w:color w:val="000000"/>
                <w:sz w:val="15"/>
                <w:lang w:val="en-GB"/>
              </w:rPr>
              <w:t>Future investment (Annual Growth)</w:t>
            </w:r>
          </w:p>
        </w:tc>
        <w:tc>
          <w:tcPr>
            <w:tcW w:w="952" w:type="dxa"/>
            <w:noWrap/>
            <w:hideMark/>
          </w:tcPr>
          <w:p w14:paraId="0E078B2D"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5272EB0E"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1DB04A49"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23,73%</w:t>
            </w:r>
          </w:p>
        </w:tc>
        <w:tc>
          <w:tcPr>
            <w:tcW w:w="1396" w:type="dxa"/>
            <w:noWrap/>
            <w:hideMark/>
          </w:tcPr>
          <w:p w14:paraId="0F1E8FF7"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23,73%</w:t>
            </w:r>
          </w:p>
        </w:tc>
        <w:tc>
          <w:tcPr>
            <w:tcW w:w="1396" w:type="dxa"/>
            <w:noWrap/>
            <w:hideMark/>
          </w:tcPr>
          <w:p w14:paraId="2285A81C"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23,73%</w:t>
            </w:r>
          </w:p>
        </w:tc>
        <w:tc>
          <w:tcPr>
            <w:tcW w:w="1396" w:type="dxa"/>
            <w:noWrap/>
            <w:hideMark/>
          </w:tcPr>
          <w:p w14:paraId="7C8F088B"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23,73%</w:t>
            </w:r>
          </w:p>
        </w:tc>
      </w:tr>
      <w:tr w:rsidR="00B23920" w:rsidRPr="00B23920" w14:paraId="6E5A66D3" w14:textId="77777777" w:rsidTr="006F4A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47F6099" w14:textId="77777777" w:rsidR="00B23920" w:rsidRPr="00655A99" w:rsidRDefault="00B23920">
            <w:pPr>
              <w:rPr>
                <w:rFonts w:ascii="Calibri" w:eastAsia="Times New Roman" w:hAnsi="Calibri"/>
                <w:color w:val="000000"/>
                <w:sz w:val="15"/>
                <w:lang w:val="en-GB"/>
              </w:rPr>
            </w:pPr>
            <w:r w:rsidRPr="00655A99">
              <w:rPr>
                <w:rFonts w:ascii="Calibri" w:eastAsia="Times New Roman" w:hAnsi="Calibri"/>
                <w:color w:val="000000"/>
                <w:sz w:val="15"/>
                <w:lang w:val="en-GB"/>
              </w:rPr>
              <w:t>Project CAPEX</w:t>
            </w:r>
          </w:p>
        </w:tc>
        <w:tc>
          <w:tcPr>
            <w:tcW w:w="952" w:type="dxa"/>
            <w:noWrap/>
            <w:hideMark/>
          </w:tcPr>
          <w:p w14:paraId="4BE9F071"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68BA09F9"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2.861,60 SEK </w:t>
            </w:r>
          </w:p>
        </w:tc>
        <w:tc>
          <w:tcPr>
            <w:tcW w:w="1396" w:type="dxa"/>
            <w:noWrap/>
            <w:hideMark/>
          </w:tcPr>
          <w:p w14:paraId="441D7704"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3.540,66 SEK </w:t>
            </w:r>
          </w:p>
        </w:tc>
        <w:tc>
          <w:tcPr>
            <w:tcW w:w="1396" w:type="dxa"/>
            <w:noWrap/>
            <w:hideMark/>
          </w:tcPr>
          <w:p w14:paraId="396B9AF6"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4.380,86 SEK </w:t>
            </w:r>
          </w:p>
        </w:tc>
        <w:tc>
          <w:tcPr>
            <w:tcW w:w="1396" w:type="dxa"/>
            <w:noWrap/>
            <w:hideMark/>
          </w:tcPr>
          <w:p w14:paraId="7024A648"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5.420,43 SEK </w:t>
            </w:r>
          </w:p>
        </w:tc>
        <w:tc>
          <w:tcPr>
            <w:tcW w:w="1396" w:type="dxa"/>
            <w:noWrap/>
            <w:hideMark/>
          </w:tcPr>
          <w:p w14:paraId="490C0CF8"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6.706,70 SEK </w:t>
            </w:r>
          </w:p>
        </w:tc>
        <w:bookmarkStart w:id="0" w:name="_GoBack"/>
        <w:bookmarkEnd w:id="0"/>
      </w:tr>
      <w:tr w:rsidR="00B23920" w:rsidRPr="00B23920" w14:paraId="176F81D7" w14:textId="77777777" w:rsidTr="006F4AB6">
        <w:trPr>
          <w:trHeight w:val="432"/>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B671CCE" w14:textId="7279F7D6" w:rsidR="00B23920" w:rsidRPr="00655A99" w:rsidRDefault="00B23920">
            <w:pPr>
              <w:rPr>
                <w:rFonts w:ascii="Calibri" w:eastAsia="Times New Roman" w:hAnsi="Calibri"/>
                <w:color w:val="000000"/>
                <w:sz w:val="15"/>
                <w:lang w:val="en-GB"/>
              </w:rPr>
            </w:pPr>
            <w:r w:rsidRPr="00655A99">
              <w:rPr>
                <w:rFonts w:ascii="Calibri" w:eastAsia="Times New Roman" w:hAnsi="Calibri"/>
                <w:color w:val="000000"/>
                <w:sz w:val="15"/>
                <w:lang w:val="en-GB"/>
              </w:rPr>
              <w:t xml:space="preserve">Accumulated PROJECT </w:t>
            </w:r>
            <w:proofErr w:type="spellStart"/>
            <w:r w:rsidRPr="00655A99">
              <w:rPr>
                <w:rFonts w:ascii="Calibri" w:eastAsia="Times New Roman" w:hAnsi="Calibri"/>
                <w:color w:val="000000"/>
                <w:sz w:val="15"/>
                <w:lang w:val="en-GB"/>
              </w:rPr>
              <w:t>CapEx</w:t>
            </w:r>
            <w:proofErr w:type="spellEnd"/>
          </w:p>
        </w:tc>
        <w:tc>
          <w:tcPr>
            <w:tcW w:w="952" w:type="dxa"/>
            <w:noWrap/>
            <w:hideMark/>
          </w:tcPr>
          <w:p w14:paraId="40BFBE16"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16EC2C6F"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14.920,60 SEK </w:t>
            </w:r>
          </w:p>
        </w:tc>
        <w:tc>
          <w:tcPr>
            <w:tcW w:w="1396" w:type="dxa"/>
            <w:noWrap/>
            <w:hideMark/>
          </w:tcPr>
          <w:p w14:paraId="7D715B03"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18.461,26 SEK </w:t>
            </w:r>
          </w:p>
        </w:tc>
        <w:tc>
          <w:tcPr>
            <w:tcW w:w="1396" w:type="dxa"/>
            <w:noWrap/>
            <w:hideMark/>
          </w:tcPr>
          <w:p w14:paraId="00BD873E"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22.842,12 SEK </w:t>
            </w:r>
          </w:p>
        </w:tc>
        <w:tc>
          <w:tcPr>
            <w:tcW w:w="1396" w:type="dxa"/>
            <w:noWrap/>
            <w:hideMark/>
          </w:tcPr>
          <w:p w14:paraId="01FA0076"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28.262,55 SEK </w:t>
            </w:r>
          </w:p>
        </w:tc>
        <w:tc>
          <w:tcPr>
            <w:tcW w:w="1396" w:type="dxa"/>
            <w:noWrap/>
            <w:hideMark/>
          </w:tcPr>
          <w:p w14:paraId="6EF0656A"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34.969,25 SEK </w:t>
            </w:r>
          </w:p>
        </w:tc>
      </w:tr>
      <w:tr w:rsidR="00B23920" w:rsidRPr="00B23920" w14:paraId="6A99007C" w14:textId="77777777" w:rsidTr="006F4A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CADE6CE" w14:textId="37CF7043" w:rsidR="00B23920" w:rsidRPr="00B23920" w:rsidRDefault="00B23920">
            <w:pPr>
              <w:rPr>
                <w:rFonts w:ascii="Calibri" w:eastAsia="Times New Roman" w:hAnsi="Calibri"/>
                <w:b w:val="0"/>
                <w:color w:val="000000"/>
                <w:sz w:val="16"/>
                <w:lang w:val="en-GB"/>
              </w:rPr>
            </w:pPr>
            <w:r w:rsidRPr="00B23920">
              <w:rPr>
                <w:rFonts w:ascii="Calibri" w:eastAsia="Times New Roman" w:hAnsi="Calibri"/>
                <w:b w:val="0"/>
                <w:color w:val="000000"/>
                <w:sz w:val="16"/>
                <w:lang w:val="en-GB"/>
              </w:rPr>
              <w:t>DEPRECIATION</w:t>
            </w:r>
          </w:p>
        </w:tc>
        <w:tc>
          <w:tcPr>
            <w:tcW w:w="952" w:type="dxa"/>
            <w:noWrap/>
            <w:hideMark/>
          </w:tcPr>
          <w:p w14:paraId="5BE6479B"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2C55F04F"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2.984,12 SEK </w:t>
            </w:r>
          </w:p>
        </w:tc>
        <w:tc>
          <w:tcPr>
            <w:tcW w:w="1396" w:type="dxa"/>
            <w:noWrap/>
            <w:hideMark/>
          </w:tcPr>
          <w:p w14:paraId="77F0C8DC"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3.692,25 SEK </w:t>
            </w:r>
          </w:p>
        </w:tc>
        <w:tc>
          <w:tcPr>
            <w:tcW w:w="1396" w:type="dxa"/>
            <w:noWrap/>
            <w:hideMark/>
          </w:tcPr>
          <w:p w14:paraId="6B5688AB"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4.568,42 SEK </w:t>
            </w:r>
          </w:p>
        </w:tc>
        <w:tc>
          <w:tcPr>
            <w:tcW w:w="1396" w:type="dxa"/>
            <w:noWrap/>
            <w:hideMark/>
          </w:tcPr>
          <w:p w14:paraId="71C605EC"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5.652,51 SEK </w:t>
            </w:r>
          </w:p>
        </w:tc>
        <w:tc>
          <w:tcPr>
            <w:tcW w:w="1396" w:type="dxa"/>
            <w:noWrap/>
            <w:hideMark/>
          </w:tcPr>
          <w:p w14:paraId="54DE2E09"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6.993,85 SEK </w:t>
            </w:r>
          </w:p>
        </w:tc>
      </w:tr>
      <w:tr w:rsidR="00B23920" w:rsidRPr="00B23920" w14:paraId="658CF3EE" w14:textId="77777777" w:rsidTr="006F4AB6">
        <w:trPr>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DD4F53C" w14:textId="77777777" w:rsidR="00B23920" w:rsidRPr="00B23920" w:rsidRDefault="00B23920">
            <w:pPr>
              <w:rPr>
                <w:rFonts w:ascii="Calibri" w:eastAsia="Times New Roman" w:hAnsi="Calibri"/>
                <w:b w:val="0"/>
                <w:color w:val="000000"/>
                <w:sz w:val="16"/>
                <w:lang w:val="en-GB"/>
              </w:rPr>
            </w:pPr>
            <w:r w:rsidRPr="00B23920">
              <w:rPr>
                <w:rFonts w:ascii="Calibri" w:eastAsia="Times New Roman" w:hAnsi="Calibri"/>
                <w:b w:val="0"/>
                <w:color w:val="000000"/>
                <w:sz w:val="16"/>
                <w:lang w:val="en-GB"/>
              </w:rPr>
              <w:t xml:space="preserve">Book Value of </w:t>
            </w:r>
            <w:proofErr w:type="spellStart"/>
            <w:r w:rsidRPr="00B23920">
              <w:rPr>
                <w:rFonts w:ascii="Calibri" w:eastAsia="Times New Roman" w:hAnsi="Calibri"/>
                <w:b w:val="0"/>
                <w:color w:val="000000"/>
                <w:sz w:val="16"/>
                <w:lang w:val="en-GB"/>
              </w:rPr>
              <w:t>CapEx</w:t>
            </w:r>
            <w:proofErr w:type="spellEnd"/>
          </w:p>
        </w:tc>
        <w:tc>
          <w:tcPr>
            <w:tcW w:w="952" w:type="dxa"/>
            <w:noWrap/>
            <w:hideMark/>
          </w:tcPr>
          <w:p w14:paraId="7415E8B7"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078DA6D3"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6045A752"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6B30D73E"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4BBE594A"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607437C9"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11.078,10 SEK </w:t>
            </w:r>
          </w:p>
        </w:tc>
      </w:tr>
      <w:tr w:rsidR="00B23920" w:rsidRPr="00B23920" w14:paraId="3AE645A0" w14:textId="77777777" w:rsidTr="006F4A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ADFD6ED" w14:textId="77777777" w:rsidR="00B23920" w:rsidRPr="00B23920" w:rsidRDefault="00B23920">
            <w:pPr>
              <w:rPr>
                <w:rFonts w:ascii="Calibri" w:eastAsia="Times New Roman" w:hAnsi="Calibri"/>
                <w:b w:val="0"/>
                <w:color w:val="000000"/>
                <w:sz w:val="16"/>
                <w:lang w:val="en-GB"/>
              </w:rPr>
            </w:pPr>
            <w:r w:rsidRPr="00B23920">
              <w:rPr>
                <w:rFonts w:ascii="Calibri" w:eastAsia="Times New Roman" w:hAnsi="Calibri"/>
                <w:b w:val="0"/>
                <w:color w:val="000000"/>
                <w:sz w:val="16"/>
                <w:lang w:val="en-GB"/>
              </w:rPr>
              <w:t>Liquidation Value (LV)</w:t>
            </w:r>
          </w:p>
        </w:tc>
        <w:tc>
          <w:tcPr>
            <w:tcW w:w="952" w:type="dxa"/>
            <w:noWrap/>
            <w:hideMark/>
          </w:tcPr>
          <w:p w14:paraId="2A9342CC"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6E76589C"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4D3243F8"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1C665F22"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1E5C4D42" w14:textId="77777777" w:rsidR="00B23920" w:rsidRPr="00B23920" w:rsidRDefault="00B23920">
            <w:pPr>
              <w:cnfStyle w:val="000000100000" w:firstRow="0" w:lastRow="0" w:firstColumn="0" w:lastColumn="0" w:oddVBand="0" w:evenVBand="0" w:oddHBand="1" w:evenHBand="0" w:firstRowFirstColumn="0" w:firstRowLastColumn="0" w:lastRowFirstColumn="0" w:lastRowLastColumn="0"/>
              <w:rPr>
                <w:rFonts w:eastAsia="Times New Roman"/>
                <w:sz w:val="15"/>
                <w:szCs w:val="15"/>
              </w:rPr>
            </w:pPr>
          </w:p>
        </w:tc>
        <w:tc>
          <w:tcPr>
            <w:tcW w:w="1396" w:type="dxa"/>
            <w:noWrap/>
            <w:hideMark/>
          </w:tcPr>
          <w:p w14:paraId="560C8F67" w14:textId="77777777" w:rsidR="00B23920" w:rsidRPr="00B23920"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2.160,23 SEK </w:t>
            </w:r>
          </w:p>
        </w:tc>
      </w:tr>
      <w:tr w:rsidR="00B23920" w:rsidRPr="00B23920" w14:paraId="3703F504" w14:textId="77777777" w:rsidTr="006F4AB6">
        <w:trPr>
          <w:trHeight w:val="397"/>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CB4C8D4" w14:textId="77777777" w:rsidR="00B23920" w:rsidRPr="00B23920" w:rsidRDefault="00B23920">
            <w:pPr>
              <w:rPr>
                <w:rFonts w:ascii="Calibri" w:eastAsia="Times New Roman" w:hAnsi="Calibri"/>
                <w:b w:val="0"/>
                <w:color w:val="000000"/>
                <w:sz w:val="16"/>
                <w:lang w:val="en-GB"/>
              </w:rPr>
            </w:pPr>
            <w:r w:rsidRPr="00B23920">
              <w:rPr>
                <w:rFonts w:ascii="Calibri" w:eastAsia="Times New Roman" w:hAnsi="Calibri"/>
                <w:b w:val="0"/>
                <w:color w:val="000000"/>
                <w:sz w:val="16"/>
                <w:lang w:val="en-GB"/>
              </w:rPr>
              <w:t>After-tax proceeds</w:t>
            </w:r>
          </w:p>
        </w:tc>
        <w:tc>
          <w:tcPr>
            <w:tcW w:w="952" w:type="dxa"/>
            <w:noWrap/>
            <w:hideMark/>
          </w:tcPr>
          <w:p w14:paraId="40CC8F9F"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02AEA985"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01AA163B"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752390C7"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70760DBB" w14:textId="77777777" w:rsidR="00B23920" w:rsidRPr="00B23920" w:rsidRDefault="00B23920">
            <w:pPr>
              <w:cnfStyle w:val="000000000000" w:firstRow="0" w:lastRow="0" w:firstColumn="0" w:lastColumn="0" w:oddVBand="0" w:evenVBand="0" w:oddHBand="0" w:evenHBand="0" w:firstRowFirstColumn="0" w:firstRowLastColumn="0" w:lastRowFirstColumn="0" w:lastRowLastColumn="0"/>
              <w:rPr>
                <w:rFonts w:eastAsia="Times New Roman"/>
                <w:sz w:val="15"/>
                <w:szCs w:val="15"/>
              </w:rPr>
            </w:pPr>
          </w:p>
        </w:tc>
        <w:tc>
          <w:tcPr>
            <w:tcW w:w="1396" w:type="dxa"/>
            <w:noWrap/>
            <w:hideMark/>
          </w:tcPr>
          <w:p w14:paraId="7BF9BE3C" w14:textId="77777777" w:rsidR="00B23920" w:rsidRPr="00B23920" w:rsidRDefault="00B239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5"/>
                <w:szCs w:val="15"/>
              </w:rPr>
            </w:pPr>
            <w:r w:rsidRPr="00B23920">
              <w:rPr>
                <w:rFonts w:ascii="Calibri" w:eastAsia="Times New Roman" w:hAnsi="Calibri"/>
                <w:color w:val="000000"/>
                <w:sz w:val="15"/>
                <w:szCs w:val="15"/>
              </w:rPr>
              <w:t xml:space="preserve"> 4.166,75 SEK </w:t>
            </w:r>
          </w:p>
        </w:tc>
      </w:tr>
      <w:tr w:rsidR="00B23920" w:rsidRPr="00B23920" w14:paraId="0EAA8544" w14:textId="77777777" w:rsidTr="006F4A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0" w:type="dxa"/>
            <w:shd w:val="clear" w:color="auto" w:fill="FFE599" w:themeFill="accent4" w:themeFillTint="66"/>
            <w:noWrap/>
            <w:hideMark/>
          </w:tcPr>
          <w:p w14:paraId="65A96531" w14:textId="7A8D4E80" w:rsidR="00B23920" w:rsidRPr="006F4AB6" w:rsidRDefault="00B23920">
            <w:pPr>
              <w:rPr>
                <w:rFonts w:ascii="Calibri" w:eastAsia="Times New Roman" w:hAnsi="Calibri"/>
                <w:color w:val="000000"/>
                <w:sz w:val="16"/>
                <w:lang w:val="en-GB"/>
              </w:rPr>
            </w:pPr>
            <w:r w:rsidRPr="006F4AB6">
              <w:rPr>
                <w:rFonts w:ascii="Calibri" w:eastAsia="Times New Roman" w:hAnsi="Calibri"/>
                <w:color w:val="000000"/>
                <w:sz w:val="16"/>
                <w:lang w:val="en-GB"/>
              </w:rPr>
              <w:t>NET PROJECT CAPEX</w:t>
            </w:r>
          </w:p>
        </w:tc>
        <w:tc>
          <w:tcPr>
            <w:tcW w:w="952" w:type="dxa"/>
            <w:shd w:val="clear" w:color="auto" w:fill="FFE599" w:themeFill="accent4" w:themeFillTint="66"/>
            <w:noWrap/>
            <w:hideMark/>
          </w:tcPr>
          <w:p w14:paraId="2F6C0711" w14:textId="481AC2F4"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12.059 SEK </w:t>
            </w:r>
          </w:p>
        </w:tc>
        <w:tc>
          <w:tcPr>
            <w:tcW w:w="1396" w:type="dxa"/>
            <w:shd w:val="clear" w:color="auto" w:fill="FFE599" w:themeFill="accent4" w:themeFillTint="66"/>
            <w:noWrap/>
            <w:hideMark/>
          </w:tcPr>
          <w:p w14:paraId="5E57ED31" w14:textId="77777777"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2.861,60 SEK </w:t>
            </w:r>
          </w:p>
        </w:tc>
        <w:tc>
          <w:tcPr>
            <w:tcW w:w="1396" w:type="dxa"/>
            <w:shd w:val="clear" w:color="auto" w:fill="FFE599" w:themeFill="accent4" w:themeFillTint="66"/>
            <w:noWrap/>
            <w:hideMark/>
          </w:tcPr>
          <w:p w14:paraId="6E335EB8" w14:textId="77777777"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3.540,66 SEK </w:t>
            </w:r>
          </w:p>
        </w:tc>
        <w:tc>
          <w:tcPr>
            <w:tcW w:w="1396" w:type="dxa"/>
            <w:shd w:val="clear" w:color="auto" w:fill="FFE599" w:themeFill="accent4" w:themeFillTint="66"/>
            <w:noWrap/>
            <w:hideMark/>
          </w:tcPr>
          <w:p w14:paraId="43C5A497" w14:textId="77777777"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4.380,86 SEK </w:t>
            </w:r>
          </w:p>
        </w:tc>
        <w:tc>
          <w:tcPr>
            <w:tcW w:w="1396" w:type="dxa"/>
            <w:shd w:val="clear" w:color="auto" w:fill="FFE599" w:themeFill="accent4" w:themeFillTint="66"/>
            <w:noWrap/>
            <w:hideMark/>
          </w:tcPr>
          <w:p w14:paraId="1048167E" w14:textId="77777777"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5.420,43 SEK </w:t>
            </w:r>
          </w:p>
        </w:tc>
        <w:tc>
          <w:tcPr>
            <w:tcW w:w="1396" w:type="dxa"/>
            <w:shd w:val="clear" w:color="auto" w:fill="FFE599" w:themeFill="accent4" w:themeFillTint="66"/>
            <w:noWrap/>
            <w:hideMark/>
          </w:tcPr>
          <w:p w14:paraId="389386E3" w14:textId="77777777" w:rsidR="00B23920" w:rsidRPr="006F4AB6" w:rsidRDefault="00B239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15"/>
                <w:szCs w:val="15"/>
              </w:rPr>
            </w:pPr>
            <w:r w:rsidRPr="006F4AB6">
              <w:rPr>
                <w:rFonts w:ascii="Calibri" w:eastAsia="Times New Roman" w:hAnsi="Calibri"/>
                <w:b/>
                <w:color w:val="000000"/>
                <w:sz w:val="15"/>
                <w:szCs w:val="15"/>
              </w:rPr>
              <w:t xml:space="preserve"> 2.539,95 SEK </w:t>
            </w:r>
          </w:p>
        </w:tc>
      </w:tr>
    </w:tbl>
    <w:p w14:paraId="20841614" w14:textId="77777777" w:rsidR="00CF3A64" w:rsidRDefault="00CF3A64" w:rsidP="00815C97">
      <w:pPr>
        <w:pStyle w:val="Textosinformato"/>
        <w:jc w:val="both"/>
        <w:rPr>
          <w:rFonts w:asciiTheme="minorHAnsi" w:hAnsiTheme="minorHAnsi" w:cs="Courier New"/>
          <w:sz w:val="24"/>
          <w:szCs w:val="24"/>
        </w:rPr>
      </w:pPr>
    </w:p>
    <w:p w14:paraId="33EC026D" w14:textId="77777777" w:rsidR="006F4AB6" w:rsidRDefault="006F4AB6" w:rsidP="00050752">
      <w:pPr>
        <w:pStyle w:val="Textosinformato"/>
        <w:spacing w:line="276" w:lineRule="auto"/>
        <w:jc w:val="both"/>
        <w:rPr>
          <w:rFonts w:ascii="Times New Roman" w:hAnsi="Times New Roman"/>
          <w:sz w:val="24"/>
          <w:szCs w:val="24"/>
        </w:rPr>
      </w:pPr>
    </w:p>
    <w:p w14:paraId="35BDF5E6" w14:textId="77777777" w:rsidR="00050752" w:rsidRPr="00050752" w:rsidRDefault="00050752"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 xml:space="preserve">After the fifth year our physical capital coming from capex investments doesn’t evaporate. The firm could sell it or redeploy it for another purpose so we need to recognize that. Otherwise, we're going to under estimate cash flows. </w:t>
      </w:r>
    </w:p>
    <w:p w14:paraId="538F5850" w14:textId="77777777" w:rsidR="00050752" w:rsidRPr="00050752" w:rsidRDefault="00050752"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lastRenderedPageBreak/>
        <w:t>Thus, we need to take all of that capital expenditure (accumulated at year 5), and subtract from it the accumulated depreciation to get this</w:t>
      </w:r>
      <w:r w:rsidRPr="00050752">
        <w:rPr>
          <w:rFonts w:ascii="Times New Roman" w:hAnsi="Times New Roman"/>
          <w:sz w:val="24"/>
          <w:szCs w:val="24"/>
          <w:lang w:val="es-ES_tradnl"/>
        </w:rPr>
        <w:t xml:space="preserve"> 11.078,10 million SEK</w:t>
      </w:r>
      <w:r w:rsidRPr="00050752">
        <w:rPr>
          <w:rFonts w:ascii="Times New Roman" w:hAnsi="Times New Roman"/>
          <w:sz w:val="24"/>
          <w:szCs w:val="24"/>
        </w:rPr>
        <w:t xml:space="preserve">. The difference between the accumulated </w:t>
      </w:r>
      <w:proofErr w:type="spellStart"/>
      <w:r w:rsidRPr="00050752">
        <w:rPr>
          <w:rFonts w:ascii="Times New Roman" w:hAnsi="Times New Roman"/>
          <w:sz w:val="24"/>
          <w:szCs w:val="24"/>
        </w:rPr>
        <w:t>CapEx</w:t>
      </w:r>
      <w:proofErr w:type="spellEnd"/>
      <w:r w:rsidRPr="00050752">
        <w:rPr>
          <w:rFonts w:ascii="Times New Roman" w:hAnsi="Times New Roman"/>
          <w:sz w:val="24"/>
          <w:szCs w:val="24"/>
        </w:rPr>
        <w:t xml:space="preserve"> and the accumulated depreciation is the Book Value of the assets. Usually it is not possible to sell that physical capital on a dollar for dollar basis, rather the firm will have to sell it at a discount. We estimate the liquidation value using positive cash flow coming from investments in previous years (average). Thus at the end of year 5, the firm could get for it </w:t>
      </w:r>
      <w:r w:rsidRPr="00050752">
        <w:rPr>
          <w:rFonts w:ascii="Times New Roman" w:hAnsi="Times New Roman"/>
          <w:sz w:val="24"/>
          <w:szCs w:val="24"/>
          <w:lang w:val="es-ES_tradnl"/>
        </w:rPr>
        <w:t xml:space="preserve">2.160,23 million SEK </w:t>
      </w:r>
      <w:r w:rsidRPr="00050752">
        <w:rPr>
          <w:rFonts w:ascii="Times New Roman" w:hAnsi="Times New Roman"/>
          <w:sz w:val="24"/>
          <w:szCs w:val="24"/>
        </w:rPr>
        <w:t>which is different from the book value. But remember we have to deal with taxes and so what we're really interested in are the</w:t>
      </w:r>
    </w:p>
    <w:p w14:paraId="3D3BD426" w14:textId="77777777" w:rsidR="00050752" w:rsidRPr="00050752" w:rsidRDefault="00050752"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 xml:space="preserve">after tax proceeds from selling this. So we're going to get </w:t>
      </w:r>
      <w:r w:rsidRPr="00050752">
        <w:rPr>
          <w:rFonts w:ascii="Times New Roman" w:hAnsi="Times New Roman"/>
          <w:sz w:val="24"/>
          <w:szCs w:val="24"/>
          <w:lang w:val="es-ES_tradnl"/>
        </w:rPr>
        <w:t>2.160,23 million SEK</w:t>
      </w:r>
      <w:r w:rsidRPr="00050752">
        <w:rPr>
          <w:rFonts w:ascii="Times New Roman" w:hAnsi="Times New Roman"/>
          <w:sz w:val="24"/>
          <w:szCs w:val="24"/>
        </w:rPr>
        <w:t xml:space="preserve">. But we're going to experience a book loss because the value for which we can sell the assets, by assumption, this isn't always the case, is less than the book value of the assets. I multiply that times the tax rate. So we get a little bit of a tax shield here from our loss. And the result, our after tax proceeds that are actually greater than the liquidation value, we're going to get </w:t>
      </w:r>
      <w:r w:rsidRPr="00050752">
        <w:rPr>
          <w:rFonts w:ascii="Times New Roman" w:hAnsi="Times New Roman"/>
          <w:sz w:val="24"/>
          <w:szCs w:val="24"/>
          <w:lang w:val="es-ES_tradnl"/>
        </w:rPr>
        <w:t>4.166,75 million SEK</w:t>
      </w:r>
      <w:r w:rsidRPr="00050752">
        <w:rPr>
          <w:rFonts w:ascii="Times New Roman" w:hAnsi="Times New Roman"/>
          <w:sz w:val="24"/>
          <w:szCs w:val="24"/>
        </w:rPr>
        <w:t>.</w:t>
      </w:r>
    </w:p>
    <w:p w14:paraId="228408E4" w14:textId="1A247F98" w:rsidR="00CF3A64" w:rsidRDefault="005B5ED2" w:rsidP="00050752">
      <w:pPr>
        <w:pStyle w:val="Textosinformato"/>
        <w:spacing w:line="276" w:lineRule="auto"/>
        <w:jc w:val="both"/>
        <w:rPr>
          <w:rFonts w:asciiTheme="minorHAnsi" w:hAnsiTheme="minorHAnsi" w:cs="Courier New"/>
          <w:sz w:val="24"/>
          <w:szCs w:val="24"/>
        </w:rPr>
      </w:pPr>
      <w:r w:rsidRPr="00050752">
        <w:rPr>
          <w:rFonts w:ascii="Times New Roman" w:hAnsi="Times New Roman"/>
          <w:sz w:val="24"/>
          <w:szCs w:val="24"/>
        </w:rPr>
        <w:t xml:space="preserve">The net </w:t>
      </w:r>
      <w:r w:rsidR="00050752" w:rsidRPr="00050752">
        <w:rPr>
          <w:rFonts w:ascii="Times New Roman" w:hAnsi="Times New Roman"/>
          <w:sz w:val="24"/>
          <w:szCs w:val="24"/>
        </w:rPr>
        <w:t>project CAPEX</w:t>
      </w:r>
      <w:r w:rsidRPr="00050752">
        <w:rPr>
          <w:rFonts w:ascii="Times New Roman" w:hAnsi="Times New Roman"/>
          <w:sz w:val="24"/>
          <w:szCs w:val="24"/>
        </w:rPr>
        <w:t xml:space="preserve"> will only change for year five as we have to subtract from the project CAPEX, earnings coming from the sale of physical assets</w:t>
      </w:r>
      <w:r>
        <w:rPr>
          <w:rFonts w:asciiTheme="minorHAnsi" w:hAnsiTheme="minorHAnsi" w:cs="Courier New"/>
          <w:sz w:val="24"/>
          <w:szCs w:val="24"/>
        </w:rPr>
        <w:t>.</w:t>
      </w:r>
    </w:p>
    <w:p w14:paraId="45E9F25B" w14:textId="77777777" w:rsidR="005B5ED2" w:rsidRDefault="005B5ED2" w:rsidP="00815C97">
      <w:pPr>
        <w:pStyle w:val="Textosinformato"/>
        <w:jc w:val="both"/>
        <w:rPr>
          <w:rFonts w:asciiTheme="minorHAnsi" w:hAnsiTheme="minorHAnsi" w:cs="Courier New"/>
          <w:sz w:val="24"/>
          <w:szCs w:val="24"/>
        </w:rPr>
      </w:pPr>
    </w:p>
    <w:p w14:paraId="315F292D" w14:textId="77777777" w:rsidR="005B5ED2" w:rsidRDefault="005B5ED2" w:rsidP="00050752">
      <w:pPr>
        <w:pStyle w:val="Textosinformato"/>
        <w:spacing w:line="276" w:lineRule="auto"/>
        <w:rPr>
          <w:rFonts w:asciiTheme="minorHAnsi" w:hAnsiTheme="minorHAnsi" w:cs="Courier New"/>
          <w:sz w:val="24"/>
          <w:szCs w:val="24"/>
        </w:rPr>
      </w:pPr>
    </w:p>
    <w:p w14:paraId="2ABB6729" w14:textId="7CF12DCF" w:rsidR="005B5ED2" w:rsidRDefault="00050752" w:rsidP="00050752">
      <w:pPr>
        <w:pStyle w:val="Textosinformato"/>
        <w:numPr>
          <w:ilvl w:val="0"/>
          <w:numId w:val="1"/>
        </w:numPr>
        <w:spacing w:line="276" w:lineRule="auto"/>
        <w:rPr>
          <w:rFonts w:ascii="Times New Roman" w:hAnsi="Times New Roman"/>
          <w:b/>
          <w:sz w:val="24"/>
          <w:szCs w:val="24"/>
        </w:rPr>
      </w:pPr>
      <w:r w:rsidRPr="00050752">
        <w:rPr>
          <w:rFonts w:ascii="Times New Roman" w:hAnsi="Times New Roman"/>
          <w:b/>
          <w:sz w:val="24"/>
          <w:szCs w:val="24"/>
        </w:rPr>
        <w:t>Change in Net Working Capital</w:t>
      </w:r>
    </w:p>
    <w:p w14:paraId="7C1BDC8E" w14:textId="77777777" w:rsidR="00050752" w:rsidRPr="00050752" w:rsidRDefault="00050752" w:rsidP="00050752">
      <w:pPr>
        <w:pStyle w:val="Textosinformato"/>
        <w:spacing w:line="276" w:lineRule="auto"/>
        <w:ind w:left="720"/>
        <w:rPr>
          <w:rFonts w:ascii="Times New Roman" w:hAnsi="Times New Roman"/>
          <w:b/>
          <w:sz w:val="24"/>
          <w:szCs w:val="24"/>
        </w:rPr>
      </w:pPr>
    </w:p>
    <w:p w14:paraId="0068ABB6" w14:textId="2368CBE6" w:rsidR="005B5ED2" w:rsidRPr="00050752" w:rsidRDefault="005B5ED2" w:rsidP="00050752">
      <w:pPr>
        <w:pStyle w:val="Textosinformato"/>
        <w:spacing w:line="276" w:lineRule="auto"/>
        <w:rPr>
          <w:rFonts w:ascii="Times New Roman" w:hAnsi="Times New Roman"/>
          <w:sz w:val="24"/>
          <w:szCs w:val="24"/>
        </w:rPr>
      </w:pPr>
      <w:r w:rsidRPr="00050752">
        <w:rPr>
          <w:rFonts w:ascii="Times New Roman" w:hAnsi="Times New Roman"/>
          <w:sz w:val="24"/>
          <w:szCs w:val="24"/>
        </w:rPr>
        <w:t>The last element we need is net working capital, more precisely the change in net working capital but we'll start with net working capital. Net working capital is:</w:t>
      </w:r>
    </w:p>
    <w:p w14:paraId="2C53BC3A" w14:textId="77777777" w:rsidR="005B5ED2" w:rsidRPr="00050752" w:rsidRDefault="005B5ED2" w:rsidP="00050752">
      <w:pPr>
        <w:pStyle w:val="Textosinformato"/>
        <w:spacing w:line="276" w:lineRule="auto"/>
        <w:rPr>
          <w:rFonts w:ascii="Times New Roman" w:hAnsi="Times New Roman"/>
          <w:sz w:val="24"/>
          <w:szCs w:val="24"/>
        </w:rPr>
      </w:pPr>
    </w:p>
    <w:p w14:paraId="0662ED55" w14:textId="4D6DEA74" w:rsidR="005B5ED2" w:rsidRPr="00050752" w:rsidRDefault="005B5ED2" w:rsidP="00050752">
      <w:pPr>
        <w:pStyle w:val="Textosinformato"/>
        <w:spacing w:line="276" w:lineRule="auto"/>
        <w:rPr>
          <w:rFonts w:ascii="Times New Roman" w:hAnsi="Times New Roman"/>
          <w:sz w:val="24"/>
          <w:szCs w:val="24"/>
        </w:rPr>
      </w:pPr>
      <m:oMathPara>
        <m:oMath>
          <m:r>
            <w:rPr>
              <w:rFonts w:ascii="Cambria Math" w:hAnsi="Cambria Math"/>
              <w:sz w:val="24"/>
              <w:szCs w:val="24"/>
            </w:rPr>
            <m:t>NetW</m:t>
          </m:r>
          <m:r>
            <w:rPr>
              <w:rFonts w:ascii="Cambria Math" w:hAnsi="Cambria Math" w:cs="Cambria Math"/>
              <w:sz w:val="24"/>
              <w:szCs w:val="24"/>
            </w:rPr>
            <m:t>c</m:t>
          </m:r>
          <m:r>
            <w:rPr>
              <w:rFonts w:ascii="Cambria Math" w:hAnsi="Cambria Math"/>
              <w:sz w:val="24"/>
              <w:szCs w:val="24"/>
            </w:rPr>
            <m:t>=Cash+Inventory+Accounts Receivable-Accounts Payable</m:t>
          </m:r>
        </m:oMath>
      </m:oMathPara>
    </w:p>
    <w:p w14:paraId="6CDE3356" w14:textId="77777777" w:rsidR="005B5ED2" w:rsidRDefault="005B5ED2" w:rsidP="005B5ED2">
      <w:pPr>
        <w:pStyle w:val="Textosinformato"/>
        <w:rPr>
          <w:rFonts w:asciiTheme="minorHAnsi" w:hAnsiTheme="minorHAnsi" w:cs="Courier New"/>
          <w:sz w:val="24"/>
          <w:szCs w:val="24"/>
        </w:rPr>
      </w:pPr>
    </w:p>
    <w:tbl>
      <w:tblPr>
        <w:tblStyle w:val="Tablanormal1"/>
        <w:tblW w:w="9947" w:type="dxa"/>
        <w:tblLayout w:type="fixed"/>
        <w:tblLook w:val="04A0" w:firstRow="1" w:lastRow="0" w:firstColumn="1" w:lastColumn="0" w:noHBand="0" w:noVBand="1"/>
      </w:tblPr>
      <w:tblGrid>
        <w:gridCol w:w="1852"/>
        <w:gridCol w:w="1264"/>
        <w:gridCol w:w="1276"/>
        <w:gridCol w:w="1292"/>
        <w:gridCol w:w="1543"/>
        <w:gridCol w:w="1417"/>
        <w:gridCol w:w="1303"/>
      </w:tblGrid>
      <w:tr w:rsidR="006F4AB6" w:rsidRPr="006F4AB6" w14:paraId="7EC689CE" w14:textId="77777777" w:rsidTr="006F4AB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shd w:val="clear" w:color="auto" w:fill="1F4E79" w:themeFill="accent1" w:themeFillShade="80"/>
            <w:noWrap/>
            <w:hideMark/>
          </w:tcPr>
          <w:p w14:paraId="3B38544C" w14:textId="0C83BA80" w:rsidR="005B5ED2" w:rsidRPr="006F4AB6" w:rsidRDefault="006F4AB6">
            <w:pPr>
              <w:rPr>
                <w:rFonts w:ascii="Calibri" w:eastAsia="Times New Roman" w:hAnsi="Calibri"/>
                <w:b w:val="0"/>
                <w:color w:val="FFFFFF" w:themeColor="background1"/>
                <w:sz w:val="16"/>
              </w:rPr>
            </w:pPr>
            <w:r w:rsidRPr="006F4AB6">
              <w:rPr>
                <w:rFonts w:ascii="Calibri" w:eastAsia="Times New Roman" w:hAnsi="Calibri"/>
                <w:color w:val="FFFFFF" w:themeColor="background1"/>
                <w:sz w:val="22"/>
              </w:rPr>
              <w:t>YEARS</w:t>
            </w:r>
          </w:p>
        </w:tc>
        <w:tc>
          <w:tcPr>
            <w:tcW w:w="1264" w:type="dxa"/>
            <w:shd w:val="clear" w:color="auto" w:fill="1F4E79" w:themeFill="accent1" w:themeFillShade="80"/>
            <w:noWrap/>
            <w:hideMark/>
          </w:tcPr>
          <w:p w14:paraId="4F1B14B9" w14:textId="77777777" w:rsidR="005B5ED2" w:rsidRPr="006F4AB6" w:rsidRDefault="005B5E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0 (F2015)</w:t>
            </w:r>
          </w:p>
        </w:tc>
        <w:tc>
          <w:tcPr>
            <w:tcW w:w="1276" w:type="dxa"/>
            <w:shd w:val="clear" w:color="auto" w:fill="1F4E79" w:themeFill="accent1" w:themeFillShade="80"/>
            <w:noWrap/>
            <w:hideMark/>
          </w:tcPr>
          <w:p w14:paraId="5CF6D4F2" w14:textId="77777777" w:rsidR="005B5ED2" w:rsidRPr="006F4AB6" w:rsidRDefault="005B5ED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1</w:t>
            </w:r>
          </w:p>
        </w:tc>
        <w:tc>
          <w:tcPr>
            <w:tcW w:w="1292" w:type="dxa"/>
            <w:shd w:val="clear" w:color="auto" w:fill="1F4E79" w:themeFill="accent1" w:themeFillShade="80"/>
            <w:noWrap/>
            <w:hideMark/>
          </w:tcPr>
          <w:p w14:paraId="04543CA8" w14:textId="77777777" w:rsidR="005B5ED2" w:rsidRPr="006F4AB6" w:rsidRDefault="005B5ED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2</w:t>
            </w:r>
          </w:p>
        </w:tc>
        <w:tc>
          <w:tcPr>
            <w:tcW w:w="1543" w:type="dxa"/>
            <w:shd w:val="clear" w:color="auto" w:fill="1F4E79" w:themeFill="accent1" w:themeFillShade="80"/>
            <w:noWrap/>
            <w:hideMark/>
          </w:tcPr>
          <w:p w14:paraId="2EA7AC5C" w14:textId="77777777" w:rsidR="005B5ED2" w:rsidRPr="006F4AB6" w:rsidRDefault="005B5ED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3</w:t>
            </w:r>
          </w:p>
        </w:tc>
        <w:tc>
          <w:tcPr>
            <w:tcW w:w="1417" w:type="dxa"/>
            <w:shd w:val="clear" w:color="auto" w:fill="1F4E79" w:themeFill="accent1" w:themeFillShade="80"/>
            <w:noWrap/>
            <w:hideMark/>
          </w:tcPr>
          <w:p w14:paraId="718C0928" w14:textId="77777777" w:rsidR="005B5ED2" w:rsidRPr="006F4AB6" w:rsidRDefault="005B5ED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4</w:t>
            </w:r>
          </w:p>
        </w:tc>
        <w:tc>
          <w:tcPr>
            <w:tcW w:w="1303" w:type="dxa"/>
            <w:shd w:val="clear" w:color="auto" w:fill="1F4E79" w:themeFill="accent1" w:themeFillShade="80"/>
            <w:noWrap/>
            <w:hideMark/>
          </w:tcPr>
          <w:p w14:paraId="2448252A" w14:textId="77777777" w:rsidR="005B5ED2" w:rsidRPr="006F4AB6" w:rsidRDefault="005B5ED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16"/>
              </w:rPr>
            </w:pPr>
            <w:r w:rsidRPr="006F4AB6">
              <w:rPr>
                <w:rFonts w:ascii="Calibri" w:eastAsia="Times New Roman" w:hAnsi="Calibri"/>
                <w:color w:val="FFFFFF" w:themeColor="background1"/>
                <w:sz w:val="16"/>
              </w:rPr>
              <w:t>5</w:t>
            </w:r>
          </w:p>
        </w:tc>
      </w:tr>
      <w:tr w:rsidR="00F67B69" w:rsidRPr="005B5ED2" w14:paraId="0D616F68" w14:textId="77777777" w:rsidTr="007350E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71AFD4F9" w14:textId="61AE292D" w:rsidR="005B5ED2" w:rsidRPr="007350E0" w:rsidRDefault="00F67B69">
            <w:pPr>
              <w:rPr>
                <w:rFonts w:ascii="Calibri" w:eastAsia="Times New Roman" w:hAnsi="Calibri"/>
                <w:color w:val="000000"/>
                <w:sz w:val="16"/>
              </w:rPr>
            </w:pPr>
            <w:r w:rsidRPr="007350E0">
              <w:rPr>
                <w:rFonts w:ascii="Calibri" w:eastAsia="Times New Roman" w:hAnsi="Calibri"/>
                <w:color w:val="1F4E79" w:themeColor="accent1" w:themeShade="80"/>
                <w:sz w:val="16"/>
              </w:rPr>
              <w:t>WC ASSUMPTIONS:</w:t>
            </w:r>
          </w:p>
        </w:tc>
        <w:tc>
          <w:tcPr>
            <w:tcW w:w="1264" w:type="dxa"/>
            <w:shd w:val="clear" w:color="auto" w:fill="BDD6EE" w:themeFill="accent1" w:themeFillTint="66"/>
            <w:noWrap/>
            <w:hideMark/>
          </w:tcPr>
          <w:p w14:paraId="31C4F5D1"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76" w:type="dxa"/>
            <w:shd w:val="clear" w:color="auto" w:fill="BDD6EE" w:themeFill="accent1" w:themeFillTint="66"/>
            <w:noWrap/>
            <w:hideMark/>
          </w:tcPr>
          <w:p w14:paraId="6C172126"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92" w:type="dxa"/>
            <w:shd w:val="clear" w:color="auto" w:fill="BDD6EE" w:themeFill="accent1" w:themeFillTint="66"/>
            <w:noWrap/>
            <w:hideMark/>
          </w:tcPr>
          <w:p w14:paraId="4E5FAC6C"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543" w:type="dxa"/>
            <w:shd w:val="clear" w:color="auto" w:fill="BDD6EE" w:themeFill="accent1" w:themeFillTint="66"/>
            <w:noWrap/>
            <w:hideMark/>
          </w:tcPr>
          <w:p w14:paraId="476685F9"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17" w:type="dxa"/>
            <w:shd w:val="clear" w:color="auto" w:fill="BDD6EE" w:themeFill="accent1" w:themeFillTint="66"/>
            <w:noWrap/>
            <w:hideMark/>
          </w:tcPr>
          <w:p w14:paraId="432E7A06"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03" w:type="dxa"/>
            <w:shd w:val="clear" w:color="auto" w:fill="BDD6EE" w:themeFill="accent1" w:themeFillTint="66"/>
            <w:noWrap/>
            <w:hideMark/>
          </w:tcPr>
          <w:p w14:paraId="690C067A" w14:textId="77777777" w:rsidR="005B5ED2" w:rsidRPr="005B5ED2" w:rsidRDefault="005B5ED2">
            <w:pP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r>
      <w:tr w:rsidR="00F67B69" w:rsidRPr="005B5ED2" w14:paraId="1F8DFB84"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6B08FC5D" w14:textId="77777777" w:rsidR="005B5ED2" w:rsidRDefault="005B5ED2">
            <w:pPr>
              <w:rPr>
                <w:rFonts w:ascii="Calibri" w:eastAsia="Times New Roman" w:hAnsi="Calibri"/>
                <w:color w:val="000000"/>
                <w:sz w:val="16"/>
              </w:rPr>
            </w:pPr>
            <w:r w:rsidRPr="005B5ED2">
              <w:rPr>
                <w:rFonts w:ascii="Calibri" w:eastAsia="Times New Roman" w:hAnsi="Calibri"/>
                <w:color w:val="000000"/>
                <w:sz w:val="16"/>
              </w:rPr>
              <w:t xml:space="preserve">Cash </w:t>
            </w:r>
            <w:proofErr w:type="spellStart"/>
            <w:r w:rsidRPr="005B5ED2">
              <w:rPr>
                <w:rFonts w:ascii="Calibri" w:eastAsia="Times New Roman" w:hAnsi="Calibri"/>
                <w:color w:val="000000"/>
                <w:sz w:val="16"/>
              </w:rPr>
              <w:t>Requirements</w:t>
            </w:r>
            <w:proofErr w:type="spellEnd"/>
          </w:p>
          <w:p w14:paraId="5ADB467D" w14:textId="52C67804" w:rsidR="005B5ED2" w:rsidRPr="005B5ED2" w:rsidRDefault="005B5ED2">
            <w:pPr>
              <w:rPr>
                <w:rFonts w:ascii="Calibri" w:eastAsia="Times New Roman" w:hAnsi="Calibri"/>
                <w:color w:val="000000"/>
                <w:sz w:val="16"/>
              </w:rPr>
            </w:pPr>
            <w:r>
              <w:rPr>
                <w:rFonts w:ascii="Calibri" w:eastAsia="Times New Roman" w:hAnsi="Calibri"/>
                <w:color w:val="000000"/>
                <w:sz w:val="16"/>
              </w:rPr>
              <w:t>(% of SG&amp;A)</w:t>
            </w:r>
          </w:p>
        </w:tc>
        <w:tc>
          <w:tcPr>
            <w:tcW w:w="1264" w:type="dxa"/>
            <w:noWrap/>
            <w:hideMark/>
          </w:tcPr>
          <w:p w14:paraId="1CEC4D3B"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c>
          <w:tcPr>
            <w:tcW w:w="1276" w:type="dxa"/>
            <w:noWrap/>
            <w:hideMark/>
          </w:tcPr>
          <w:p w14:paraId="305B7F44"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c>
          <w:tcPr>
            <w:tcW w:w="1292" w:type="dxa"/>
            <w:noWrap/>
            <w:hideMark/>
          </w:tcPr>
          <w:p w14:paraId="412E1B56"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c>
          <w:tcPr>
            <w:tcW w:w="1543" w:type="dxa"/>
            <w:noWrap/>
            <w:hideMark/>
          </w:tcPr>
          <w:p w14:paraId="20DB7E99"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c>
          <w:tcPr>
            <w:tcW w:w="1417" w:type="dxa"/>
            <w:noWrap/>
            <w:hideMark/>
          </w:tcPr>
          <w:p w14:paraId="1F946A95"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c>
          <w:tcPr>
            <w:tcW w:w="1303" w:type="dxa"/>
            <w:noWrap/>
            <w:hideMark/>
          </w:tcPr>
          <w:p w14:paraId="1BC9960C"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19,55%</w:t>
            </w:r>
          </w:p>
        </w:tc>
      </w:tr>
      <w:tr w:rsidR="00F67B69" w:rsidRPr="005B5ED2" w14:paraId="3C744AE2" w14:textId="77777777"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990942D" w14:textId="3C03CFB7" w:rsidR="005B5ED2" w:rsidRPr="00F67B69" w:rsidRDefault="00F67B69">
            <w:pPr>
              <w:rPr>
                <w:rFonts w:ascii="Calibri" w:eastAsia="Times New Roman" w:hAnsi="Calibri"/>
                <w:b w:val="0"/>
                <w:color w:val="000000"/>
                <w:sz w:val="16"/>
              </w:rPr>
            </w:pPr>
            <w:r w:rsidRPr="00F67B69">
              <w:rPr>
                <w:rFonts w:ascii="Calibri" w:eastAsia="Times New Roman" w:hAnsi="Calibri"/>
                <w:b w:val="0"/>
                <w:color w:val="000000"/>
                <w:sz w:val="16"/>
              </w:rPr>
              <w:t>INVENTORY:</w:t>
            </w:r>
          </w:p>
        </w:tc>
        <w:tc>
          <w:tcPr>
            <w:tcW w:w="1264" w:type="dxa"/>
            <w:noWrap/>
            <w:hideMark/>
          </w:tcPr>
          <w:p w14:paraId="467BE43F"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76" w:type="dxa"/>
            <w:noWrap/>
            <w:hideMark/>
          </w:tcPr>
          <w:p w14:paraId="19F01D61"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92" w:type="dxa"/>
            <w:noWrap/>
            <w:hideMark/>
          </w:tcPr>
          <w:p w14:paraId="2BA3D992"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543" w:type="dxa"/>
            <w:noWrap/>
            <w:hideMark/>
          </w:tcPr>
          <w:p w14:paraId="47DE8CE1"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17" w:type="dxa"/>
            <w:noWrap/>
            <w:hideMark/>
          </w:tcPr>
          <w:p w14:paraId="3FCF8195"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03" w:type="dxa"/>
            <w:noWrap/>
            <w:hideMark/>
          </w:tcPr>
          <w:p w14:paraId="16AB15E9"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r>
      <w:tr w:rsidR="00F67B69" w:rsidRPr="005B5ED2" w14:paraId="7328F819"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469A5A1" w14:textId="79447293" w:rsidR="005B5ED2" w:rsidRPr="005B5ED2" w:rsidRDefault="005B5ED2">
            <w:pPr>
              <w:rPr>
                <w:rFonts w:ascii="Calibri" w:eastAsia="Times New Roman" w:hAnsi="Calibri"/>
                <w:color w:val="000000"/>
                <w:sz w:val="16"/>
              </w:rPr>
            </w:pPr>
            <w:proofErr w:type="spellStart"/>
            <w:r w:rsidRPr="00F67B69">
              <w:rPr>
                <w:rFonts w:ascii="Calibri" w:eastAsia="Times New Roman" w:hAnsi="Calibri"/>
                <w:color w:val="000000"/>
                <w:sz w:val="15"/>
              </w:rPr>
              <w:t>Inventory</w:t>
            </w:r>
            <w:proofErr w:type="spellEnd"/>
            <w:r w:rsidRPr="00F67B69">
              <w:rPr>
                <w:rFonts w:ascii="Calibri" w:eastAsia="Times New Roman" w:hAnsi="Calibri"/>
                <w:color w:val="000000"/>
                <w:sz w:val="15"/>
              </w:rPr>
              <w:t xml:space="preserve"> </w:t>
            </w:r>
            <w:proofErr w:type="spellStart"/>
            <w:r w:rsidRPr="00F67B69">
              <w:rPr>
                <w:rFonts w:ascii="Calibri" w:eastAsia="Times New Roman" w:hAnsi="Calibri"/>
                <w:color w:val="000000"/>
                <w:sz w:val="15"/>
              </w:rPr>
              <w:t>Days</w:t>
            </w:r>
            <w:proofErr w:type="spellEnd"/>
            <w:r w:rsidR="00F67B69" w:rsidRPr="00F67B69">
              <w:rPr>
                <w:rFonts w:ascii="Calibri" w:eastAsia="Times New Roman" w:hAnsi="Calibri"/>
                <w:color w:val="000000"/>
                <w:sz w:val="15"/>
              </w:rPr>
              <w:t xml:space="preserve"> </w:t>
            </w:r>
            <w:r w:rsidRPr="00F67B69">
              <w:rPr>
                <w:rFonts w:ascii="Calibri" w:eastAsia="Times New Roman" w:hAnsi="Calibri"/>
                <w:color w:val="000000"/>
                <w:sz w:val="15"/>
              </w:rPr>
              <w:t xml:space="preserve">(365 x </w:t>
            </w:r>
            <w:proofErr w:type="spellStart"/>
            <w:r w:rsidRPr="00F67B69">
              <w:rPr>
                <w:rFonts w:ascii="Calibri" w:eastAsia="Times New Roman" w:hAnsi="Calibri"/>
                <w:color w:val="000000"/>
                <w:sz w:val="15"/>
              </w:rPr>
              <w:t>Inventory</w:t>
            </w:r>
            <w:proofErr w:type="spellEnd"/>
            <w:r w:rsidRPr="00F67B69">
              <w:rPr>
                <w:rFonts w:ascii="Calibri" w:eastAsia="Times New Roman" w:hAnsi="Calibri"/>
                <w:color w:val="000000"/>
                <w:sz w:val="15"/>
              </w:rPr>
              <w:t xml:space="preserve"> /COGS)</w:t>
            </w:r>
          </w:p>
        </w:tc>
        <w:tc>
          <w:tcPr>
            <w:tcW w:w="1264" w:type="dxa"/>
            <w:noWrap/>
            <w:hideMark/>
          </w:tcPr>
          <w:p w14:paraId="561CDF0A"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c>
          <w:tcPr>
            <w:tcW w:w="1276" w:type="dxa"/>
            <w:noWrap/>
            <w:hideMark/>
          </w:tcPr>
          <w:p w14:paraId="2CA56504"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c>
          <w:tcPr>
            <w:tcW w:w="1292" w:type="dxa"/>
            <w:noWrap/>
            <w:hideMark/>
          </w:tcPr>
          <w:p w14:paraId="602110E2"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c>
          <w:tcPr>
            <w:tcW w:w="1543" w:type="dxa"/>
            <w:noWrap/>
            <w:hideMark/>
          </w:tcPr>
          <w:p w14:paraId="6F91A469"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c>
          <w:tcPr>
            <w:tcW w:w="1417" w:type="dxa"/>
            <w:noWrap/>
            <w:hideMark/>
          </w:tcPr>
          <w:p w14:paraId="415D4914"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c>
          <w:tcPr>
            <w:tcW w:w="1303" w:type="dxa"/>
            <w:noWrap/>
            <w:hideMark/>
          </w:tcPr>
          <w:p w14:paraId="32C964B3"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100,096</w:t>
            </w:r>
          </w:p>
        </w:tc>
      </w:tr>
      <w:tr w:rsidR="00F67B69" w:rsidRPr="005B5ED2" w14:paraId="35933444" w14:textId="77777777"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5C2C575" w14:textId="77777777" w:rsidR="005B5ED2" w:rsidRPr="005B5ED2" w:rsidRDefault="005B5ED2">
            <w:pPr>
              <w:rPr>
                <w:rFonts w:ascii="Calibri" w:eastAsia="Times New Roman" w:hAnsi="Calibri"/>
                <w:color w:val="000000"/>
                <w:sz w:val="16"/>
              </w:rPr>
            </w:pPr>
            <w:proofErr w:type="spellStart"/>
            <w:r w:rsidRPr="00F67B69">
              <w:rPr>
                <w:rFonts w:ascii="Calibri" w:eastAsia="Times New Roman" w:hAnsi="Calibri"/>
                <w:color w:val="000000"/>
                <w:sz w:val="15"/>
              </w:rPr>
              <w:t>Excess</w:t>
            </w:r>
            <w:proofErr w:type="spellEnd"/>
            <w:r w:rsidRPr="00F67B69">
              <w:rPr>
                <w:rFonts w:ascii="Calibri" w:eastAsia="Times New Roman" w:hAnsi="Calibri"/>
                <w:color w:val="000000"/>
                <w:sz w:val="15"/>
              </w:rPr>
              <w:t xml:space="preserve"> </w:t>
            </w:r>
            <w:proofErr w:type="spellStart"/>
            <w:r w:rsidRPr="00F67B69">
              <w:rPr>
                <w:rFonts w:ascii="Calibri" w:eastAsia="Times New Roman" w:hAnsi="Calibri"/>
                <w:color w:val="000000"/>
                <w:sz w:val="15"/>
              </w:rPr>
              <w:t>Inventory</w:t>
            </w:r>
            <w:proofErr w:type="spellEnd"/>
            <w:r w:rsidRPr="00F67B69">
              <w:rPr>
                <w:rFonts w:ascii="Calibri" w:eastAsia="Times New Roman" w:hAnsi="Calibri"/>
                <w:color w:val="000000"/>
                <w:sz w:val="15"/>
              </w:rPr>
              <w:t xml:space="preserve"> </w:t>
            </w:r>
            <w:proofErr w:type="spellStart"/>
            <w:r w:rsidRPr="00F67B69">
              <w:rPr>
                <w:rFonts w:ascii="Calibri" w:eastAsia="Times New Roman" w:hAnsi="Calibri"/>
                <w:color w:val="000000"/>
                <w:sz w:val="15"/>
              </w:rPr>
              <w:t>liquidation</w:t>
            </w:r>
            <w:proofErr w:type="spellEnd"/>
            <w:r w:rsidRPr="00F67B69">
              <w:rPr>
                <w:rFonts w:ascii="Calibri" w:eastAsia="Times New Roman" w:hAnsi="Calibri"/>
                <w:color w:val="000000"/>
                <w:sz w:val="15"/>
              </w:rPr>
              <w:t xml:space="preserve"> </w:t>
            </w:r>
            <w:proofErr w:type="spellStart"/>
            <w:r w:rsidRPr="00F67B69">
              <w:rPr>
                <w:rFonts w:ascii="Calibri" w:eastAsia="Times New Roman" w:hAnsi="Calibri"/>
                <w:color w:val="000000"/>
                <w:sz w:val="15"/>
              </w:rPr>
              <w:t>value</w:t>
            </w:r>
            <w:proofErr w:type="spellEnd"/>
          </w:p>
        </w:tc>
        <w:tc>
          <w:tcPr>
            <w:tcW w:w="1264" w:type="dxa"/>
            <w:noWrap/>
            <w:hideMark/>
          </w:tcPr>
          <w:p w14:paraId="3BC3E815"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76" w:type="dxa"/>
            <w:noWrap/>
            <w:hideMark/>
          </w:tcPr>
          <w:p w14:paraId="65AB51A8"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92" w:type="dxa"/>
            <w:noWrap/>
            <w:hideMark/>
          </w:tcPr>
          <w:p w14:paraId="786886AD"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543" w:type="dxa"/>
            <w:noWrap/>
            <w:hideMark/>
          </w:tcPr>
          <w:p w14:paraId="5D038339"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417" w:type="dxa"/>
            <w:noWrap/>
            <w:hideMark/>
          </w:tcPr>
          <w:p w14:paraId="6ACDFC98"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303" w:type="dxa"/>
            <w:noWrap/>
            <w:hideMark/>
          </w:tcPr>
          <w:p w14:paraId="7B6039B8"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r>
      <w:tr w:rsidR="00F67B69" w:rsidRPr="005B5ED2" w14:paraId="14D78E82"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F90C96C" w14:textId="610D77F3" w:rsidR="005B5ED2" w:rsidRPr="00F67B69" w:rsidRDefault="00F67B69">
            <w:pPr>
              <w:rPr>
                <w:rFonts w:ascii="Calibri" w:eastAsia="Times New Roman" w:hAnsi="Calibri"/>
                <w:b w:val="0"/>
                <w:color w:val="000000"/>
                <w:sz w:val="16"/>
              </w:rPr>
            </w:pPr>
            <w:r w:rsidRPr="00F67B69">
              <w:rPr>
                <w:rFonts w:ascii="Calibri" w:eastAsia="Times New Roman" w:hAnsi="Calibri"/>
                <w:b w:val="0"/>
                <w:color w:val="000000"/>
                <w:sz w:val="16"/>
              </w:rPr>
              <w:t>ACCOUNTS RECEIVABLE</w:t>
            </w:r>
            <w:r>
              <w:rPr>
                <w:rFonts w:ascii="Calibri" w:eastAsia="Times New Roman" w:hAnsi="Calibri"/>
                <w:b w:val="0"/>
                <w:color w:val="000000"/>
                <w:sz w:val="16"/>
              </w:rPr>
              <w:t>:</w:t>
            </w:r>
          </w:p>
        </w:tc>
        <w:tc>
          <w:tcPr>
            <w:tcW w:w="1264" w:type="dxa"/>
            <w:noWrap/>
            <w:hideMark/>
          </w:tcPr>
          <w:p w14:paraId="07F0A17C"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76" w:type="dxa"/>
            <w:noWrap/>
            <w:hideMark/>
          </w:tcPr>
          <w:p w14:paraId="356FBB8F"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92" w:type="dxa"/>
            <w:noWrap/>
            <w:hideMark/>
          </w:tcPr>
          <w:p w14:paraId="1A7B288E"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543" w:type="dxa"/>
            <w:noWrap/>
            <w:hideMark/>
          </w:tcPr>
          <w:p w14:paraId="01CF8DA1"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17" w:type="dxa"/>
            <w:noWrap/>
            <w:hideMark/>
          </w:tcPr>
          <w:p w14:paraId="12791C41"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303" w:type="dxa"/>
            <w:noWrap/>
            <w:hideMark/>
          </w:tcPr>
          <w:p w14:paraId="4B3D9706"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F67B69" w:rsidRPr="005B5ED2" w14:paraId="7DD8FC38" w14:textId="3905AC64"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C82D616" w14:textId="77777777" w:rsidR="005B5ED2" w:rsidRPr="005B5ED2" w:rsidRDefault="005B5ED2">
            <w:pPr>
              <w:rPr>
                <w:rFonts w:ascii="Calibri" w:eastAsia="Times New Roman" w:hAnsi="Calibri"/>
                <w:color w:val="000000"/>
                <w:sz w:val="16"/>
              </w:rPr>
            </w:pPr>
            <w:proofErr w:type="spellStart"/>
            <w:r w:rsidRPr="005B5ED2">
              <w:rPr>
                <w:rFonts w:ascii="Calibri" w:eastAsia="Times New Roman" w:hAnsi="Calibri"/>
                <w:color w:val="000000"/>
                <w:sz w:val="16"/>
              </w:rPr>
              <w:t>Days</w:t>
            </w:r>
            <w:proofErr w:type="spellEnd"/>
            <w:r w:rsidRPr="005B5ED2">
              <w:rPr>
                <w:rFonts w:ascii="Calibri" w:eastAsia="Times New Roman" w:hAnsi="Calibri"/>
                <w:color w:val="000000"/>
                <w:sz w:val="16"/>
              </w:rPr>
              <w:t xml:space="preserve"> </w:t>
            </w:r>
            <w:proofErr w:type="spellStart"/>
            <w:r w:rsidRPr="005B5ED2">
              <w:rPr>
                <w:rFonts w:ascii="Calibri" w:eastAsia="Times New Roman" w:hAnsi="Calibri"/>
                <w:color w:val="000000"/>
                <w:sz w:val="16"/>
              </w:rPr>
              <w:t>Receivable</w:t>
            </w:r>
            <w:proofErr w:type="spellEnd"/>
            <w:r w:rsidRPr="005B5ED2">
              <w:rPr>
                <w:rFonts w:ascii="Calibri" w:eastAsia="Times New Roman" w:hAnsi="Calibri"/>
                <w:color w:val="000000"/>
                <w:sz w:val="16"/>
              </w:rPr>
              <w:t xml:space="preserve"> (365 x </w:t>
            </w:r>
            <w:proofErr w:type="spellStart"/>
            <w:r w:rsidRPr="005B5ED2">
              <w:rPr>
                <w:rFonts w:ascii="Calibri" w:eastAsia="Times New Roman" w:hAnsi="Calibri"/>
                <w:color w:val="000000"/>
                <w:sz w:val="16"/>
              </w:rPr>
              <w:t>Accounts</w:t>
            </w:r>
            <w:proofErr w:type="spellEnd"/>
            <w:r w:rsidRPr="005B5ED2">
              <w:rPr>
                <w:rFonts w:ascii="Calibri" w:eastAsia="Times New Roman" w:hAnsi="Calibri"/>
                <w:color w:val="000000"/>
                <w:sz w:val="16"/>
              </w:rPr>
              <w:t xml:space="preserve"> </w:t>
            </w:r>
            <w:proofErr w:type="spellStart"/>
            <w:r w:rsidRPr="005B5ED2">
              <w:rPr>
                <w:rFonts w:ascii="Calibri" w:eastAsia="Times New Roman" w:hAnsi="Calibri"/>
                <w:color w:val="000000"/>
                <w:sz w:val="16"/>
              </w:rPr>
              <w:t>Receivable</w:t>
            </w:r>
            <w:proofErr w:type="spellEnd"/>
            <w:r w:rsidRPr="005B5ED2">
              <w:rPr>
                <w:rFonts w:ascii="Calibri" w:eastAsia="Times New Roman" w:hAnsi="Calibri"/>
                <w:color w:val="000000"/>
                <w:sz w:val="16"/>
              </w:rPr>
              <w:t>/Sales)</w:t>
            </w:r>
          </w:p>
        </w:tc>
        <w:tc>
          <w:tcPr>
            <w:tcW w:w="1264" w:type="dxa"/>
            <w:noWrap/>
          </w:tcPr>
          <w:p w14:paraId="09D5D8D7" w14:textId="5BE8F562"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11,096</w:t>
            </w:r>
          </w:p>
        </w:tc>
        <w:tc>
          <w:tcPr>
            <w:tcW w:w="1276" w:type="dxa"/>
            <w:noWrap/>
          </w:tcPr>
          <w:p w14:paraId="6BEC6228" w14:textId="131A9588"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11,096</w:t>
            </w:r>
          </w:p>
        </w:tc>
        <w:tc>
          <w:tcPr>
            <w:tcW w:w="1292" w:type="dxa"/>
            <w:noWrap/>
          </w:tcPr>
          <w:p w14:paraId="667E7F42" w14:textId="7DE74F94"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11,096</w:t>
            </w:r>
          </w:p>
        </w:tc>
        <w:tc>
          <w:tcPr>
            <w:tcW w:w="1543" w:type="dxa"/>
            <w:noWrap/>
          </w:tcPr>
          <w:p w14:paraId="1DE4E204" w14:textId="2DE4E46B"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11,096</w:t>
            </w:r>
          </w:p>
        </w:tc>
        <w:tc>
          <w:tcPr>
            <w:tcW w:w="1417" w:type="dxa"/>
            <w:noWrap/>
          </w:tcPr>
          <w:p w14:paraId="70BF8187" w14:textId="411B95E4"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11,096</w:t>
            </w:r>
          </w:p>
        </w:tc>
        <w:tc>
          <w:tcPr>
            <w:tcW w:w="1303" w:type="dxa"/>
          </w:tcPr>
          <w:p w14:paraId="29B33AF1" w14:textId="5A522E6F"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r w:rsidRPr="005B5ED2">
              <w:rPr>
                <w:rFonts w:ascii="Calibri" w:eastAsia="Times New Roman" w:hAnsi="Calibri"/>
                <w:color w:val="000000"/>
                <w:sz w:val="16"/>
              </w:rPr>
              <w:t>11,096</w:t>
            </w:r>
          </w:p>
        </w:tc>
      </w:tr>
      <w:tr w:rsidR="00F67B69" w:rsidRPr="005B5ED2" w14:paraId="12705772"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AB4F690" w14:textId="3EA6B815" w:rsidR="005B5ED2" w:rsidRPr="00F67B69" w:rsidRDefault="00F67B69">
            <w:pPr>
              <w:rPr>
                <w:rFonts w:ascii="Calibri" w:eastAsia="Times New Roman" w:hAnsi="Calibri"/>
                <w:b w:val="0"/>
                <w:color w:val="000000"/>
                <w:sz w:val="16"/>
              </w:rPr>
            </w:pPr>
            <w:r w:rsidRPr="00F67B69">
              <w:rPr>
                <w:rFonts w:ascii="Calibri" w:eastAsia="Times New Roman" w:hAnsi="Calibri"/>
                <w:b w:val="0"/>
                <w:color w:val="000000"/>
                <w:sz w:val="16"/>
              </w:rPr>
              <w:t>ACCOUNTS PAYABLE:</w:t>
            </w:r>
          </w:p>
        </w:tc>
        <w:tc>
          <w:tcPr>
            <w:tcW w:w="1264" w:type="dxa"/>
            <w:noWrap/>
            <w:hideMark/>
          </w:tcPr>
          <w:p w14:paraId="4B460C40"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76" w:type="dxa"/>
            <w:noWrap/>
            <w:hideMark/>
          </w:tcPr>
          <w:p w14:paraId="5950C8F7"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92" w:type="dxa"/>
            <w:noWrap/>
            <w:hideMark/>
          </w:tcPr>
          <w:p w14:paraId="0B3AA425"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543" w:type="dxa"/>
            <w:noWrap/>
            <w:hideMark/>
          </w:tcPr>
          <w:p w14:paraId="63B7CEF2"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417" w:type="dxa"/>
            <w:noWrap/>
            <w:hideMark/>
          </w:tcPr>
          <w:p w14:paraId="1D8AF9E6"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303" w:type="dxa"/>
            <w:noWrap/>
            <w:hideMark/>
          </w:tcPr>
          <w:p w14:paraId="77A1BA2D"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r>
      <w:tr w:rsidR="00F67B69" w:rsidRPr="005B5ED2" w14:paraId="151F233E" w14:textId="77777777"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7AD77711" w14:textId="77777777" w:rsidR="005B5ED2" w:rsidRPr="005B5ED2" w:rsidRDefault="005B5ED2">
            <w:pPr>
              <w:rPr>
                <w:rFonts w:ascii="Calibri" w:eastAsia="Times New Roman" w:hAnsi="Calibri"/>
                <w:color w:val="000000"/>
                <w:sz w:val="16"/>
              </w:rPr>
            </w:pPr>
            <w:proofErr w:type="spellStart"/>
            <w:r w:rsidRPr="005B5ED2">
              <w:rPr>
                <w:rFonts w:ascii="Calibri" w:eastAsia="Times New Roman" w:hAnsi="Calibri"/>
                <w:color w:val="000000"/>
                <w:sz w:val="16"/>
              </w:rPr>
              <w:t>Days</w:t>
            </w:r>
            <w:proofErr w:type="spellEnd"/>
            <w:r w:rsidRPr="005B5ED2">
              <w:rPr>
                <w:rFonts w:ascii="Calibri" w:eastAsia="Times New Roman" w:hAnsi="Calibri"/>
                <w:color w:val="000000"/>
                <w:sz w:val="16"/>
              </w:rPr>
              <w:t xml:space="preserve"> </w:t>
            </w:r>
            <w:proofErr w:type="spellStart"/>
            <w:r w:rsidRPr="005B5ED2">
              <w:rPr>
                <w:rFonts w:ascii="Calibri" w:eastAsia="Times New Roman" w:hAnsi="Calibri"/>
                <w:color w:val="000000"/>
                <w:sz w:val="16"/>
              </w:rPr>
              <w:t>Payable</w:t>
            </w:r>
            <w:proofErr w:type="spellEnd"/>
            <w:r w:rsidRPr="005B5ED2">
              <w:rPr>
                <w:rFonts w:ascii="Calibri" w:eastAsia="Times New Roman" w:hAnsi="Calibri"/>
                <w:color w:val="000000"/>
                <w:sz w:val="16"/>
              </w:rPr>
              <w:t xml:space="preserve"> (365 x </w:t>
            </w:r>
            <w:proofErr w:type="spellStart"/>
            <w:r w:rsidRPr="005B5ED2">
              <w:rPr>
                <w:rFonts w:ascii="Calibri" w:eastAsia="Times New Roman" w:hAnsi="Calibri"/>
                <w:color w:val="000000"/>
                <w:sz w:val="16"/>
              </w:rPr>
              <w:t>Accounts</w:t>
            </w:r>
            <w:proofErr w:type="spellEnd"/>
            <w:r w:rsidRPr="005B5ED2">
              <w:rPr>
                <w:rFonts w:ascii="Calibri" w:eastAsia="Times New Roman" w:hAnsi="Calibri"/>
                <w:color w:val="000000"/>
                <w:sz w:val="16"/>
              </w:rPr>
              <w:t xml:space="preserve"> </w:t>
            </w:r>
            <w:proofErr w:type="spellStart"/>
            <w:r w:rsidRPr="005B5ED2">
              <w:rPr>
                <w:rFonts w:ascii="Calibri" w:eastAsia="Times New Roman" w:hAnsi="Calibri"/>
                <w:color w:val="000000"/>
                <w:sz w:val="16"/>
              </w:rPr>
              <w:t>Payable</w:t>
            </w:r>
            <w:proofErr w:type="spellEnd"/>
            <w:r w:rsidRPr="005B5ED2">
              <w:rPr>
                <w:rFonts w:ascii="Calibri" w:eastAsia="Times New Roman" w:hAnsi="Calibri"/>
                <w:color w:val="000000"/>
                <w:sz w:val="16"/>
              </w:rPr>
              <w:t>/COGS)</w:t>
            </w:r>
          </w:p>
        </w:tc>
        <w:tc>
          <w:tcPr>
            <w:tcW w:w="1264" w:type="dxa"/>
            <w:noWrap/>
            <w:hideMark/>
          </w:tcPr>
          <w:p w14:paraId="0F37330D"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c>
          <w:tcPr>
            <w:tcW w:w="1276" w:type="dxa"/>
            <w:noWrap/>
            <w:hideMark/>
          </w:tcPr>
          <w:p w14:paraId="53AE42B4"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c>
          <w:tcPr>
            <w:tcW w:w="1292" w:type="dxa"/>
            <w:noWrap/>
            <w:hideMark/>
          </w:tcPr>
          <w:p w14:paraId="5F41CA15"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c>
          <w:tcPr>
            <w:tcW w:w="1543" w:type="dxa"/>
            <w:noWrap/>
            <w:hideMark/>
          </w:tcPr>
          <w:p w14:paraId="79F26789"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c>
          <w:tcPr>
            <w:tcW w:w="1417" w:type="dxa"/>
            <w:noWrap/>
            <w:hideMark/>
          </w:tcPr>
          <w:p w14:paraId="637ADFCA"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c>
          <w:tcPr>
            <w:tcW w:w="1303" w:type="dxa"/>
            <w:noWrap/>
            <w:hideMark/>
          </w:tcPr>
          <w:p w14:paraId="7BE82D4F"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30,511</w:t>
            </w:r>
          </w:p>
        </w:tc>
      </w:tr>
      <w:tr w:rsidR="00F67B69" w:rsidRPr="005B5ED2" w14:paraId="2D04E939"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15CC2FD" w14:textId="77777777" w:rsidR="005B5ED2" w:rsidRPr="00F67B69" w:rsidRDefault="005B5ED2">
            <w:pPr>
              <w:rPr>
                <w:rFonts w:ascii="Calibri" w:eastAsia="Times New Roman" w:hAnsi="Calibri"/>
                <w:b w:val="0"/>
                <w:color w:val="000000"/>
                <w:sz w:val="16"/>
              </w:rPr>
            </w:pPr>
            <w:r w:rsidRPr="00F67B69">
              <w:rPr>
                <w:rFonts w:ascii="Calibri" w:eastAsia="Times New Roman" w:hAnsi="Calibri"/>
                <w:b w:val="0"/>
                <w:color w:val="000000"/>
                <w:sz w:val="16"/>
              </w:rPr>
              <w:t xml:space="preserve">Cash </w:t>
            </w:r>
            <w:proofErr w:type="spellStart"/>
            <w:r w:rsidRPr="00F67B69">
              <w:rPr>
                <w:rFonts w:ascii="Calibri" w:eastAsia="Times New Roman" w:hAnsi="Calibri"/>
                <w:b w:val="0"/>
                <w:color w:val="000000"/>
                <w:sz w:val="16"/>
              </w:rPr>
              <w:t>requirements</w:t>
            </w:r>
            <w:proofErr w:type="spellEnd"/>
            <w:r w:rsidRPr="00F67B69">
              <w:rPr>
                <w:rFonts w:ascii="Calibri" w:eastAsia="Times New Roman" w:hAnsi="Calibri"/>
                <w:b w:val="0"/>
                <w:color w:val="000000"/>
                <w:sz w:val="16"/>
              </w:rPr>
              <w:t xml:space="preserve"> - SG&amp;A </w:t>
            </w:r>
            <w:proofErr w:type="spellStart"/>
            <w:r w:rsidRPr="00F67B69">
              <w:rPr>
                <w:rFonts w:ascii="Calibri" w:eastAsia="Times New Roman" w:hAnsi="Calibri"/>
                <w:b w:val="0"/>
                <w:color w:val="000000"/>
                <w:sz w:val="16"/>
              </w:rPr>
              <w:t>Funding</w:t>
            </w:r>
            <w:proofErr w:type="spellEnd"/>
          </w:p>
        </w:tc>
        <w:tc>
          <w:tcPr>
            <w:tcW w:w="1264" w:type="dxa"/>
            <w:noWrap/>
            <w:hideMark/>
          </w:tcPr>
          <w:p w14:paraId="5B313EC1"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76" w:type="dxa"/>
            <w:noWrap/>
            <w:hideMark/>
          </w:tcPr>
          <w:p w14:paraId="0B416954" w14:textId="2F05E2AA"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15.639,68 SEK</w:t>
            </w:r>
          </w:p>
        </w:tc>
        <w:tc>
          <w:tcPr>
            <w:tcW w:w="1292" w:type="dxa"/>
            <w:noWrap/>
            <w:hideMark/>
          </w:tcPr>
          <w:p w14:paraId="67726E9D" w14:textId="06CF5B4E"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17.733,83 SEK</w:t>
            </w:r>
          </w:p>
        </w:tc>
        <w:tc>
          <w:tcPr>
            <w:tcW w:w="1543" w:type="dxa"/>
            <w:noWrap/>
            <w:hideMark/>
          </w:tcPr>
          <w:p w14:paraId="2C0A7898" w14:textId="664A00A3"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20.108,39 SEK</w:t>
            </w:r>
          </w:p>
        </w:tc>
        <w:tc>
          <w:tcPr>
            <w:tcW w:w="1417" w:type="dxa"/>
            <w:noWrap/>
            <w:hideMark/>
          </w:tcPr>
          <w:p w14:paraId="28C126DA" w14:textId="752BF400"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22.800,91 SEK</w:t>
            </w:r>
          </w:p>
        </w:tc>
        <w:tc>
          <w:tcPr>
            <w:tcW w:w="1303" w:type="dxa"/>
            <w:noWrap/>
            <w:hideMark/>
          </w:tcPr>
          <w:p w14:paraId="14FC458D" w14:textId="5B2C53F2"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25.853,95 SEK</w:t>
            </w:r>
          </w:p>
        </w:tc>
      </w:tr>
      <w:tr w:rsidR="00F67B69" w:rsidRPr="005B5ED2" w14:paraId="28E98B89" w14:textId="77777777"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073EF9F" w14:textId="77777777" w:rsidR="005B5ED2" w:rsidRPr="00F67B69" w:rsidRDefault="005B5ED2">
            <w:pPr>
              <w:rPr>
                <w:rFonts w:ascii="Calibri" w:eastAsia="Times New Roman" w:hAnsi="Calibri"/>
                <w:b w:val="0"/>
                <w:color w:val="000000"/>
                <w:sz w:val="16"/>
              </w:rPr>
            </w:pPr>
            <w:proofErr w:type="spellStart"/>
            <w:r w:rsidRPr="00F67B69">
              <w:rPr>
                <w:rFonts w:ascii="Calibri" w:eastAsia="Times New Roman" w:hAnsi="Calibri"/>
                <w:b w:val="0"/>
                <w:color w:val="000000"/>
                <w:sz w:val="16"/>
              </w:rPr>
              <w:t>Inventory</w:t>
            </w:r>
            <w:proofErr w:type="spellEnd"/>
            <w:r w:rsidRPr="00F67B69">
              <w:rPr>
                <w:rFonts w:ascii="Calibri" w:eastAsia="Times New Roman" w:hAnsi="Calibri"/>
                <w:b w:val="0"/>
                <w:color w:val="000000"/>
                <w:sz w:val="16"/>
              </w:rPr>
              <w:t xml:space="preserve"> </w:t>
            </w:r>
            <w:proofErr w:type="spellStart"/>
            <w:r w:rsidRPr="00F67B69">
              <w:rPr>
                <w:rFonts w:ascii="Calibri" w:eastAsia="Times New Roman" w:hAnsi="Calibri"/>
                <w:b w:val="0"/>
                <w:color w:val="000000"/>
                <w:sz w:val="16"/>
              </w:rPr>
              <w:t>requirements</w:t>
            </w:r>
            <w:proofErr w:type="spellEnd"/>
          </w:p>
        </w:tc>
        <w:tc>
          <w:tcPr>
            <w:tcW w:w="1264" w:type="dxa"/>
            <w:noWrap/>
            <w:hideMark/>
          </w:tcPr>
          <w:p w14:paraId="5C4549A0"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76" w:type="dxa"/>
            <w:noWrap/>
            <w:hideMark/>
          </w:tcPr>
          <w:p w14:paraId="6926652D" w14:textId="029A0F55"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20.181,99 SEK</w:t>
            </w:r>
          </w:p>
        </w:tc>
        <w:tc>
          <w:tcPr>
            <w:tcW w:w="1292" w:type="dxa"/>
            <w:noWrap/>
            <w:hideMark/>
          </w:tcPr>
          <w:p w14:paraId="01045854" w14:textId="32B34F3A"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22.824,02 SEK</w:t>
            </w:r>
          </w:p>
        </w:tc>
        <w:tc>
          <w:tcPr>
            <w:tcW w:w="1543" w:type="dxa"/>
            <w:noWrap/>
            <w:hideMark/>
          </w:tcPr>
          <w:p w14:paraId="1EBD2DFD" w14:textId="42A9C733"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25.811,92 SEK</w:t>
            </w:r>
          </w:p>
        </w:tc>
        <w:tc>
          <w:tcPr>
            <w:tcW w:w="1417" w:type="dxa"/>
            <w:noWrap/>
            <w:hideMark/>
          </w:tcPr>
          <w:p w14:paraId="5A9A017A" w14:textId="253C640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29.190,97 SEK</w:t>
            </w:r>
          </w:p>
        </w:tc>
        <w:tc>
          <w:tcPr>
            <w:tcW w:w="1303" w:type="dxa"/>
            <w:noWrap/>
            <w:hideMark/>
          </w:tcPr>
          <w:p w14:paraId="61377DFF" w14:textId="6BB8E839"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33.012,37 SEK</w:t>
            </w:r>
          </w:p>
        </w:tc>
      </w:tr>
      <w:tr w:rsidR="00F67B69" w:rsidRPr="005B5ED2" w14:paraId="07E893D3"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29ACFD4" w14:textId="77777777" w:rsidR="005B5ED2" w:rsidRPr="00F67B69" w:rsidRDefault="005B5ED2">
            <w:pPr>
              <w:rPr>
                <w:rFonts w:ascii="Calibri" w:eastAsia="Times New Roman" w:hAnsi="Calibri"/>
                <w:b w:val="0"/>
                <w:color w:val="000000"/>
                <w:sz w:val="16"/>
              </w:rPr>
            </w:pPr>
            <w:proofErr w:type="spellStart"/>
            <w:r w:rsidRPr="00F67B69">
              <w:rPr>
                <w:rFonts w:ascii="Calibri" w:eastAsia="Times New Roman" w:hAnsi="Calibri"/>
                <w:b w:val="0"/>
                <w:color w:val="000000"/>
                <w:sz w:val="16"/>
              </w:rPr>
              <w:t>Accounts</w:t>
            </w:r>
            <w:proofErr w:type="spellEnd"/>
            <w:r w:rsidRPr="00F67B69">
              <w:rPr>
                <w:rFonts w:ascii="Calibri" w:eastAsia="Times New Roman" w:hAnsi="Calibri"/>
                <w:b w:val="0"/>
                <w:color w:val="000000"/>
                <w:sz w:val="16"/>
              </w:rPr>
              <w:t xml:space="preserve"> </w:t>
            </w:r>
            <w:proofErr w:type="spellStart"/>
            <w:r w:rsidRPr="00F67B69">
              <w:rPr>
                <w:rFonts w:ascii="Calibri" w:eastAsia="Times New Roman" w:hAnsi="Calibri"/>
                <w:b w:val="0"/>
                <w:color w:val="000000"/>
                <w:sz w:val="16"/>
              </w:rPr>
              <w:t>Receivable</w:t>
            </w:r>
            <w:proofErr w:type="spellEnd"/>
            <w:r w:rsidRPr="00F67B69">
              <w:rPr>
                <w:rFonts w:ascii="Calibri" w:eastAsia="Times New Roman" w:hAnsi="Calibri"/>
                <w:b w:val="0"/>
                <w:color w:val="000000"/>
                <w:sz w:val="16"/>
              </w:rPr>
              <w:t xml:space="preserve"> </w:t>
            </w:r>
            <w:proofErr w:type="spellStart"/>
            <w:r w:rsidRPr="00F67B69">
              <w:rPr>
                <w:rFonts w:ascii="Calibri" w:eastAsia="Times New Roman" w:hAnsi="Calibri"/>
                <w:b w:val="0"/>
                <w:color w:val="000000"/>
                <w:sz w:val="16"/>
              </w:rPr>
              <w:t>Requirements</w:t>
            </w:r>
            <w:proofErr w:type="spellEnd"/>
          </w:p>
        </w:tc>
        <w:tc>
          <w:tcPr>
            <w:tcW w:w="1264" w:type="dxa"/>
            <w:noWrap/>
            <w:hideMark/>
          </w:tcPr>
          <w:p w14:paraId="7C096BD9" w14:textId="7777777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rPr>
            </w:pPr>
          </w:p>
        </w:tc>
        <w:tc>
          <w:tcPr>
            <w:tcW w:w="1276" w:type="dxa"/>
            <w:noWrap/>
            <w:hideMark/>
          </w:tcPr>
          <w:p w14:paraId="107B513B" w14:textId="50742EBE"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5.256,58 SEK</w:t>
            </w:r>
          </w:p>
        </w:tc>
        <w:tc>
          <w:tcPr>
            <w:tcW w:w="1292" w:type="dxa"/>
            <w:noWrap/>
            <w:hideMark/>
          </w:tcPr>
          <w:p w14:paraId="65E7FF66" w14:textId="5CBC0CC7"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5.944,72 SEK</w:t>
            </w:r>
          </w:p>
        </w:tc>
        <w:tc>
          <w:tcPr>
            <w:tcW w:w="1543" w:type="dxa"/>
            <w:noWrap/>
            <w:hideMark/>
          </w:tcPr>
          <w:p w14:paraId="103DEA63" w14:textId="693C9F45"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6.722,94 SEK</w:t>
            </w:r>
          </w:p>
        </w:tc>
        <w:tc>
          <w:tcPr>
            <w:tcW w:w="1417" w:type="dxa"/>
            <w:noWrap/>
            <w:hideMark/>
          </w:tcPr>
          <w:p w14:paraId="325594E2" w14:textId="691661AA"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7.603,04 SEK</w:t>
            </w:r>
          </w:p>
        </w:tc>
        <w:tc>
          <w:tcPr>
            <w:tcW w:w="1303" w:type="dxa"/>
            <w:noWrap/>
            <w:hideMark/>
          </w:tcPr>
          <w:p w14:paraId="183D6F6E" w14:textId="116B59EB"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8.598,36 SEK</w:t>
            </w:r>
          </w:p>
        </w:tc>
      </w:tr>
      <w:tr w:rsidR="00F67B69" w:rsidRPr="005B5ED2" w14:paraId="62BB5D7B" w14:textId="77777777" w:rsidTr="006F4A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07BB65C" w14:textId="77777777" w:rsidR="005B5ED2" w:rsidRPr="00F67B69" w:rsidRDefault="005B5ED2">
            <w:pPr>
              <w:rPr>
                <w:rFonts w:ascii="Calibri" w:eastAsia="Times New Roman" w:hAnsi="Calibri"/>
                <w:b w:val="0"/>
                <w:color w:val="000000"/>
                <w:sz w:val="16"/>
              </w:rPr>
            </w:pPr>
            <w:proofErr w:type="spellStart"/>
            <w:r w:rsidRPr="00F67B69">
              <w:rPr>
                <w:rFonts w:ascii="Calibri" w:eastAsia="Times New Roman" w:hAnsi="Calibri"/>
                <w:b w:val="0"/>
                <w:color w:val="000000"/>
                <w:sz w:val="16"/>
              </w:rPr>
              <w:t>Accounts</w:t>
            </w:r>
            <w:proofErr w:type="spellEnd"/>
            <w:r w:rsidRPr="00F67B69">
              <w:rPr>
                <w:rFonts w:ascii="Calibri" w:eastAsia="Times New Roman" w:hAnsi="Calibri"/>
                <w:b w:val="0"/>
                <w:color w:val="000000"/>
                <w:sz w:val="16"/>
              </w:rPr>
              <w:t xml:space="preserve"> </w:t>
            </w:r>
            <w:proofErr w:type="spellStart"/>
            <w:r w:rsidRPr="00F67B69">
              <w:rPr>
                <w:rFonts w:ascii="Calibri" w:eastAsia="Times New Roman" w:hAnsi="Calibri"/>
                <w:b w:val="0"/>
                <w:color w:val="000000"/>
                <w:sz w:val="16"/>
              </w:rPr>
              <w:t>Payable</w:t>
            </w:r>
            <w:proofErr w:type="spellEnd"/>
            <w:r w:rsidRPr="00F67B69">
              <w:rPr>
                <w:rFonts w:ascii="Calibri" w:eastAsia="Times New Roman" w:hAnsi="Calibri"/>
                <w:b w:val="0"/>
                <w:color w:val="000000"/>
                <w:sz w:val="16"/>
              </w:rPr>
              <w:t xml:space="preserve"> </w:t>
            </w:r>
            <w:proofErr w:type="spellStart"/>
            <w:r w:rsidRPr="00F67B69">
              <w:rPr>
                <w:rFonts w:ascii="Calibri" w:eastAsia="Times New Roman" w:hAnsi="Calibri"/>
                <w:b w:val="0"/>
                <w:color w:val="000000"/>
                <w:sz w:val="16"/>
              </w:rPr>
              <w:t>Requirements</w:t>
            </w:r>
            <w:proofErr w:type="spellEnd"/>
          </w:p>
        </w:tc>
        <w:tc>
          <w:tcPr>
            <w:tcW w:w="1264" w:type="dxa"/>
            <w:noWrap/>
            <w:hideMark/>
          </w:tcPr>
          <w:p w14:paraId="6317F6D4" w14:textId="77777777"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rPr>
            </w:pPr>
          </w:p>
        </w:tc>
        <w:tc>
          <w:tcPr>
            <w:tcW w:w="1276" w:type="dxa"/>
            <w:noWrap/>
            <w:hideMark/>
          </w:tcPr>
          <w:p w14:paraId="2965153F" w14:textId="6ED3480B"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3.536,08 SEK</w:t>
            </w:r>
          </w:p>
        </w:tc>
        <w:tc>
          <w:tcPr>
            <w:tcW w:w="1292" w:type="dxa"/>
            <w:noWrap/>
            <w:hideMark/>
          </w:tcPr>
          <w:p w14:paraId="25ECD52D" w14:textId="51224E36"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3.998,99 SEK</w:t>
            </w:r>
          </w:p>
        </w:tc>
        <w:tc>
          <w:tcPr>
            <w:tcW w:w="1543" w:type="dxa"/>
            <w:noWrap/>
            <w:hideMark/>
          </w:tcPr>
          <w:p w14:paraId="09BAD72C" w14:textId="4866B545"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4.522,50 SEK</w:t>
            </w:r>
          </w:p>
        </w:tc>
        <w:tc>
          <w:tcPr>
            <w:tcW w:w="1417" w:type="dxa"/>
            <w:noWrap/>
            <w:hideMark/>
          </w:tcPr>
          <w:p w14:paraId="5FDD72D2" w14:textId="19B691D4"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5.114,55 SEK</w:t>
            </w:r>
          </w:p>
        </w:tc>
        <w:tc>
          <w:tcPr>
            <w:tcW w:w="1303" w:type="dxa"/>
            <w:noWrap/>
            <w:hideMark/>
          </w:tcPr>
          <w:p w14:paraId="4D8AD933" w14:textId="3E732DD0" w:rsidR="005B5ED2" w:rsidRPr="005B5ED2"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5.784,09 SEK</w:t>
            </w:r>
          </w:p>
        </w:tc>
      </w:tr>
      <w:tr w:rsidR="00F67B69" w:rsidRPr="005B5ED2" w14:paraId="19F12CEE" w14:textId="77777777" w:rsidTr="006F4AB6">
        <w:trPr>
          <w:trHeight w:val="34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C9DBBD8" w14:textId="77777777" w:rsidR="005B5ED2" w:rsidRPr="00F67B69" w:rsidRDefault="005B5ED2">
            <w:pPr>
              <w:rPr>
                <w:rFonts w:ascii="Calibri" w:eastAsia="Times New Roman" w:hAnsi="Calibri"/>
                <w:b w:val="0"/>
                <w:color w:val="000000"/>
                <w:sz w:val="18"/>
              </w:rPr>
            </w:pPr>
            <w:r w:rsidRPr="00F67B69">
              <w:rPr>
                <w:rFonts w:ascii="Calibri" w:eastAsia="Times New Roman" w:hAnsi="Calibri"/>
                <w:b w:val="0"/>
                <w:color w:val="1F4E79" w:themeColor="accent1" w:themeShade="80"/>
                <w:sz w:val="18"/>
              </w:rPr>
              <w:t>NET WORKING CAPITAL</w:t>
            </w:r>
          </w:p>
        </w:tc>
        <w:tc>
          <w:tcPr>
            <w:tcW w:w="1264" w:type="dxa"/>
            <w:noWrap/>
            <w:hideMark/>
          </w:tcPr>
          <w:p w14:paraId="3D6FB965" w14:textId="27963A8C"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37.652,08 SEK</w:t>
            </w:r>
          </w:p>
        </w:tc>
        <w:tc>
          <w:tcPr>
            <w:tcW w:w="1276" w:type="dxa"/>
            <w:noWrap/>
            <w:hideMark/>
          </w:tcPr>
          <w:p w14:paraId="0228210D" w14:textId="3D33EF48"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37.542,16 SEK</w:t>
            </w:r>
          </w:p>
        </w:tc>
        <w:tc>
          <w:tcPr>
            <w:tcW w:w="1292" w:type="dxa"/>
            <w:noWrap/>
            <w:hideMark/>
          </w:tcPr>
          <w:p w14:paraId="58889C87" w14:textId="29A55849"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42.503,58 SEK</w:t>
            </w:r>
          </w:p>
        </w:tc>
        <w:tc>
          <w:tcPr>
            <w:tcW w:w="1543" w:type="dxa"/>
            <w:noWrap/>
            <w:hideMark/>
          </w:tcPr>
          <w:p w14:paraId="0BE9D8B7" w14:textId="670F3A65"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48.120,75 SEK</w:t>
            </w:r>
          </w:p>
        </w:tc>
        <w:tc>
          <w:tcPr>
            <w:tcW w:w="1417" w:type="dxa"/>
            <w:noWrap/>
            <w:hideMark/>
          </w:tcPr>
          <w:p w14:paraId="252B9DA7" w14:textId="0CBC0F16"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54.480,37 SEK</w:t>
            </w:r>
          </w:p>
        </w:tc>
        <w:tc>
          <w:tcPr>
            <w:tcW w:w="1303" w:type="dxa"/>
            <w:noWrap/>
            <w:hideMark/>
          </w:tcPr>
          <w:p w14:paraId="154BD9DA" w14:textId="59CABD03" w:rsidR="005B5ED2" w:rsidRPr="005B5ED2" w:rsidRDefault="005B5ED2" w:rsidP="00F67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5B5ED2">
              <w:rPr>
                <w:rFonts w:ascii="Calibri" w:eastAsia="Times New Roman" w:hAnsi="Calibri"/>
                <w:color w:val="000000"/>
                <w:sz w:val="16"/>
              </w:rPr>
              <w:t>61.680,58 SEK</w:t>
            </w:r>
          </w:p>
        </w:tc>
      </w:tr>
      <w:tr w:rsidR="00F67B69" w:rsidRPr="006F4AB6" w14:paraId="3A42B172" w14:textId="77777777" w:rsidTr="007350E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52" w:type="dxa"/>
            <w:shd w:val="clear" w:color="auto" w:fill="FFE599" w:themeFill="accent4" w:themeFillTint="66"/>
            <w:noWrap/>
            <w:hideMark/>
          </w:tcPr>
          <w:p w14:paraId="521E84BF" w14:textId="77777777" w:rsidR="005B5ED2" w:rsidRPr="006F4AB6" w:rsidRDefault="005B5ED2">
            <w:pPr>
              <w:rPr>
                <w:rFonts w:ascii="Calibri" w:eastAsia="Times New Roman" w:hAnsi="Calibri"/>
                <w:color w:val="000000" w:themeColor="text1"/>
                <w:sz w:val="18"/>
              </w:rPr>
            </w:pPr>
            <w:r w:rsidRPr="006F4AB6">
              <w:rPr>
                <w:rFonts w:ascii="Calibri" w:eastAsia="Times New Roman" w:hAnsi="Calibri"/>
                <w:color w:val="000000" w:themeColor="text1"/>
                <w:sz w:val="18"/>
              </w:rPr>
              <w:t>CHANGE IN NET WORKING CAPITAL</w:t>
            </w:r>
          </w:p>
        </w:tc>
        <w:tc>
          <w:tcPr>
            <w:tcW w:w="1264" w:type="dxa"/>
            <w:shd w:val="clear" w:color="auto" w:fill="FFE599" w:themeFill="accent4" w:themeFillTint="66"/>
            <w:noWrap/>
            <w:hideMark/>
          </w:tcPr>
          <w:p w14:paraId="21AAF788" w14:textId="77777777"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eastAsia="Times New Roman"/>
                <w:b/>
                <w:color w:val="000000" w:themeColor="text1"/>
                <w:sz w:val="16"/>
                <w:szCs w:val="20"/>
              </w:rPr>
            </w:pPr>
          </w:p>
        </w:tc>
        <w:tc>
          <w:tcPr>
            <w:tcW w:w="1276" w:type="dxa"/>
            <w:shd w:val="clear" w:color="auto" w:fill="FFE599" w:themeFill="accent4" w:themeFillTint="66"/>
            <w:noWrap/>
            <w:hideMark/>
          </w:tcPr>
          <w:p w14:paraId="36E6F2F3" w14:textId="51C1FCE5"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themeColor="text1"/>
                <w:sz w:val="16"/>
              </w:rPr>
            </w:pPr>
            <w:r w:rsidRPr="006F4AB6">
              <w:rPr>
                <w:rFonts w:ascii="Calibri" w:eastAsia="Times New Roman" w:hAnsi="Calibri"/>
                <w:b/>
                <w:color w:val="000000" w:themeColor="text1"/>
                <w:sz w:val="16"/>
              </w:rPr>
              <w:t>-109,92 SEK</w:t>
            </w:r>
          </w:p>
        </w:tc>
        <w:tc>
          <w:tcPr>
            <w:tcW w:w="1292" w:type="dxa"/>
            <w:shd w:val="clear" w:color="auto" w:fill="FFE599" w:themeFill="accent4" w:themeFillTint="66"/>
            <w:noWrap/>
            <w:hideMark/>
          </w:tcPr>
          <w:p w14:paraId="5503263F" w14:textId="6BD5D292"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themeColor="text1"/>
                <w:sz w:val="16"/>
              </w:rPr>
            </w:pPr>
            <w:r w:rsidRPr="006F4AB6">
              <w:rPr>
                <w:rFonts w:ascii="Calibri" w:eastAsia="Times New Roman" w:hAnsi="Calibri"/>
                <w:b/>
                <w:color w:val="000000" w:themeColor="text1"/>
                <w:sz w:val="16"/>
              </w:rPr>
              <w:t>4.961,41 SEK</w:t>
            </w:r>
          </w:p>
        </w:tc>
        <w:tc>
          <w:tcPr>
            <w:tcW w:w="1543" w:type="dxa"/>
            <w:shd w:val="clear" w:color="auto" w:fill="FFE599" w:themeFill="accent4" w:themeFillTint="66"/>
            <w:noWrap/>
            <w:hideMark/>
          </w:tcPr>
          <w:p w14:paraId="74DF3426" w14:textId="56CF1565"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themeColor="text1"/>
                <w:sz w:val="16"/>
              </w:rPr>
            </w:pPr>
            <w:r w:rsidRPr="006F4AB6">
              <w:rPr>
                <w:rFonts w:ascii="Calibri" w:eastAsia="Times New Roman" w:hAnsi="Calibri"/>
                <w:b/>
                <w:color w:val="000000" w:themeColor="text1"/>
                <w:sz w:val="16"/>
              </w:rPr>
              <w:t>5.617,17 SEK</w:t>
            </w:r>
          </w:p>
        </w:tc>
        <w:tc>
          <w:tcPr>
            <w:tcW w:w="1417" w:type="dxa"/>
            <w:shd w:val="clear" w:color="auto" w:fill="FFE599" w:themeFill="accent4" w:themeFillTint="66"/>
            <w:noWrap/>
            <w:hideMark/>
          </w:tcPr>
          <w:p w14:paraId="31E079E9" w14:textId="510BA4BE"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themeColor="text1"/>
                <w:sz w:val="16"/>
              </w:rPr>
            </w:pPr>
            <w:r w:rsidRPr="006F4AB6">
              <w:rPr>
                <w:rFonts w:ascii="Calibri" w:eastAsia="Times New Roman" w:hAnsi="Calibri"/>
                <w:b/>
                <w:color w:val="000000" w:themeColor="text1"/>
                <w:sz w:val="16"/>
              </w:rPr>
              <w:t>6.359,62 SEK</w:t>
            </w:r>
          </w:p>
        </w:tc>
        <w:tc>
          <w:tcPr>
            <w:tcW w:w="1303" w:type="dxa"/>
            <w:shd w:val="clear" w:color="auto" w:fill="FFE599" w:themeFill="accent4" w:themeFillTint="66"/>
            <w:noWrap/>
            <w:hideMark/>
          </w:tcPr>
          <w:p w14:paraId="0BB1ACE6" w14:textId="32A591AC" w:rsidR="005B5ED2" w:rsidRPr="006F4AB6" w:rsidRDefault="005B5ED2" w:rsidP="00F67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themeColor="text1"/>
                <w:sz w:val="16"/>
              </w:rPr>
            </w:pPr>
            <w:r w:rsidRPr="006F4AB6">
              <w:rPr>
                <w:rFonts w:ascii="Calibri" w:eastAsia="Times New Roman" w:hAnsi="Calibri"/>
                <w:b/>
                <w:color w:val="000000" w:themeColor="text1"/>
                <w:sz w:val="16"/>
              </w:rPr>
              <w:t>7.200,21 SEK</w:t>
            </w:r>
          </w:p>
        </w:tc>
      </w:tr>
    </w:tbl>
    <w:p w14:paraId="018A6AB8" w14:textId="77777777" w:rsidR="005B5ED2" w:rsidRDefault="005B5ED2" w:rsidP="005B5ED2">
      <w:pPr>
        <w:pStyle w:val="Textosinformato"/>
        <w:rPr>
          <w:rFonts w:asciiTheme="minorHAnsi" w:hAnsiTheme="minorHAnsi" w:cs="Courier New"/>
          <w:sz w:val="24"/>
          <w:szCs w:val="24"/>
        </w:rPr>
      </w:pPr>
    </w:p>
    <w:p w14:paraId="561BE13D" w14:textId="7BB1963F" w:rsidR="005B5ED2" w:rsidRPr="00050752" w:rsidRDefault="005B5ED2"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 xml:space="preserve">As drivers for the Net Working Capital we have considered assumptions </w:t>
      </w:r>
      <w:r w:rsidR="00F67B69" w:rsidRPr="00050752">
        <w:rPr>
          <w:rFonts w:ascii="Times New Roman" w:hAnsi="Times New Roman"/>
          <w:sz w:val="24"/>
          <w:szCs w:val="24"/>
        </w:rPr>
        <w:t>concerning different turnover ratios of H&amp;M, assuming the firm will keep these ratios constant.</w:t>
      </w:r>
      <w:r w:rsidRPr="00050752">
        <w:rPr>
          <w:rFonts w:ascii="Times New Roman" w:hAnsi="Times New Roman"/>
          <w:sz w:val="24"/>
          <w:szCs w:val="24"/>
        </w:rPr>
        <w:t xml:space="preserve"> Let's start with the top, the cash requirements. </w:t>
      </w:r>
      <w:r w:rsidR="00F67B69" w:rsidRPr="00050752">
        <w:rPr>
          <w:rFonts w:ascii="Times New Roman" w:hAnsi="Times New Roman"/>
          <w:sz w:val="24"/>
          <w:szCs w:val="24"/>
        </w:rPr>
        <w:t>H&amp;M is</w:t>
      </w:r>
      <w:r w:rsidRPr="00050752">
        <w:rPr>
          <w:rFonts w:ascii="Times New Roman" w:hAnsi="Times New Roman"/>
          <w:sz w:val="24"/>
          <w:szCs w:val="24"/>
        </w:rPr>
        <w:t xml:space="preserve"> to require </w:t>
      </w:r>
      <w:r w:rsidR="00F67B69" w:rsidRPr="00050752">
        <w:rPr>
          <w:rFonts w:ascii="Times New Roman" w:hAnsi="Times New Roman"/>
          <w:sz w:val="24"/>
          <w:szCs w:val="24"/>
        </w:rPr>
        <w:t>19,55</w:t>
      </w:r>
      <w:r w:rsidRPr="00050752">
        <w:rPr>
          <w:rFonts w:ascii="Times New Roman" w:hAnsi="Times New Roman"/>
          <w:sz w:val="24"/>
          <w:szCs w:val="24"/>
        </w:rPr>
        <w:t>% of</w:t>
      </w:r>
      <w:r w:rsidR="00F67B69" w:rsidRPr="00050752">
        <w:rPr>
          <w:rFonts w:ascii="Times New Roman" w:hAnsi="Times New Roman"/>
          <w:sz w:val="24"/>
          <w:szCs w:val="24"/>
        </w:rPr>
        <w:t xml:space="preserve"> </w:t>
      </w:r>
      <w:r w:rsidRPr="00050752">
        <w:rPr>
          <w:rFonts w:ascii="Times New Roman" w:hAnsi="Times New Roman"/>
          <w:sz w:val="24"/>
          <w:szCs w:val="24"/>
        </w:rPr>
        <w:t xml:space="preserve">SG&amp;A in cash we're going to need our SG&amp;A forecasts to </w:t>
      </w:r>
      <w:r w:rsidR="00F67B69" w:rsidRPr="00050752">
        <w:rPr>
          <w:rFonts w:ascii="Times New Roman" w:hAnsi="Times New Roman"/>
          <w:sz w:val="24"/>
          <w:szCs w:val="24"/>
        </w:rPr>
        <w:t>back out</w:t>
      </w:r>
      <w:r w:rsidRPr="00050752">
        <w:rPr>
          <w:rFonts w:ascii="Times New Roman" w:hAnsi="Times New Roman"/>
          <w:sz w:val="24"/>
          <w:szCs w:val="24"/>
        </w:rPr>
        <w:t xml:space="preserve"> the cash requirements.</w:t>
      </w:r>
      <w:r w:rsidR="00F67B69" w:rsidRPr="00050752">
        <w:rPr>
          <w:rFonts w:ascii="Times New Roman" w:hAnsi="Times New Roman"/>
          <w:sz w:val="24"/>
          <w:szCs w:val="24"/>
        </w:rPr>
        <w:t xml:space="preserve"> C</w:t>
      </w:r>
      <w:r w:rsidRPr="00050752">
        <w:rPr>
          <w:rFonts w:ascii="Times New Roman" w:hAnsi="Times New Roman"/>
          <w:sz w:val="24"/>
          <w:szCs w:val="24"/>
        </w:rPr>
        <w:t>o</w:t>
      </w:r>
      <w:r w:rsidR="00F67B69" w:rsidRPr="00050752">
        <w:rPr>
          <w:rFonts w:ascii="Times New Roman" w:hAnsi="Times New Roman"/>
          <w:sz w:val="24"/>
          <w:szCs w:val="24"/>
        </w:rPr>
        <w:t>nsequently,</w:t>
      </w:r>
      <w:r w:rsidRPr="00050752">
        <w:rPr>
          <w:rFonts w:ascii="Times New Roman" w:hAnsi="Times New Roman"/>
          <w:sz w:val="24"/>
          <w:szCs w:val="24"/>
        </w:rPr>
        <w:t xml:space="preserve"> our cash requirements </w:t>
      </w:r>
      <w:r w:rsidR="00F67B69" w:rsidRPr="00050752">
        <w:rPr>
          <w:rFonts w:ascii="Times New Roman" w:hAnsi="Times New Roman"/>
          <w:sz w:val="24"/>
          <w:szCs w:val="24"/>
        </w:rPr>
        <w:t xml:space="preserve">for year 1 would be </w:t>
      </w:r>
      <w:r w:rsidR="00F67B69" w:rsidRPr="00050752">
        <w:rPr>
          <w:rFonts w:ascii="Times New Roman" w:hAnsi="Times New Roman"/>
          <w:sz w:val="24"/>
          <w:szCs w:val="24"/>
          <w:lang w:val="es-ES_tradnl"/>
        </w:rPr>
        <w:t xml:space="preserve">15.639,68 million SEK </w:t>
      </w:r>
      <w:r w:rsidR="00F67B69" w:rsidRPr="00050752">
        <w:rPr>
          <w:rFonts w:ascii="Times New Roman" w:hAnsi="Times New Roman"/>
          <w:sz w:val="24"/>
          <w:szCs w:val="24"/>
        </w:rPr>
        <w:t xml:space="preserve">which is the percentage of forecasted SG&amp;A expenses required, in cash, by the company. </w:t>
      </w:r>
      <w:r w:rsidRPr="00050752">
        <w:rPr>
          <w:rFonts w:ascii="Times New Roman" w:hAnsi="Times New Roman"/>
          <w:sz w:val="24"/>
          <w:szCs w:val="24"/>
        </w:rPr>
        <w:t>And again w</w:t>
      </w:r>
      <w:r w:rsidR="00F67B69" w:rsidRPr="00050752">
        <w:rPr>
          <w:rFonts w:ascii="Times New Roman" w:hAnsi="Times New Roman"/>
          <w:sz w:val="24"/>
          <w:szCs w:val="24"/>
        </w:rPr>
        <w:t>e're just going to repeat that</w:t>
      </w:r>
      <w:r w:rsidRPr="00050752">
        <w:rPr>
          <w:rFonts w:ascii="Times New Roman" w:hAnsi="Times New Roman"/>
          <w:sz w:val="24"/>
          <w:szCs w:val="24"/>
        </w:rPr>
        <w:t>, year by yea</w:t>
      </w:r>
      <w:r w:rsidR="00F67B69" w:rsidRPr="00050752">
        <w:rPr>
          <w:rFonts w:ascii="Times New Roman" w:hAnsi="Times New Roman"/>
          <w:sz w:val="24"/>
          <w:szCs w:val="24"/>
        </w:rPr>
        <w:t xml:space="preserve">r for two, three, four and five. Turning to inventory, </w:t>
      </w:r>
      <w:r w:rsidRPr="00050752">
        <w:rPr>
          <w:rFonts w:ascii="Times New Roman" w:hAnsi="Times New Roman"/>
          <w:sz w:val="24"/>
          <w:szCs w:val="24"/>
        </w:rPr>
        <w:t>our forecast</w:t>
      </w:r>
      <w:r w:rsidR="00F67B69" w:rsidRPr="00050752">
        <w:rPr>
          <w:rFonts w:ascii="Times New Roman" w:hAnsi="Times New Roman"/>
          <w:sz w:val="24"/>
          <w:szCs w:val="24"/>
        </w:rPr>
        <w:t xml:space="preserve"> </w:t>
      </w:r>
      <w:r w:rsidRPr="00050752">
        <w:rPr>
          <w:rFonts w:ascii="Times New Roman" w:hAnsi="Times New Roman"/>
          <w:sz w:val="24"/>
          <w:szCs w:val="24"/>
        </w:rPr>
        <w:t xml:space="preserve">drivers lay out the inventory days but the inventory days are based on cogs so </w:t>
      </w:r>
      <w:r w:rsidR="00F67B69" w:rsidRPr="00050752">
        <w:rPr>
          <w:rFonts w:ascii="Times New Roman" w:hAnsi="Times New Roman"/>
          <w:sz w:val="24"/>
          <w:szCs w:val="24"/>
        </w:rPr>
        <w:t>the forecasted COGS will be also needed. The computation is the following one:</w:t>
      </w:r>
    </w:p>
    <w:p w14:paraId="069ADA5A" w14:textId="77777777" w:rsidR="00F67B69" w:rsidRPr="00050752" w:rsidRDefault="00F67B69" w:rsidP="00050752">
      <w:pPr>
        <w:pStyle w:val="Textosinformato"/>
        <w:spacing w:line="276" w:lineRule="auto"/>
        <w:jc w:val="both"/>
        <w:rPr>
          <w:rFonts w:ascii="Times New Roman" w:hAnsi="Times New Roman"/>
          <w:sz w:val="24"/>
          <w:szCs w:val="24"/>
        </w:rPr>
      </w:pPr>
    </w:p>
    <w:p w14:paraId="7EB6E9BB" w14:textId="38D95C8C" w:rsidR="00F67B69" w:rsidRPr="00050752" w:rsidRDefault="00F67B69" w:rsidP="00050752">
      <w:pPr>
        <w:pStyle w:val="Textosinformato"/>
        <w:spacing w:line="276" w:lineRule="auto"/>
        <w:jc w:val="both"/>
        <w:rPr>
          <w:rFonts w:ascii="Times New Roman" w:hAnsi="Times New Roman"/>
          <w:sz w:val="24"/>
          <w:szCs w:val="24"/>
        </w:rPr>
      </w:pPr>
      <m:oMathPara>
        <m:oMath>
          <m:r>
            <w:rPr>
              <w:rFonts w:ascii="Cambria Math" w:hAnsi="Cambria Math"/>
              <w:sz w:val="24"/>
              <w:szCs w:val="24"/>
            </w:rPr>
            <m:t>Inventory requirement=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avg. days in inventory</m:t>
                  </m:r>
                </m:e>
              </m:d>
              <m:r>
                <w:rPr>
                  <w:rFonts w:ascii="Cambria Math" w:hAnsi="Cambria Math"/>
                  <w:sz w:val="24"/>
                  <w:szCs w:val="24"/>
                </w:rPr>
                <m:t>*COGS (estimated)</m:t>
              </m:r>
            </m:num>
            <m:den>
              <m:r>
                <w:rPr>
                  <w:rFonts w:ascii="Cambria Math" w:hAnsi="Cambria Math"/>
                  <w:sz w:val="24"/>
                  <w:szCs w:val="24"/>
                </w:rPr>
                <m:t>365</m:t>
              </m:r>
            </m:den>
          </m:f>
        </m:oMath>
      </m:oMathPara>
    </w:p>
    <w:p w14:paraId="03F977A6" w14:textId="77777777" w:rsidR="00F67B69" w:rsidRPr="00050752" w:rsidRDefault="00F67B69" w:rsidP="00050752">
      <w:pPr>
        <w:pStyle w:val="Textosinformato"/>
        <w:spacing w:line="276" w:lineRule="auto"/>
        <w:jc w:val="both"/>
        <w:rPr>
          <w:rFonts w:ascii="Times New Roman" w:hAnsi="Times New Roman"/>
          <w:sz w:val="24"/>
          <w:szCs w:val="24"/>
        </w:rPr>
      </w:pPr>
    </w:p>
    <w:p w14:paraId="2325C1C9" w14:textId="77777777" w:rsidR="00212F5A" w:rsidRPr="00050752" w:rsidRDefault="00212F5A" w:rsidP="00050752">
      <w:pPr>
        <w:pStyle w:val="Textosinformato"/>
        <w:spacing w:line="276" w:lineRule="auto"/>
        <w:jc w:val="both"/>
        <w:rPr>
          <w:rFonts w:ascii="Times New Roman" w:hAnsi="Times New Roman"/>
          <w:sz w:val="24"/>
          <w:szCs w:val="24"/>
        </w:rPr>
      </w:pPr>
    </w:p>
    <w:p w14:paraId="4276F907" w14:textId="4D999A2F" w:rsidR="00815C97" w:rsidRPr="00050752" w:rsidRDefault="008E6712"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 xml:space="preserve">Repeating this operation for each year inventory requirements in </w:t>
      </w:r>
      <w:proofErr w:type="gramStart"/>
      <w:r w:rsidRPr="00050752">
        <w:rPr>
          <w:rFonts w:ascii="Times New Roman" w:hAnsi="Times New Roman"/>
          <w:sz w:val="24"/>
          <w:szCs w:val="24"/>
        </w:rPr>
        <w:t>million</w:t>
      </w:r>
      <w:proofErr w:type="gramEnd"/>
      <w:r w:rsidRPr="00050752">
        <w:rPr>
          <w:rFonts w:ascii="Times New Roman" w:hAnsi="Times New Roman"/>
          <w:sz w:val="24"/>
          <w:szCs w:val="24"/>
        </w:rPr>
        <w:t xml:space="preserve"> of SEK can be obtained easily. Moving</w:t>
      </w:r>
      <w:r w:rsidR="00815C97" w:rsidRPr="00050752">
        <w:rPr>
          <w:rFonts w:ascii="Times New Roman" w:hAnsi="Times New Roman"/>
          <w:sz w:val="24"/>
          <w:szCs w:val="24"/>
        </w:rPr>
        <w:t xml:space="preserve"> to accounts receivable</w:t>
      </w:r>
      <w:r w:rsidR="00212F5A" w:rsidRPr="00050752">
        <w:rPr>
          <w:rFonts w:ascii="Times New Roman" w:hAnsi="Times New Roman"/>
          <w:sz w:val="24"/>
          <w:szCs w:val="24"/>
        </w:rPr>
        <w:t>, the operation is the same. We have got days’</w:t>
      </w:r>
      <w:r w:rsidR="00815C97" w:rsidRPr="00050752">
        <w:rPr>
          <w:rFonts w:ascii="Times New Roman" w:hAnsi="Times New Roman"/>
          <w:sz w:val="24"/>
          <w:szCs w:val="24"/>
        </w:rPr>
        <w:t xml:space="preserve"> receivable assumptions, those are based on sales, so</w:t>
      </w:r>
      <w:r w:rsidR="00212F5A" w:rsidRPr="00050752">
        <w:rPr>
          <w:rFonts w:ascii="Times New Roman" w:hAnsi="Times New Roman"/>
          <w:sz w:val="24"/>
          <w:szCs w:val="24"/>
        </w:rPr>
        <w:t xml:space="preserve"> here, </w:t>
      </w:r>
      <w:r w:rsidR="00815C97" w:rsidRPr="00050752">
        <w:rPr>
          <w:rFonts w:ascii="Times New Roman" w:hAnsi="Times New Roman"/>
          <w:sz w:val="24"/>
          <w:szCs w:val="24"/>
        </w:rPr>
        <w:t>forecasted sales</w:t>
      </w:r>
      <w:r w:rsidR="00212F5A" w:rsidRPr="00050752">
        <w:rPr>
          <w:rFonts w:ascii="Times New Roman" w:hAnsi="Times New Roman"/>
          <w:sz w:val="24"/>
          <w:szCs w:val="24"/>
        </w:rPr>
        <w:t xml:space="preserve"> are necessary</w:t>
      </w:r>
      <w:r w:rsidR="00815C97" w:rsidRPr="00050752">
        <w:rPr>
          <w:rFonts w:ascii="Times New Roman" w:hAnsi="Times New Roman"/>
          <w:sz w:val="24"/>
          <w:szCs w:val="24"/>
        </w:rPr>
        <w:t xml:space="preserve">. </w:t>
      </w:r>
      <w:r w:rsidR="00212F5A" w:rsidRPr="00050752">
        <w:rPr>
          <w:rFonts w:ascii="Times New Roman" w:hAnsi="Times New Roman"/>
          <w:sz w:val="24"/>
          <w:szCs w:val="24"/>
        </w:rPr>
        <w:t>Here is the formula for Accounts receivable requirements:</w:t>
      </w:r>
    </w:p>
    <w:p w14:paraId="7A87FA48" w14:textId="77777777" w:rsidR="00212F5A" w:rsidRPr="00050752" w:rsidRDefault="00212F5A" w:rsidP="00050752">
      <w:pPr>
        <w:pStyle w:val="Textosinformato"/>
        <w:spacing w:line="276" w:lineRule="auto"/>
        <w:jc w:val="both"/>
        <w:rPr>
          <w:rFonts w:ascii="Times New Roman" w:hAnsi="Times New Roman"/>
          <w:sz w:val="24"/>
          <w:szCs w:val="24"/>
        </w:rPr>
      </w:pPr>
    </w:p>
    <w:p w14:paraId="68863482" w14:textId="46CD872D" w:rsidR="00212F5A" w:rsidRPr="00050752" w:rsidRDefault="00212F5A" w:rsidP="00050752">
      <w:pPr>
        <w:pStyle w:val="Textosinformato"/>
        <w:spacing w:line="276" w:lineRule="auto"/>
        <w:jc w:val="both"/>
        <w:rPr>
          <w:rFonts w:ascii="Times New Roman" w:hAnsi="Times New Roman"/>
          <w:sz w:val="24"/>
          <w:szCs w:val="24"/>
        </w:rPr>
      </w:pPr>
      <m:oMathPara>
        <m:oMath>
          <m:r>
            <w:rPr>
              <w:rFonts w:ascii="Cambria Math" w:hAnsi="Cambria Math"/>
              <w:sz w:val="24"/>
              <w:szCs w:val="24"/>
            </w:rPr>
            <m:t>Accounts receivable requirements</m:t>
          </m:r>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avg. </m:t>
                  </m:r>
                  <m:r>
                    <w:rPr>
                      <w:rFonts w:ascii="Cambria Math" w:hAnsi="Cambria Math"/>
                      <w:sz w:val="24"/>
                      <w:szCs w:val="24"/>
                    </w:rPr>
                    <m:t>collection period</m:t>
                  </m:r>
                </m:e>
              </m:d>
              <m:r>
                <w:rPr>
                  <w:rFonts w:ascii="Cambria Math" w:hAnsi="Cambria Math"/>
                  <w:sz w:val="24"/>
                  <w:szCs w:val="24"/>
                </w:rPr>
                <m:t>*</m:t>
              </m:r>
              <m:r>
                <w:rPr>
                  <w:rFonts w:ascii="Cambria Math" w:hAnsi="Cambria Math"/>
                  <w:sz w:val="24"/>
                  <w:szCs w:val="24"/>
                </w:rPr>
                <m:t>SALES</m:t>
              </m:r>
              <m:r>
                <w:rPr>
                  <w:rFonts w:ascii="Cambria Math" w:hAnsi="Cambria Math"/>
                  <w:sz w:val="24"/>
                  <w:szCs w:val="24"/>
                </w:rPr>
                <m:t xml:space="preserve"> (estimated)</m:t>
              </m:r>
            </m:num>
            <m:den>
              <m:r>
                <w:rPr>
                  <w:rFonts w:ascii="Cambria Math" w:hAnsi="Cambria Math"/>
                  <w:sz w:val="24"/>
                  <w:szCs w:val="24"/>
                </w:rPr>
                <m:t>365</m:t>
              </m:r>
            </m:den>
          </m:f>
        </m:oMath>
      </m:oMathPara>
    </w:p>
    <w:p w14:paraId="18BCEAFF" w14:textId="77777777" w:rsidR="00212F5A" w:rsidRPr="00050752" w:rsidRDefault="00212F5A" w:rsidP="00050752">
      <w:pPr>
        <w:pStyle w:val="Textosinformato"/>
        <w:spacing w:line="276" w:lineRule="auto"/>
        <w:jc w:val="both"/>
        <w:rPr>
          <w:rFonts w:ascii="Times New Roman" w:hAnsi="Times New Roman"/>
          <w:sz w:val="24"/>
          <w:szCs w:val="24"/>
        </w:rPr>
      </w:pPr>
    </w:p>
    <w:p w14:paraId="5C3C1BBD" w14:textId="77777777" w:rsidR="00212F5A" w:rsidRPr="00050752" w:rsidRDefault="00212F5A" w:rsidP="00050752">
      <w:pPr>
        <w:pStyle w:val="Textosinformato"/>
        <w:spacing w:line="276" w:lineRule="auto"/>
        <w:jc w:val="both"/>
        <w:rPr>
          <w:rFonts w:ascii="Times New Roman" w:hAnsi="Times New Roman"/>
          <w:sz w:val="24"/>
          <w:szCs w:val="24"/>
        </w:rPr>
      </w:pPr>
    </w:p>
    <w:p w14:paraId="2B1859C5" w14:textId="67541B26" w:rsidR="00212F5A" w:rsidRDefault="00815C97"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We continue that process for</w:t>
      </w:r>
      <w:r w:rsidR="00212F5A" w:rsidRPr="00050752">
        <w:rPr>
          <w:rFonts w:ascii="Times New Roman" w:hAnsi="Times New Roman"/>
          <w:sz w:val="24"/>
          <w:szCs w:val="24"/>
        </w:rPr>
        <w:t xml:space="preserve"> </w:t>
      </w:r>
      <w:r w:rsidRPr="00050752">
        <w:rPr>
          <w:rFonts w:ascii="Times New Roman" w:hAnsi="Times New Roman"/>
          <w:sz w:val="24"/>
          <w:szCs w:val="24"/>
        </w:rPr>
        <w:t xml:space="preserve">years two through five. </w:t>
      </w:r>
      <w:r w:rsidR="00212F5A" w:rsidRPr="00050752">
        <w:rPr>
          <w:rFonts w:ascii="Times New Roman" w:hAnsi="Times New Roman"/>
          <w:sz w:val="24"/>
          <w:szCs w:val="24"/>
        </w:rPr>
        <w:t>For accounts payable it is exactly the same applying the formula of average payment period, based on COGS</w:t>
      </w:r>
    </w:p>
    <w:p w14:paraId="698669FB" w14:textId="77777777" w:rsidR="00050752" w:rsidRPr="00050752" w:rsidRDefault="00050752" w:rsidP="00050752">
      <w:pPr>
        <w:pStyle w:val="Textosinformato"/>
        <w:spacing w:line="276" w:lineRule="auto"/>
        <w:jc w:val="both"/>
        <w:rPr>
          <w:rFonts w:ascii="Times New Roman" w:hAnsi="Times New Roman"/>
          <w:sz w:val="24"/>
          <w:szCs w:val="24"/>
        </w:rPr>
      </w:pPr>
    </w:p>
    <w:p w14:paraId="78B8DF1C" w14:textId="77777777" w:rsidR="00212F5A" w:rsidRPr="00050752" w:rsidRDefault="00212F5A" w:rsidP="00050752">
      <w:pPr>
        <w:pStyle w:val="Textosinformato"/>
        <w:spacing w:line="276" w:lineRule="auto"/>
        <w:jc w:val="both"/>
        <w:rPr>
          <w:rFonts w:ascii="Times New Roman" w:hAnsi="Times New Roman"/>
          <w:sz w:val="24"/>
          <w:szCs w:val="24"/>
        </w:rPr>
      </w:pPr>
    </w:p>
    <w:p w14:paraId="0E960967" w14:textId="71225011" w:rsidR="00212F5A" w:rsidRPr="00050752" w:rsidRDefault="00212F5A" w:rsidP="00050752">
      <w:pPr>
        <w:pStyle w:val="Textosinformato"/>
        <w:spacing w:line="276" w:lineRule="auto"/>
        <w:jc w:val="both"/>
        <w:rPr>
          <w:rFonts w:ascii="Times New Roman" w:hAnsi="Times New Roman"/>
          <w:sz w:val="24"/>
          <w:szCs w:val="24"/>
        </w:rPr>
      </w:pPr>
      <m:oMathPara>
        <m:oMath>
          <m:r>
            <w:rPr>
              <w:rFonts w:ascii="Cambria Math" w:hAnsi="Cambria Math"/>
              <w:sz w:val="24"/>
              <w:szCs w:val="24"/>
            </w:rPr>
            <m:t>Accounts payable requirements</m:t>
          </m:r>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avg. </m:t>
                  </m:r>
                  <m:r>
                    <w:rPr>
                      <w:rFonts w:ascii="Cambria Math" w:hAnsi="Cambria Math"/>
                      <w:sz w:val="24"/>
                      <w:szCs w:val="24"/>
                    </w:rPr>
                    <m:t>paymeny period</m:t>
                  </m:r>
                </m:e>
              </m:d>
              <m:r>
                <w:rPr>
                  <w:rFonts w:ascii="Cambria Math" w:hAnsi="Cambria Math"/>
                  <w:sz w:val="24"/>
                  <w:szCs w:val="24"/>
                </w:rPr>
                <m:t>*</m:t>
              </m:r>
              <m:r>
                <w:rPr>
                  <w:rFonts w:ascii="Cambria Math" w:hAnsi="Cambria Math"/>
                  <w:sz w:val="24"/>
                  <w:szCs w:val="24"/>
                </w:rPr>
                <m:t>COGS</m:t>
              </m:r>
              <m:r>
                <w:rPr>
                  <w:rFonts w:ascii="Cambria Math" w:hAnsi="Cambria Math"/>
                  <w:sz w:val="24"/>
                  <w:szCs w:val="24"/>
                </w:rPr>
                <m:t xml:space="preserve"> (estimated)</m:t>
              </m:r>
            </m:num>
            <m:den>
              <m:r>
                <w:rPr>
                  <w:rFonts w:ascii="Cambria Math" w:hAnsi="Cambria Math"/>
                  <w:sz w:val="24"/>
                  <w:szCs w:val="24"/>
                </w:rPr>
                <m:t>365</m:t>
              </m:r>
            </m:den>
          </m:f>
        </m:oMath>
      </m:oMathPara>
    </w:p>
    <w:p w14:paraId="20A262E3" w14:textId="77777777" w:rsidR="00212F5A" w:rsidRPr="00050752" w:rsidRDefault="00212F5A" w:rsidP="00050752">
      <w:pPr>
        <w:pStyle w:val="Textosinformato"/>
        <w:spacing w:line="276" w:lineRule="auto"/>
        <w:jc w:val="both"/>
        <w:rPr>
          <w:rFonts w:ascii="Times New Roman" w:hAnsi="Times New Roman"/>
          <w:sz w:val="24"/>
          <w:szCs w:val="24"/>
        </w:rPr>
      </w:pPr>
    </w:p>
    <w:p w14:paraId="0E8E895B" w14:textId="77777777" w:rsidR="00212F5A" w:rsidRPr="00050752" w:rsidRDefault="00212F5A" w:rsidP="00050752">
      <w:pPr>
        <w:pStyle w:val="Textosinformato"/>
        <w:spacing w:line="276" w:lineRule="auto"/>
        <w:jc w:val="both"/>
        <w:rPr>
          <w:rFonts w:ascii="Times New Roman" w:hAnsi="Times New Roman"/>
          <w:sz w:val="24"/>
          <w:szCs w:val="24"/>
        </w:rPr>
      </w:pPr>
    </w:p>
    <w:p w14:paraId="04E0B433" w14:textId="0C78B7FE" w:rsidR="00815C97" w:rsidRPr="00050752" w:rsidRDefault="00815C97" w:rsidP="00050752">
      <w:pPr>
        <w:pStyle w:val="Textosinformato"/>
        <w:spacing w:line="276" w:lineRule="auto"/>
        <w:jc w:val="both"/>
        <w:rPr>
          <w:rFonts w:ascii="Times New Roman" w:hAnsi="Times New Roman"/>
          <w:sz w:val="24"/>
          <w:szCs w:val="24"/>
        </w:rPr>
      </w:pPr>
      <w:r w:rsidRPr="00050752">
        <w:rPr>
          <w:rFonts w:ascii="Times New Roman" w:hAnsi="Times New Roman"/>
          <w:sz w:val="24"/>
          <w:szCs w:val="24"/>
        </w:rPr>
        <w:t xml:space="preserve">And </w:t>
      </w:r>
      <w:r w:rsidR="00212F5A" w:rsidRPr="00050752">
        <w:rPr>
          <w:rFonts w:ascii="Times New Roman" w:hAnsi="Times New Roman"/>
          <w:sz w:val="24"/>
          <w:szCs w:val="24"/>
        </w:rPr>
        <w:t xml:space="preserve">now </w:t>
      </w:r>
      <w:r w:rsidRPr="00050752">
        <w:rPr>
          <w:rFonts w:ascii="Times New Roman" w:hAnsi="Times New Roman"/>
          <w:sz w:val="24"/>
          <w:szCs w:val="24"/>
        </w:rPr>
        <w:t>we can put this all together, our</w:t>
      </w:r>
      <w:r w:rsidR="00212F5A" w:rsidRPr="00050752">
        <w:rPr>
          <w:rFonts w:ascii="Times New Roman" w:hAnsi="Times New Roman"/>
          <w:sz w:val="24"/>
          <w:szCs w:val="24"/>
        </w:rPr>
        <w:t xml:space="preserve"> </w:t>
      </w:r>
      <w:r w:rsidRPr="00050752">
        <w:rPr>
          <w:rFonts w:ascii="Times New Roman" w:hAnsi="Times New Roman"/>
          <w:sz w:val="24"/>
          <w:szCs w:val="24"/>
        </w:rPr>
        <w:t>cash inventory, accounts receivable and accounts payable forecast to compute</w:t>
      </w:r>
      <w:r w:rsidR="00212F5A" w:rsidRPr="00050752">
        <w:rPr>
          <w:rFonts w:ascii="Times New Roman" w:hAnsi="Times New Roman"/>
          <w:sz w:val="24"/>
          <w:szCs w:val="24"/>
        </w:rPr>
        <w:t xml:space="preserve"> </w:t>
      </w:r>
      <w:r w:rsidRPr="00050752">
        <w:rPr>
          <w:rFonts w:ascii="Times New Roman" w:hAnsi="Times New Roman"/>
          <w:sz w:val="24"/>
          <w:szCs w:val="24"/>
        </w:rPr>
        <w:t>net working capital for each year. Remember it's going to</w:t>
      </w:r>
      <w:r w:rsidR="00212F5A" w:rsidRPr="00050752">
        <w:rPr>
          <w:rFonts w:ascii="Times New Roman" w:hAnsi="Times New Roman"/>
          <w:sz w:val="24"/>
          <w:szCs w:val="24"/>
        </w:rPr>
        <w:t xml:space="preserve"> </w:t>
      </w:r>
      <w:r w:rsidRPr="00050752">
        <w:rPr>
          <w:rFonts w:ascii="Times New Roman" w:hAnsi="Times New Roman"/>
          <w:sz w:val="24"/>
          <w:szCs w:val="24"/>
        </w:rPr>
        <w:t>be cash plus inventory, plus accounts receivable</w:t>
      </w:r>
      <w:r w:rsidR="00212F5A" w:rsidRPr="00050752">
        <w:rPr>
          <w:rFonts w:ascii="Times New Roman" w:hAnsi="Times New Roman"/>
          <w:sz w:val="24"/>
          <w:szCs w:val="24"/>
        </w:rPr>
        <w:t xml:space="preserve"> </w:t>
      </w:r>
      <w:r w:rsidRPr="00050752">
        <w:rPr>
          <w:rFonts w:ascii="Times New Roman" w:hAnsi="Times New Roman"/>
          <w:sz w:val="24"/>
          <w:szCs w:val="24"/>
        </w:rPr>
        <w:t xml:space="preserve">minus accounts payable. That </w:t>
      </w:r>
      <w:r w:rsidR="00212F5A" w:rsidRPr="00050752">
        <w:rPr>
          <w:rFonts w:ascii="Times New Roman" w:hAnsi="Times New Roman"/>
          <w:sz w:val="24"/>
          <w:szCs w:val="24"/>
        </w:rPr>
        <w:t xml:space="preserve">gets us our net working capital, and with a simple calculation we can compute the change in </w:t>
      </w:r>
      <w:r w:rsidR="00212F5A" w:rsidRPr="00050752">
        <w:rPr>
          <w:rFonts w:ascii="Times New Roman" w:hAnsi="Times New Roman"/>
          <w:i/>
          <w:sz w:val="24"/>
          <w:szCs w:val="24"/>
        </w:rPr>
        <w:t xml:space="preserve">NetWc </w:t>
      </w:r>
      <w:r w:rsidR="00212F5A" w:rsidRPr="00050752">
        <w:rPr>
          <w:rFonts w:ascii="Times New Roman" w:hAnsi="Times New Roman"/>
          <w:sz w:val="24"/>
          <w:szCs w:val="24"/>
        </w:rPr>
        <w:t>in each year with respect to the previous one.</w:t>
      </w:r>
    </w:p>
    <w:p w14:paraId="66DDE426" w14:textId="77777777" w:rsidR="00050752" w:rsidRDefault="00050752" w:rsidP="00050752">
      <w:pPr>
        <w:spacing w:line="276" w:lineRule="auto"/>
        <w:jc w:val="both"/>
      </w:pPr>
    </w:p>
    <w:p w14:paraId="3445F14D" w14:textId="77777777" w:rsidR="00050752" w:rsidRPr="00050752" w:rsidRDefault="00050752" w:rsidP="00050752">
      <w:pPr>
        <w:spacing w:line="276" w:lineRule="auto"/>
        <w:jc w:val="both"/>
      </w:pPr>
    </w:p>
    <w:p w14:paraId="5F749963" w14:textId="776A7A47" w:rsidR="00050752" w:rsidRPr="00050752" w:rsidRDefault="00050752" w:rsidP="00050752">
      <w:pPr>
        <w:pStyle w:val="Prrafodelista"/>
        <w:numPr>
          <w:ilvl w:val="0"/>
          <w:numId w:val="1"/>
        </w:numPr>
        <w:spacing w:line="276" w:lineRule="auto"/>
        <w:jc w:val="both"/>
        <w:rPr>
          <w:b/>
          <w:lang w:val="en-GB"/>
        </w:rPr>
      </w:pPr>
      <w:r w:rsidRPr="00050752">
        <w:rPr>
          <w:b/>
          <w:lang w:val="en-GB"/>
        </w:rPr>
        <w:t>Forecast of FCF</w:t>
      </w:r>
    </w:p>
    <w:p w14:paraId="57DE0969" w14:textId="77777777" w:rsidR="00050752" w:rsidRDefault="00050752" w:rsidP="00050752">
      <w:pPr>
        <w:spacing w:line="276" w:lineRule="auto"/>
        <w:jc w:val="both"/>
        <w:rPr>
          <w:lang w:val="en-GB"/>
        </w:rPr>
      </w:pPr>
    </w:p>
    <w:p w14:paraId="59DD8431" w14:textId="206517DD" w:rsidR="00050752" w:rsidRDefault="00212F5A" w:rsidP="00050752">
      <w:pPr>
        <w:spacing w:line="276" w:lineRule="auto"/>
        <w:jc w:val="both"/>
        <w:rPr>
          <w:lang w:val="en-GB"/>
        </w:rPr>
      </w:pPr>
      <w:r w:rsidRPr="00050752">
        <w:rPr>
          <w:lang w:val="en-GB"/>
        </w:rPr>
        <w:t xml:space="preserve">Up to this point we already have all the estimations required to compute our predicted future cash flows with the formula stated at the beginning. </w:t>
      </w:r>
      <w:r w:rsidR="00050752">
        <w:rPr>
          <w:lang w:val="en-GB"/>
        </w:rPr>
        <w:t>We will use these estimations in our valuation analysis, discounting them to the current year at some opportunity cost.</w:t>
      </w:r>
    </w:p>
    <w:p w14:paraId="539F5EB1" w14:textId="02E8487C" w:rsidR="00212F5A" w:rsidRDefault="00212F5A" w:rsidP="00050752">
      <w:pPr>
        <w:spacing w:line="276" w:lineRule="auto"/>
        <w:jc w:val="both"/>
        <w:rPr>
          <w:lang w:val="en-GB"/>
        </w:rPr>
      </w:pPr>
      <w:r w:rsidRPr="00050752">
        <w:rPr>
          <w:lang w:val="en-GB"/>
        </w:rPr>
        <w:t>The following table contains all the information we have obtaine</w:t>
      </w:r>
      <w:r w:rsidR="00050752">
        <w:rPr>
          <w:lang w:val="en-GB"/>
        </w:rPr>
        <w:t>d and final our FCF projections:</w:t>
      </w:r>
    </w:p>
    <w:p w14:paraId="25FA003F" w14:textId="77777777" w:rsidR="00050752" w:rsidRDefault="00050752" w:rsidP="00050752">
      <w:pPr>
        <w:spacing w:line="276" w:lineRule="auto"/>
        <w:jc w:val="both"/>
        <w:rPr>
          <w:lang w:val="en-GB"/>
        </w:rPr>
      </w:pPr>
    </w:p>
    <w:p w14:paraId="1B2D9BD1" w14:textId="77777777" w:rsidR="006F4AB6" w:rsidRDefault="006F4AB6" w:rsidP="00050752">
      <w:pPr>
        <w:spacing w:line="276" w:lineRule="auto"/>
        <w:jc w:val="both"/>
        <w:rPr>
          <w:lang w:val="en-GB"/>
        </w:rPr>
      </w:pPr>
    </w:p>
    <w:tbl>
      <w:tblPr>
        <w:tblStyle w:val="Tablanormal1"/>
        <w:tblW w:w="10207" w:type="dxa"/>
        <w:tblInd w:w="-5" w:type="dxa"/>
        <w:tblLayout w:type="fixed"/>
        <w:tblLook w:val="04A0" w:firstRow="1" w:lastRow="0" w:firstColumn="1" w:lastColumn="0" w:noHBand="0" w:noVBand="1"/>
      </w:tblPr>
      <w:tblGrid>
        <w:gridCol w:w="1454"/>
        <w:gridCol w:w="1097"/>
        <w:gridCol w:w="1560"/>
        <w:gridCol w:w="1560"/>
        <w:gridCol w:w="1560"/>
        <w:gridCol w:w="1479"/>
        <w:gridCol w:w="1497"/>
      </w:tblGrid>
      <w:tr w:rsidR="006F4AB6" w:rsidRPr="006F4AB6" w14:paraId="530E57E8" w14:textId="77777777" w:rsidTr="006F4AB6">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shd w:val="clear" w:color="auto" w:fill="1F4E79" w:themeFill="accent1" w:themeFillShade="80"/>
            <w:noWrap/>
            <w:hideMark/>
          </w:tcPr>
          <w:p w14:paraId="77B166B3" w14:textId="2329F1CA" w:rsidR="00204176" w:rsidRPr="00204176" w:rsidRDefault="006F4AB6">
            <w:pPr>
              <w:jc w:val="center"/>
              <w:rPr>
                <w:rFonts w:ascii="Calibri" w:eastAsia="Times New Roman" w:hAnsi="Calibri"/>
                <w:color w:val="000000"/>
                <w:sz w:val="20"/>
              </w:rPr>
            </w:pPr>
            <w:r w:rsidRPr="006F4AB6">
              <w:rPr>
                <w:rFonts w:ascii="Calibri" w:eastAsia="Times New Roman" w:hAnsi="Calibri"/>
                <w:color w:val="FFFFFF" w:themeColor="background1"/>
                <w:sz w:val="22"/>
              </w:rPr>
              <w:t>YEARS</w:t>
            </w:r>
          </w:p>
        </w:tc>
        <w:tc>
          <w:tcPr>
            <w:tcW w:w="1097" w:type="dxa"/>
            <w:shd w:val="clear" w:color="auto" w:fill="1F4E79" w:themeFill="accent1" w:themeFillShade="80"/>
            <w:noWrap/>
            <w:hideMark/>
          </w:tcPr>
          <w:p w14:paraId="6DFDAB9C" w14:textId="77777777" w:rsidR="00204176" w:rsidRPr="006F4AB6" w:rsidRDefault="002041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0 (F2015)</w:t>
            </w:r>
          </w:p>
        </w:tc>
        <w:tc>
          <w:tcPr>
            <w:tcW w:w="1560" w:type="dxa"/>
            <w:shd w:val="clear" w:color="auto" w:fill="1F4E79" w:themeFill="accent1" w:themeFillShade="80"/>
            <w:noWrap/>
            <w:hideMark/>
          </w:tcPr>
          <w:p w14:paraId="37AD73BD" w14:textId="77777777" w:rsidR="00204176" w:rsidRPr="006F4AB6" w:rsidRDefault="0020417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1</w:t>
            </w:r>
          </w:p>
        </w:tc>
        <w:tc>
          <w:tcPr>
            <w:tcW w:w="1560" w:type="dxa"/>
            <w:shd w:val="clear" w:color="auto" w:fill="1F4E79" w:themeFill="accent1" w:themeFillShade="80"/>
            <w:noWrap/>
            <w:hideMark/>
          </w:tcPr>
          <w:p w14:paraId="143DDB13" w14:textId="77777777" w:rsidR="00204176" w:rsidRPr="006F4AB6" w:rsidRDefault="0020417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2</w:t>
            </w:r>
          </w:p>
        </w:tc>
        <w:tc>
          <w:tcPr>
            <w:tcW w:w="1560" w:type="dxa"/>
            <w:shd w:val="clear" w:color="auto" w:fill="1F4E79" w:themeFill="accent1" w:themeFillShade="80"/>
            <w:noWrap/>
            <w:hideMark/>
          </w:tcPr>
          <w:p w14:paraId="240A3156" w14:textId="77777777" w:rsidR="00204176" w:rsidRPr="006F4AB6" w:rsidRDefault="0020417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3</w:t>
            </w:r>
          </w:p>
        </w:tc>
        <w:tc>
          <w:tcPr>
            <w:tcW w:w="1479" w:type="dxa"/>
            <w:shd w:val="clear" w:color="auto" w:fill="1F4E79" w:themeFill="accent1" w:themeFillShade="80"/>
            <w:noWrap/>
            <w:hideMark/>
          </w:tcPr>
          <w:p w14:paraId="36136405" w14:textId="77777777" w:rsidR="00204176" w:rsidRPr="006F4AB6" w:rsidRDefault="0020417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4</w:t>
            </w:r>
          </w:p>
        </w:tc>
        <w:tc>
          <w:tcPr>
            <w:tcW w:w="1497" w:type="dxa"/>
            <w:shd w:val="clear" w:color="auto" w:fill="1F4E79" w:themeFill="accent1" w:themeFillShade="80"/>
            <w:noWrap/>
            <w:hideMark/>
          </w:tcPr>
          <w:p w14:paraId="20F0DB00" w14:textId="77777777" w:rsidR="00204176" w:rsidRPr="006F4AB6" w:rsidRDefault="0020417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themeColor="background1"/>
                <w:sz w:val="20"/>
              </w:rPr>
            </w:pPr>
            <w:r w:rsidRPr="006F4AB6">
              <w:rPr>
                <w:rFonts w:ascii="Calibri" w:eastAsia="Times New Roman" w:hAnsi="Calibri"/>
                <w:color w:val="FFFFFF" w:themeColor="background1"/>
                <w:sz w:val="20"/>
              </w:rPr>
              <w:t>5</w:t>
            </w:r>
          </w:p>
        </w:tc>
      </w:tr>
      <w:tr w:rsidR="00F65E58" w:rsidRPr="00204176" w14:paraId="69959AAC" w14:textId="77777777"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AED7563"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Sales</w:t>
            </w:r>
          </w:p>
        </w:tc>
        <w:tc>
          <w:tcPr>
            <w:tcW w:w="1097" w:type="dxa"/>
            <w:noWrap/>
            <w:hideMark/>
          </w:tcPr>
          <w:p w14:paraId="6D76927B" w14:textId="77777777" w:rsidR="00204176" w:rsidRPr="00204176" w:rsidRDefault="0020417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60" w:type="dxa"/>
            <w:noWrap/>
            <w:hideMark/>
          </w:tcPr>
          <w:p w14:paraId="78DE75D0" w14:textId="4EA98E3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172.918,12 SEK</w:t>
            </w:r>
          </w:p>
        </w:tc>
        <w:tc>
          <w:tcPr>
            <w:tcW w:w="1560" w:type="dxa"/>
            <w:noWrap/>
            <w:hideMark/>
          </w:tcPr>
          <w:p w14:paraId="095A9398" w14:textId="7F4E7A34"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195.554,88 SEK</w:t>
            </w:r>
          </w:p>
        </w:tc>
        <w:tc>
          <w:tcPr>
            <w:tcW w:w="1560" w:type="dxa"/>
            <w:noWrap/>
            <w:hideMark/>
          </w:tcPr>
          <w:p w14:paraId="72DCD867" w14:textId="724D7504"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221.155,03 SEK</w:t>
            </w:r>
          </w:p>
        </w:tc>
        <w:tc>
          <w:tcPr>
            <w:tcW w:w="1479" w:type="dxa"/>
            <w:noWrap/>
            <w:hideMark/>
          </w:tcPr>
          <w:p w14:paraId="1D66CB60" w14:textId="29E24011"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250.106,50 SEK</w:t>
            </w:r>
          </w:p>
        </w:tc>
        <w:tc>
          <w:tcPr>
            <w:tcW w:w="1497" w:type="dxa"/>
            <w:noWrap/>
            <w:hideMark/>
          </w:tcPr>
          <w:p w14:paraId="0B94E158" w14:textId="630CEBE0"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282.848,02 SEK</w:t>
            </w:r>
          </w:p>
        </w:tc>
      </w:tr>
      <w:tr w:rsidR="00F65E58" w:rsidRPr="00204176" w14:paraId="7DF6CB71" w14:textId="77777777" w:rsidTr="00F65E58">
        <w:trPr>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1E2F904"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COGS</w:t>
            </w:r>
          </w:p>
        </w:tc>
        <w:tc>
          <w:tcPr>
            <w:tcW w:w="1097" w:type="dxa"/>
            <w:noWrap/>
            <w:hideMark/>
          </w:tcPr>
          <w:p w14:paraId="6F851488" w14:textId="77777777" w:rsidR="00204176" w:rsidRPr="00204176" w:rsidRDefault="0020417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60" w:type="dxa"/>
            <w:noWrap/>
            <w:hideMark/>
          </w:tcPr>
          <w:p w14:paraId="5F7195DF" w14:textId="05B62C48"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73.593,95 SEK</w:t>
            </w:r>
          </w:p>
        </w:tc>
        <w:tc>
          <w:tcPr>
            <w:tcW w:w="1560" w:type="dxa"/>
            <w:noWrap/>
            <w:hideMark/>
          </w:tcPr>
          <w:p w14:paraId="238F7E94" w14:textId="3D6CC845"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83.228,16 SEK</w:t>
            </w:r>
          </w:p>
        </w:tc>
        <w:tc>
          <w:tcPr>
            <w:tcW w:w="1560" w:type="dxa"/>
            <w:noWrap/>
            <w:hideMark/>
          </w:tcPr>
          <w:p w14:paraId="52F7C330" w14:textId="22BF3122"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94.123,58 SEK</w:t>
            </w:r>
          </w:p>
        </w:tc>
        <w:tc>
          <w:tcPr>
            <w:tcW w:w="1479" w:type="dxa"/>
            <w:noWrap/>
            <w:hideMark/>
          </w:tcPr>
          <w:p w14:paraId="0607F6F6" w14:textId="144080FB"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106.445,33 SEK</w:t>
            </w:r>
          </w:p>
        </w:tc>
        <w:tc>
          <w:tcPr>
            <w:tcW w:w="1497" w:type="dxa"/>
            <w:noWrap/>
            <w:hideMark/>
          </w:tcPr>
          <w:p w14:paraId="7A99EBC5" w14:textId="7CE70D3B"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120.380,12 SEK</w:t>
            </w:r>
          </w:p>
        </w:tc>
      </w:tr>
      <w:tr w:rsidR="00F65E58" w:rsidRPr="00204176" w14:paraId="4E97D6EF" w14:textId="77777777"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76D9679F" w14:textId="77777777" w:rsidR="00204176" w:rsidRPr="00204176" w:rsidRDefault="00204176">
            <w:pPr>
              <w:rPr>
                <w:rFonts w:ascii="Calibri" w:eastAsia="Times New Roman" w:hAnsi="Calibri"/>
                <w:color w:val="000000"/>
                <w:sz w:val="20"/>
              </w:rPr>
            </w:pPr>
            <w:proofErr w:type="spellStart"/>
            <w:r w:rsidRPr="00204176">
              <w:rPr>
                <w:rFonts w:ascii="Calibri" w:eastAsia="Times New Roman" w:hAnsi="Calibri"/>
                <w:color w:val="000000"/>
                <w:sz w:val="20"/>
              </w:rPr>
              <w:t>Gross</w:t>
            </w:r>
            <w:proofErr w:type="spellEnd"/>
            <w:r w:rsidRPr="00204176">
              <w:rPr>
                <w:rFonts w:ascii="Calibri" w:eastAsia="Times New Roman" w:hAnsi="Calibri"/>
                <w:color w:val="000000"/>
                <w:sz w:val="20"/>
              </w:rPr>
              <w:t xml:space="preserve"> </w:t>
            </w:r>
            <w:proofErr w:type="spellStart"/>
            <w:r w:rsidRPr="00204176">
              <w:rPr>
                <w:rFonts w:ascii="Calibri" w:eastAsia="Times New Roman" w:hAnsi="Calibri"/>
                <w:color w:val="000000"/>
                <w:sz w:val="20"/>
              </w:rPr>
              <w:t>Profit</w:t>
            </w:r>
            <w:proofErr w:type="spellEnd"/>
          </w:p>
        </w:tc>
        <w:tc>
          <w:tcPr>
            <w:tcW w:w="1097" w:type="dxa"/>
            <w:noWrap/>
            <w:hideMark/>
          </w:tcPr>
          <w:p w14:paraId="18FAA2FB" w14:textId="77777777" w:rsidR="00204176" w:rsidRPr="00204176" w:rsidRDefault="0020417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60" w:type="dxa"/>
            <w:noWrap/>
            <w:hideMark/>
          </w:tcPr>
          <w:p w14:paraId="624B3A05" w14:textId="0870D56E"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99.324,17 SEK</w:t>
            </w:r>
          </w:p>
        </w:tc>
        <w:tc>
          <w:tcPr>
            <w:tcW w:w="1560" w:type="dxa"/>
            <w:noWrap/>
            <w:hideMark/>
          </w:tcPr>
          <w:p w14:paraId="7AFDAC8D" w14:textId="25A6268A"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112.326,73 SEK</w:t>
            </w:r>
          </w:p>
        </w:tc>
        <w:tc>
          <w:tcPr>
            <w:tcW w:w="1560" w:type="dxa"/>
            <w:noWrap/>
            <w:hideMark/>
          </w:tcPr>
          <w:p w14:paraId="70D19C26" w14:textId="7F8535D2"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127.031,45 SEK</w:t>
            </w:r>
          </w:p>
        </w:tc>
        <w:tc>
          <w:tcPr>
            <w:tcW w:w="1479" w:type="dxa"/>
            <w:noWrap/>
            <w:hideMark/>
          </w:tcPr>
          <w:p w14:paraId="3460529E" w14:textId="176461CC"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143.661,18 SEK</w:t>
            </w:r>
          </w:p>
        </w:tc>
        <w:tc>
          <w:tcPr>
            <w:tcW w:w="1497" w:type="dxa"/>
            <w:noWrap/>
            <w:hideMark/>
          </w:tcPr>
          <w:p w14:paraId="6E4E5821" w14:textId="41E1FF7F"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162.467,90 SEK</w:t>
            </w:r>
          </w:p>
        </w:tc>
      </w:tr>
      <w:tr w:rsidR="00F65E58" w:rsidRPr="00204176" w14:paraId="745ED7BF" w14:textId="77777777" w:rsidTr="00F65E58">
        <w:trPr>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BC88433"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SG&amp;A</w:t>
            </w:r>
          </w:p>
        </w:tc>
        <w:tc>
          <w:tcPr>
            <w:tcW w:w="1097" w:type="dxa"/>
            <w:noWrap/>
            <w:hideMark/>
          </w:tcPr>
          <w:p w14:paraId="6F41930E" w14:textId="77777777" w:rsidR="00204176" w:rsidRPr="00204176" w:rsidRDefault="0020417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60" w:type="dxa"/>
            <w:noWrap/>
            <w:hideMark/>
          </w:tcPr>
          <w:p w14:paraId="41B370C7" w14:textId="0520B0A0"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79.998,36 SEK</w:t>
            </w:r>
          </w:p>
        </w:tc>
        <w:tc>
          <w:tcPr>
            <w:tcW w:w="1560" w:type="dxa"/>
            <w:noWrap/>
            <w:hideMark/>
          </w:tcPr>
          <w:p w14:paraId="1BFA6354" w14:textId="619C702B"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90.710,14 SEK</w:t>
            </w:r>
          </w:p>
        </w:tc>
        <w:tc>
          <w:tcPr>
            <w:tcW w:w="1560" w:type="dxa"/>
            <w:noWrap/>
            <w:hideMark/>
          </w:tcPr>
          <w:p w14:paraId="6FC1499B" w14:textId="025EDD2E"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102.856,22 SEK</w:t>
            </w:r>
          </w:p>
        </w:tc>
        <w:tc>
          <w:tcPr>
            <w:tcW w:w="1479" w:type="dxa"/>
            <w:noWrap/>
            <w:hideMark/>
          </w:tcPr>
          <w:p w14:paraId="6531B312" w14:textId="20DFD1B4"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116.628,67 SEK</w:t>
            </w:r>
          </w:p>
        </w:tc>
        <w:tc>
          <w:tcPr>
            <w:tcW w:w="1497" w:type="dxa"/>
            <w:noWrap/>
            <w:hideMark/>
          </w:tcPr>
          <w:p w14:paraId="3EAFABCE" w14:textId="5949A248"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C00000"/>
                <w:sz w:val="20"/>
              </w:rPr>
            </w:pPr>
            <w:r w:rsidRPr="006F4AB6">
              <w:rPr>
                <w:rFonts w:ascii="Calibri" w:eastAsia="Times New Roman" w:hAnsi="Calibri"/>
                <w:color w:val="C00000"/>
                <w:sz w:val="20"/>
              </w:rPr>
              <w:t>132.245,25 SEK</w:t>
            </w:r>
          </w:p>
        </w:tc>
      </w:tr>
      <w:tr w:rsidR="00F65E58" w:rsidRPr="00204176" w14:paraId="54AA59EC" w14:textId="77777777"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B534DEF"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EBITDA</w:t>
            </w:r>
          </w:p>
        </w:tc>
        <w:tc>
          <w:tcPr>
            <w:tcW w:w="1097" w:type="dxa"/>
            <w:noWrap/>
            <w:hideMark/>
          </w:tcPr>
          <w:p w14:paraId="0634C8C9" w14:textId="77777777" w:rsidR="00204176" w:rsidRPr="00204176" w:rsidRDefault="0020417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60" w:type="dxa"/>
            <w:noWrap/>
            <w:hideMark/>
          </w:tcPr>
          <w:p w14:paraId="32078AD5" w14:textId="4E4524B1"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19.325,81 SEK</w:t>
            </w:r>
          </w:p>
        </w:tc>
        <w:tc>
          <w:tcPr>
            <w:tcW w:w="1560" w:type="dxa"/>
            <w:noWrap/>
            <w:hideMark/>
          </w:tcPr>
          <w:p w14:paraId="6665CF9D" w14:textId="2C15DF6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21.616,59 SEK</w:t>
            </w:r>
          </w:p>
        </w:tc>
        <w:tc>
          <w:tcPr>
            <w:tcW w:w="1560" w:type="dxa"/>
            <w:noWrap/>
            <w:hideMark/>
          </w:tcPr>
          <w:p w14:paraId="6ADAA9C0" w14:textId="4FED5901"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24.175,23 SEK</w:t>
            </w:r>
          </w:p>
        </w:tc>
        <w:tc>
          <w:tcPr>
            <w:tcW w:w="1479" w:type="dxa"/>
            <w:noWrap/>
            <w:hideMark/>
          </w:tcPr>
          <w:p w14:paraId="61AF2448" w14:textId="3F8181B4"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27.032,50 SEK</w:t>
            </w:r>
          </w:p>
        </w:tc>
        <w:tc>
          <w:tcPr>
            <w:tcW w:w="1497" w:type="dxa"/>
            <w:noWrap/>
            <w:hideMark/>
          </w:tcPr>
          <w:p w14:paraId="170FCFFA" w14:textId="167D7F21"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30.222,65 SEK</w:t>
            </w:r>
          </w:p>
        </w:tc>
      </w:tr>
      <w:tr w:rsidR="00F65E58" w:rsidRPr="00204176" w14:paraId="486A09EE" w14:textId="77777777" w:rsidTr="00F65E58">
        <w:trPr>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32F8938C" w14:textId="77777777" w:rsidR="00204176" w:rsidRPr="00204176" w:rsidRDefault="00204176">
            <w:pPr>
              <w:rPr>
                <w:rFonts w:ascii="Calibri" w:eastAsia="Times New Roman" w:hAnsi="Calibri"/>
                <w:color w:val="000000"/>
                <w:sz w:val="20"/>
              </w:rPr>
            </w:pPr>
            <w:proofErr w:type="spellStart"/>
            <w:r w:rsidRPr="00204176">
              <w:rPr>
                <w:rFonts w:ascii="Calibri" w:eastAsia="Times New Roman" w:hAnsi="Calibri"/>
                <w:color w:val="000000"/>
                <w:sz w:val="20"/>
              </w:rPr>
              <w:t>Depreciation</w:t>
            </w:r>
            <w:proofErr w:type="spellEnd"/>
          </w:p>
        </w:tc>
        <w:tc>
          <w:tcPr>
            <w:tcW w:w="1097" w:type="dxa"/>
            <w:noWrap/>
            <w:hideMark/>
          </w:tcPr>
          <w:p w14:paraId="2FB67511" w14:textId="77777777" w:rsidR="00204176" w:rsidRPr="00204176" w:rsidRDefault="0020417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60" w:type="dxa"/>
            <w:noWrap/>
            <w:hideMark/>
          </w:tcPr>
          <w:p w14:paraId="05B5DBA1"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2984,12014</w:t>
            </w:r>
          </w:p>
        </w:tc>
        <w:tc>
          <w:tcPr>
            <w:tcW w:w="1560" w:type="dxa"/>
            <w:noWrap/>
            <w:hideMark/>
          </w:tcPr>
          <w:p w14:paraId="2CB769C9"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3692,251849</w:t>
            </w:r>
          </w:p>
        </w:tc>
        <w:tc>
          <w:tcPr>
            <w:tcW w:w="1560" w:type="dxa"/>
            <w:noWrap/>
            <w:hideMark/>
          </w:tcPr>
          <w:p w14:paraId="136203A3"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4568,423213</w:t>
            </w:r>
          </w:p>
        </w:tc>
        <w:tc>
          <w:tcPr>
            <w:tcW w:w="1479" w:type="dxa"/>
            <w:noWrap/>
            <w:hideMark/>
          </w:tcPr>
          <w:p w14:paraId="32323FDC"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5652,510041</w:t>
            </w:r>
          </w:p>
        </w:tc>
        <w:tc>
          <w:tcPr>
            <w:tcW w:w="1497" w:type="dxa"/>
            <w:noWrap/>
            <w:hideMark/>
          </w:tcPr>
          <w:p w14:paraId="4CC8A4E0"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6993,850674</w:t>
            </w:r>
          </w:p>
        </w:tc>
      </w:tr>
      <w:tr w:rsidR="00F65E58" w:rsidRPr="00204176" w14:paraId="7D4241BD" w14:textId="77777777"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6CB4E545"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EBIT</w:t>
            </w:r>
          </w:p>
        </w:tc>
        <w:tc>
          <w:tcPr>
            <w:tcW w:w="1097" w:type="dxa"/>
            <w:noWrap/>
            <w:hideMark/>
          </w:tcPr>
          <w:p w14:paraId="2B7D91D9" w14:textId="77777777" w:rsidR="00204176" w:rsidRPr="00204176" w:rsidRDefault="0020417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60" w:type="dxa"/>
            <w:noWrap/>
            <w:hideMark/>
          </w:tcPr>
          <w:p w14:paraId="0B510CE0" w14:textId="2298A924"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16.341,69 SEK</w:t>
            </w:r>
          </w:p>
        </w:tc>
        <w:tc>
          <w:tcPr>
            <w:tcW w:w="1560" w:type="dxa"/>
            <w:noWrap/>
            <w:hideMark/>
          </w:tcPr>
          <w:p w14:paraId="3F679516" w14:textId="19789923"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17.924,34 SEK</w:t>
            </w:r>
          </w:p>
        </w:tc>
        <w:tc>
          <w:tcPr>
            <w:tcW w:w="1560" w:type="dxa"/>
            <w:noWrap/>
            <w:hideMark/>
          </w:tcPr>
          <w:p w14:paraId="03CF512D" w14:textId="492D3FDA"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19.606,80 SEK</w:t>
            </w:r>
          </w:p>
        </w:tc>
        <w:tc>
          <w:tcPr>
            <w:tcW w:w="1479" w:type="dxa"/>
            <w:noWrap/>
            <w:hideMark/>
          </w:tcPr>
          <w:p w14:paraId="4369D934" w14:textId="1BE895B7"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21.379,99 SEK</w:t>
            </w:r>
          </w:p>
        </w:tc>
        <w:tc>
          <w:tcPr>
            <w:tcW w:w="1497" w:type="dxa"/>
            <w:noWrap/>
            <w:hideMark/>
          </w:tcPr>
          <w:p w14:paraId="4EBE8006" w14:textId="3C13199A"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23.228,80 SEK</w:t>
            </w:r>
          </w:p>
        </w:tc>
      </w:tr>
      <w:tr w:rsidR="00F65E58" w:rsidRPr="00204176" w14:paraId="718A6E92" w14:textId="77777777" w:rsidTr="00F65E58">
        <w:trPr>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1E95DDD4" w14:textId="77777777" w:rsidR="00204176" w:rsidRPr="00204176" w:rsidRDefault="00204176">
            <w:pPr>
              <w:rPr>
                <w:rFonts w:ascii="Calibri" w:eastAsia="Times New Roman" w:hAnsi="Calibri"/>
                <w:color w:val="000000"/>
                <w:sz w:val="20"/>
              </w:rPr>
            </w:pPr>
            <w:proofErr w:type="spellStart"/>
            <w:r w:rsidRPr="00204176">
              <w:rPr>
                <w:rFonts w:ascii="Calibri" w:eastAsia="Times New Roman" w:hAnsi="Calibri"/>
                <w:color w:val="000000"/>
                <w:sz w:val="20"/>
              </w:rPr>
              <w:t>Taxes</w:t>
            </w:r>
            <w:proofErr w:type="spellEnd"/>
            <w:r w:rsidRPr="00204176">
              <w:rPr>
                <w:rFonts w:ascii="Calibri" w:eastAsia="Times New Roman" w:hAnsi="Calibri"/>
                <w:color w:val="000000"/>
                <w:sz w:val="20"/>
              </w:rPr>
              <w:t xml:space="preserve"> (22,5%)</w:t>
            </w:r>
          </w:p>
        </w:tc>
        <w:tc>
          <w:tcPr>
            <w:tcW w:w="1097" w:type="dxa"/>
            <w:noWrap/>
            <w:hideMark/>
          </w:tcPr>
          <w:p w14:paraId="1F386CF5" w14:textId="77777777" w:rsidR="00204176" w:rsidRPr="00204176" w:rsidRDefault="0020417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60" w:type="dxa"/>
            <w:noWrap/>
            <w:hideMark/>
          </w:tcPr>
          <w:p w14:paraId="52B8A9ED" w14:textId="3732F231"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3.676,88 SEK</w:t>
            </w:r>
          </w:p>
        </w:tc>
        <w:tc>
          <w:tcPr>
            <w:tcW w:w="1560" w:type="dxa"/>
            <w:noWrap/>
            <w:hideMark/>
          </w:tcPr>
          <w:p w14:paraId="115BC869" w14:textId="73AD25C3"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4.032,98 SEK</w:t>
            </w:r>
          </w:p>
        </w:tc>
        <w:tc>
          <w:tcPr>
            <w:tcW w:w="1560" w:type="dxa"/>
            <w:noWrap/>
            <w:hideMark/>
          </w:tcPr>
          <w:p w14:paraId="0924196C" w14:textId="7FDEFC96"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4.411,53 SEK</w:t>
            </w:r>
          </w:p>
        </w:tc>
        <w:tc>
          <w:tcPr>
            <w:tcW w:w="1479" w:type="dxa"/>
            <w:noWrap/>
            <w:hideMark/>
          </w:tcPr>
          <w:p w14:paraId="48EFFD54" w14:textId="4297AB3F"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4.810,50 SEK</w:t>
            </w:r>
          </w:p>
        </w:tc>
        <w:tc>
          <w:tcPr>
            <w:tcW w:w="1497" w:type="dxa"/>
            <w:noWrap/>
            <w:hideMark/>
          </w:tcPr>
          <w:p w14:paraId="39D66917" w14:textId="16A08C9E"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5.226,48 SEK</w:t>
            </w:r>
          </w:p>
        </w:tc>
      </w:tr>
      <w:tr w:rsidR="00F65E58" w:rsidRPr="00204176" w14:paraId="59AF2AB6" w14:textId="77777777"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7E5E8EE"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NOPAT</w:t>
            </w:r>
          </w:p>
        </w:tc>
        <w:tc>
          <w:tcPr>
            <w:tcW w:w="1097" w:type="dxa"/>
            <w:noWrap/>
            <w:hideMark/>
          </w:tcPr>
          <w:p w14:paraId="337541AD" w14:textId="77777777" w:rsidR="00204176" w:rsidRPr="00204176" w:rsidRDefault="0020417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60" w:type="dxa"/>
            <w:noWrap/>
            <w:hideMark/>
          </w:tcPr>
          <w:p w14:paraId="34655FDE" w14:textId="2059692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12.664,81 SEK</w:t>
            </w:r>
          </w:p>
        </w:tc>
        <w:tc>
          <w:tcPr>
            <w:tcW w:w="1560" w:type="dxa"/>
            <w:noWrap/>
            <w:hideMark/>
          </w:tcPr>
          <w:p w14:paraId="301B8F35" w14:textId="79F03762"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13.891,36 SEK</w:t>
            </w:r>
          </w:p>
        </w:tc>
        <w:tc>
          <w:tcPr>
            <w:tcW w:w="1560" w:type="dxa"/>
            <w:noWrap/>
            <w:hideMark/>
          </w:tcPr>
          <w:p w14:paraId="2C51A9A4" w14:textId="2DE663F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15.195,27 SEK</w:t>
            </w:r>
          </w:p>
        </w:tc>
        <w:tc>
          <w:tcPr>
            <w:tcW w:w="1479" w:type="dxa"/>
            <w:noWrap/>
            <w:hideMark/>
          </w:tcPr>
          <w:p w14:paraId="53E5B3B2" w14:textId="63DA3640"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16.569,49 SEK</w:t>
            </w:r>
          </w:p>
        </w:tc>
        <w:tc>
          <w:tcPr>
            <w:tcW w:w="1497" w:type="dxa"/>
            <w:noWrap/>
            <w:hideMark/>
          </w:tcPr>
          <w:p w14:paraId="2E2B9991" w14:textId="1157F53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18.002,32 SEK</w:t>
            </w:r>
          </w:p>
        </w:tc>
      </w:tr>
      <w:tr w:rsidR="00F65E58" w:rsidRPr="00204176" w14:paraId="080573EC" w14:textId="77777777" w:rsidTr="00F65E58">
        <w:trPr>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5F792E13"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 xml:space="preserve">Net Project </w:t>
            </w:r>
            <w:proofErr w:type="spellStart"/>
            <w:r w:rsidRPr="00204176">
              <w:rPr>
                <w:rFonts w:ascii="Calibri" w:eastAsia="Times New Roman" w:hAnsi="Calibri"/>
                <w:color w:val="000000"/>
                <w:sz w:val="20"/>
              </w:rPr>
              <w:t>CapEx</w:t>
            </w:r>
            <w:proofErr w:type="spellEnd"/>
          </w:p>
        </w:tc>
        <w:tc>
          <w:tcPr>
            <w:tcW w:w="1097" w:type="dxa"/>
            <w:noWrap/>
            <w:hideMark/>
          </w:tcPr>
          <w:p w14:paraId="05275E65" w14:textId="77777777" w:rsidR="00204176" w:rsidRPr="00204176" w:rsidRDefault="00204176">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60" w:type="dxa"/>
            <w:noWrap/>
            <w:hideMark/>
          </w:tcPr>
          <w:p w14:paraId="525D00E3"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2861,6007</w:t>
            </w:r>
          </w:p>
        </w:tc>
        <w:tc>
          <w:tcPr>
            <w:tcW w:w="1560" w:type="dxa"/>
            <w:noWrap/>
            <w:hideMark/>
          </w:tcPr>
          <w:p w14:paraId="54F7E725"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3540,658546</w:t>
            </w:r>
          </w:p>
        </w:tc>
        <w:tc>
          <w:tcPr>
            <w:tcW w:w="1560" w:type="dxa"/>
            <w:noWrap/>
            <w:hideMark/>
          </w:tcPr>
          <w:p w14:paraId="456B58BF"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4380,856819</w:t>
            </w:r>
          </w:p>
        </w:tc>
        <w:tc>
          <w:tcPr>
            <w:tcW w:w="1479" w:type="dxa"/>
            <w:noWrap/>
            <w:hideMark/>
          </w:tcPr>
          <w:p w14:paraId="42387D37"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5420,434142</w:t>
            </w:r>
          </w:p>
        </w:tc>
        <w:tc>
          <w:tcPr>
            <w:tcW w:w="1497" w:type="dxa"/>
            <w:noWrap/>
            <w:hideMark/>
          </w:tcPr>
          <w:p w14:paraId="0C287B0E" w14:textId="77777777" w:rsidR="00204176" w:rsidRPr="0020417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2539,953759</w:t>
            </w:r>
          </w:p>
        </w:tc>
      </w:tr>
      <w:tr w:rsidR="00F65E58" w:rsidRPr="00204176" w14:paraId="1D7864FC" w14:textId="1D28F02F" w:rsidTr="00F65E5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54" w:type="dxa"/>
            <w:noWrap/>
            <w:hideMark/>
          </w:tcPr>
          <w:p w14:paraId="0A373247" w14:textId="77777777" w:rsidR="00204176" w:rsidRPr="00204176" w:rsidRDefault="00204176">
            <w:pPr>
              <w:rPr>
                <w:rFonts w:ascii="Calibri" w:eastAsia="Times New Roman" w:hAnsi="Calibri"/>
                <w:color w:val="000000"/>
                <w:sz w:val="20"/>
              </w:rPr>
            </w:pPr>
            <w:r w:rsidRPr="00204176">
              <w:rPr>
                <w:rFonts w:ascii="Calibri" w:eastAsia="Times New Roman" w:hAnsi="Calibri"/>
                <w:color w:val="000000"/>
                <w:sz w:val="20"/>
              </w:rPr>
              <w:t>CHANGE IN NET WORKING CAPITAL</w:t>
            </w:r>
          </w:p>
        </w:tc>
        <w:tc>
          <w:tcPr>
            <w:tcW w:w="1097" w:type="dxa"/>
            <w:noWrap/>
          </w:tcPr>
          <w:p w14:paraId="7B773459" w14:textId="2203C111" w:rsidR="00204176" w:rsidRPr="00204176" w:rsidRDefault="002041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p>
        </w:tc>
        <w:tc>
          <w:tcPr>
            <w:tcW w:w="1560" w:type="dxa"/>
            <w:noWrap/>
          </w:tcPr>
          <w:p w14:paraId="27203F69" w14:textId="0DAE2AB5"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-109,9167823</w:t>
            </w:r>
          </w:p>
        </w:tc>
        <w:tc>
          <w:tcPr>
            <w:tcW w:w="1560" w:type="dxa"/>
            <w:noWrap/>
          </w:tcPr>
          <w:p w14:paraId="1B2D5A1E" w14:textId="6DA9281C"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4961,413797</w:t>
            </w:r>
          </w:p>
        </w:tc>
        <w:tc>
          <w:tcPr>
            <w:tcW w:w="1560" w:type="dxa"/>
            <w:noWrap/>
          </w:tcPr>
          <w:p w14:paraId="35E6E280" w14:textId="0D74A985"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5617,174855</w:t>
            </w:r>
          </w:p>
        </w:tc>
        <w:tc>
          <w:tcPr>
            <w:tcW w:w="1479" w:type="dxa"/>
            <w:noWrap/>
          </w:tcPr>
          <w:p w14:paraId="758C2BC7" w14:textId="4F9803CB"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204176">
              <w:rPr>
                <w:rFonts w:ascii="Calibri" w:eastAsia="Times New Roman" w:hAnsi="Calibri"/>
                <w:color w:val="000000"/>
                <w:sz w:val="20"/>
              </w:rPr>
              <w:t>6359,620123</w:t>
            </w:r>
          </w:p>
        </w:tc>
        <w:tc>
          <w:tcPr>
            <w:tcW w:w="1497" w:type="dxa"/>
          </w:tcPr>
          <w:p w14:paraId="4692ED80" w14:textId="15D67098" w:rsidR="00204176" w:rsidRPr="00204176" w:rsidRDefault="00204176" w:rsidP="00F65E58">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204176">
              <w:rPr>
                <w:rFonts w:ascii="Calibri" w:eastAsia="Times New Roman" w:hAnsi="Calibri"/>
                <w:color w:val="000000"/>
                <w:sz w:val="20"/>
              </w:rPr>
              <w:t>7200,209709</w:t>
            </w:r>
          </w:p>
        </w:tc>
      </w:tr>
      <w:tr w:rsidR="00F65E58" w:rsidRPr="00204176" w14:paraId="1D517EA0" w14:textId="77777777" w:rsidTr="006F4AB6">
        <w:trPr>
          <w:trHeight w:val="414"/>
        </w:trPr>
        <w:tc>
          <w:tcPr>
            <w:cnfStyle w:val="001000000000" w:firstRow="0" w:lastRow="0" w:firstColumn="1" w:lastColumn="0" w:oddVBand="0" w:evenVBand="0" w:oddHBand="0" w:evenHBand="0" w:firstRowFirstColumn="0" w:firstRowLastColumn="0" w:lastRowFirstColumn="0" w:lastRowLastColumn="0"/>
            <w:tcW w:w="1454" w:type="dxa"/>
            <w:shd w:val="clear" w:color="auto" w:fill="FFE599" w:themeFill="accent4" w:themeFillTint="66"/>
            <w:noWrap/>
            <w:hideMark/>
          </w:tcPr>
          <w:p w14:paraId="60AE54E6" w14:textId="77777777" w:rsidR="00204176" w:rsidRPr="006F4AB6" w:rsidRDefault="00204176">
            <w:pPr>
              <w:rPr>
                <w:rFonts w:ascii="Calibri" w:eastAsia="Times New Roman" w:hAnsi="Calibri"/>
                <w:color w:val="000000"/>
                <w:sz w:val="21"/>
              </w:rPr>
            </w:pPr>
            <w:r w:rsidRPr="006F4AB6">
              <w:rPr>
                <w:rFonts w:ascii="Calibri" w:eastAsia="Times New Roman" w:hAnsi="Calibri"/>
                <w:color w:val="000000"/>
                <w:sz w:val="21"/>
              </w:rPr>
              <w:t>FCF</w:t>
            </w:r>
          </w:p>
        </w:tc>
        <w:tc>
          <w:tcPr>
            <w:tcW w:w="1097" w:type="dxa"/>
            <w:shd w:val="clear" w:color="auto" w:fill="FFE599" w:themeFill="accent4" w:themeFillTint="66"/>
            <w:noWrap/>
            <w:hideMark/>
          </w:tcPr>
          <w:p w14:paraId="4D94AE91" w14:textId="77777777" w:rsidR="00204176" w:rsidRPr="006F4AB6" w:rsidRDefault="00204176">
            <w:pPr>
              <w:cnfStyle w:val="000000000000" w:firstRow="0" w:lastRow="0" w:firstColumn="0" w:lastColumn="0" w:oddVBand="0" w:evenVBand="0" w:oddHBand="0" w:evenHBand="0" w:firstRowFirstColumn="0" w:firstRowLastColumn="0" w:lastRowFirstColumn="0" w:lastRowLastColumn="0"/>
              <w:rPr>
                <w:rFonts w:eastAsia="Times New Roman"/>
                <w:b/>
                <w:sz w:val="21"/>
                <w:szCs w:val="20"/>
              </w:rPr>
            </w:pPr>
          </w:p>
        </w:tc>
        <w:tc>
          <w:tcPr>
            <w:tcW w:w="1560" w:type="dxa"/>
            <w:shd w:val="clear" w:color="auto" w:fill="FFE599" w:themeFill="accent4" w:themeFillTint="66"/>
            <w:noWrap/>
            <w:hideMark/>
          </w:tcPr>
          <w:p w14:paraId="5BF9C15F" w14:textId="6EF8E1E3"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1"/>
              </w:rPr>
            </w:pPr>
            <w:r w:rsidRPr="006F4AB6">
              <w:rPr>
                <w:rFonts w:ascii="Calibri" w:eastAsia="Times New Roman" w:hAnsi="Calibri"/>
                <w:b/>
                <w:color w:val="000000"/>
                <w:sz w:val="21"/>
              </w:rPr>
              <w:t>12.897,25 SEK</w:t>
            </w:r>
          </w:p>
        </w:tc>
        <w:tc>
          <w:tcPr>
            <w:tcW w:w="1560" w:type="dxa"/>
            <w:shd w:val="clear" w:color="auto" w:fill="FFE599" w:themeFill="accent4" w:themeFillTint="66"/>
            <w:noWrap/>
            <w:hideMark/>
          </w:tcPr>
          <w:p w14:paraId="177C4B68" w14:textId="309E39CE"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1"/>
              </w:rPr>
            </w:pPr>
            <w:r w:rsidRPr="006F4AB6">
              <w:rPr>
                <w:rFonts w:ascii="Calibri" w:eastAsia="Times New Roman" w:hAnsi="Calibri"/>
                <w:b/>
                <w:color w:val="000000"/>
                <w:sz w:val="21"/>
              </w:rPr>
              <w:t>9.081,54 SEK</w:t>
            </w:r>
          </w:p>
        </w:tc>
        <w:tc>
          <w:tcPr>
            <w:tcW w:w="1560" w:type="dxa"/>
            <w:shd w:val="clear" w:color="auto" w:fill="FFE599" w:themeFill="accent4" w:themeFillTint="66"/>
            <w:noWrap/>
            <w:hideMark/>
          </w:tcPr>
          <w:p w14:paraId="16658BDB" w14:textId="79B40282"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1"/>
              </w:rPr>
            </w:pPr>
            <w:r w:rsidRPr="006F4AB6">
              <w:rPr>
                <w:rFonts w:ascii="Calibri" w:eastAsia="Times New Roman" w:hAnsi="Calibri"/>
                <w:b/>
                <w:color w:val="000000"/>
                <w:sz w:val="21"/>
              </w:rPr>
              <w:t>9.765,66 SEK</w:t>
            </w:r>
          </w:p>
        </w:tc>
        <w:tc>
          <w:tcPr>
            <w:tcW w:w="1479" w:type="dxa"/>
            <w:shd w:val="clear" w:color="auto" w:fill="FFE599" w:themeFill="accent4" w:themeFillTint="66"/>
            <w:noWrap/>
            <w:hideMark/>
          </w:tcPr>
          <w:p w14:paraId="50B31771" w14:textId="3AAAE6BF"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1"/>
              </w:rPr>
            </w:pPr>
            <w:r w:rsidRPr="006F4AB6">
              <w:rPr>
                <w:rFonts w:ascii="Calibri" w:eastAsia="Times New Roman" w:hAnsi="Calibri"/>
                <w:b/>
                <w:color w:val="000000"/>
                <w:sz w:val="21"/>
              </w:rPr>
              <w:t>10.441,95 SEK</w:t>
            </w:r>
          </w:p>
        </w:tc>
        <w:tc>
          <w:tcPr>
            <w:tcW w:w="1497" w:type="dxa"/>
            <w:shd w:val="clear" w:color="auto" w:fill="FFE599" w:themeFill="accent4" w:themeFillTint="66"/>
            <w:noWrap/>
            <w:hideMark/>
          </w:tcPr>
          <w:p w14:paraId="01971D73" w14:textId="73DA531D" w:rsidR="00204176" w:rsidRPr="006F4AB6" w:rsidRDefault="00204176" w:rsidP="00F65E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1"/>
              </w:rPr>
            </w:pPr>
            <w:r w:rsidRPr="006F4AB6">
              <w:rPr>
                <w:rFonts w:ascii="Calibri" w:eastAsia="Times New Roman" w:hAnsi="Calibri"/>
                <w:b/>
                <w:color w:val="000000"/>
                <w:sz w:val="21"/>
              </w:rPr>
              <w:t>15.256,01 SEK</w:t>
            </w:r>
          </w:p>
        </w:tc>
      </w:tr>
    </w:tbl>
    <w:p w14:paraId="4B679006" w14:textId="77777777" w:rsidR="00050752" w:rsidRDefault="00050752" w:rsidP="00050752">
      <w:pPr>
        <w:spacing w:line="276" w:lineRule="auto"/>
        <w:jc w:val="both"/>
        <w:rPr>
          <w:lang w:val="en-GB"/>
        </w:rPr>
      </w:pPr>
    </w:p>
    <w:p w14:paraId="5F0D26B8" w14:textId="77777777" w:rsidR="00050752" w:rsidRDefault="00050752" w:rsidP="00050752">
      <w:pPr>
        <w:spacing w:line="276" w:lineRule="auto"/>
        <w:jc w:val="both"/>
        <w:rPr>
          <w:lang w:val="en-GB"/>
        </w:rPr>
      </w:pPr>
    </w:p>
    <w:p w14:paraId="16935A4E" w14:textId="77777777" w:rsidR="00050752" w:rsidRPr="00050752" w:rsidRDefault="00050752" w:rsidP="00050752">
      <w:pPr>
        <w:spacing w:line="276" w:lineRule="auto"/>
        <w:jc w:val="both"/>
        <w:rPr>
          <w:lang w:val="en-GB"/>
        </w:rPr>
      </w:pPr>
    </w:p>
    <w:sectPr w:rsidR="00050752" w:rsidRPr="00050752" w:rsidSect="005B5ED2">
      <w:pgSz w:w="11900" w:h="16840"/>
      <w:pgMar w:top="1417" w:right="909" w:bottom="1417"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A4FA8"/>
    <w:multiLevelType w:val="hybridMultilevel"/>
    <w:tmpl w:val="86B44B7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97"/>
    <w:rsid w:val="0004635E"/>
    <w:rsid w:val="00050752"/>
    <w:rsid w:val="001F3561"/>
    <w:rsid w:val="00204176"/>
    <w:rsid w:val="00212F5A"/>
    <w:rsid w:val="003B22F9"/>
    <w:rsid w:val="005B5ED2"/>
    <w:rsid w:val="005D7DD5"/>
    <w:rsid w:val="00655A99"/>
    <w:rsid w:val="00670AF8"/>
    <w:rsid w:val="00685B6B"/>
    <w:rsid w:val="006F4AB6"/>
    <w:rsid w:val="007025B4"/>
    <w:rsid w:val="00704B02"/>
    <w:rsid w:val="007350E0"/>
    <w:rsid w:val="00790769"/>
    <w:rsid w:val="00810D24"/>
    <w:rsid w:val="00815C97"/>
    <w:rsid w:val="008E6712"/>
    <w:rsid w:val="009F2C5B"/>
    <w:rsid w:val="00A30510"/>
    <w:rsid w:val="00A633B8"/>
    <w:rsid w:val="00A775DF"/>
    <w:rsid w:val="00B13429"/>
    <w:rsid w:val="00B23920"/>
    <w:rsid w:val="00CF3A64"/>
    <w:rsid w:val="00D35714"/>
    <w:rsid w:val="00F063E5"/>
    <w:rsid w:val="00F5244C"/>
    <w:rsid w:val="00F65E58"/>
    <w:rsid w:val="00F67B6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7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3B8"/>
    <w:rPr>
      <w:rFonts w:ascii="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815C97"/>
    <w:rPr>
      <w:rFonts w:ascii="Courier" w:eastAsia="Calibri" w:hAnsi="Courier"/>
      <w:sz w:val="21"/>
      <w:szCs w:val="21"/>
      <w:lang w:val="en-GB" w:eastAsia="en-US"/>
    </w:rPr>
  </w:style>
  <w:style w:type="character" w:customStyle="1" w:styleId="TextosinformatoCar">
    <w:name w:val="Texto sin formato Car"/>
    <w:basedOn w:val="Fuentedeprrafopredeter"/>
    <w:link w:val="Textosinformato"/>
    <w:uiPriority w:val="99"/>
    <w:rsid w:val="00815C97"/>
    <w:rPr>
      <w:rFonts w:ascii="Courier" w:eastAsia="Calibri" w:hAnsi="Courier" w:cs="Times New Roman"/>
      <w:sz w:val="21"/>
      <w:szCs w:val="21"/>
      <w:lang w:val="en-GB"/>
    </w:rPr>
  </w:style>
  <w:style w:type="character" w:styleId="Textodelmarcadordeposicin">
    <w:name w:val="Placeholder Text"/>
    <w:basedOn w:val="Fuentedeprrafopredeter"/>
    <w:uiPriority w:val="99"/>
    <w:semiHidden/>
    <w:rsid w:val="003B22F9"/>
    <w:rPr>
      <w:color w:val="808080"/>
    </w:rPr>
  </w:style>
  <w:style w:type="table" w:styleId="Tablanormal1">
    <w:name w:val="Plain Table 1"/>
    <w:basedOn w:val="Tablanormal"/>
    <w:uiPriority w:val="41"/>
    <w:rsid w:val="00A3051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D3571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35714"/>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D357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3">
    <w:name w:val="Grid Table 1 Light Accent 3"/>
    <w:basedOn w:val="Tablanormal"/>
    <w:uiPriority w:val="46"/>
    <w:rsid w:val="00D357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B23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B2392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050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10115">
      <w:bodyDiv w:val="1"/>
      <w:marLeft w:val="0"/>
      <w:marRight w:val="0"/>
      <w:marTop w:val="0"/>
      <w:marBottom w:val="0"/>
      <w:divBdr>
        <w:top w:val="none" w:sz="0" w:space="0" w:color="auto"/>
        <w:left w:val="none" w:sz="0" w:space="0" w:color="auto"/>
        <w:bottom w:val="none" w:sz="0" w:space="0" w:color="auto"/>
        <w:right w:val="none" w:sz="0" w:space="0" w:color="auto"/>
      </w:divBdr>
    </w:div>
    <w:div w:id="430324820">
      <w:bodyDiv w:val="1"/>
      <w:marLeft w:val="0"/>
      <w:marRight w:val="0"/>
      <w:marTop w:val="0"/>
      <w:marBottom w:val="0"/>
      <w:divBdr>
        <w:top w:val="none" w:sz="0" w:space="0" w:color="auto"/>
        <w:left w:val="none" w:sz="0" w:space="0" w:color="auto"/>
        <w:bottom w:val="none" w:sz="0" w:space="0" w:color="auto"/>
        <w:right w:val="none" w:sz="0" w:space="0" w:color="auto"/>
      </w:divBdr>
    </w:div>
    <w:div w:id="490489285">
      <w:bodyDiv w:val="1"/>
      <w:marLeft w:val="0"/>
      <w:marRight w:val="0"/>
      <w:marTop w:val="0"/>
      <w:marBottom w:val="0"/>
      <w:divBdr>
        <w:top w:val="none" w:sz="0" w:space="0" w:color="auto"/>
        <w:left w:val="none" w:sz="0" w:space="0" w:color="auto"/>
        <w:bottom w:val="none" w:sz="0" w:space="0" w:color="auto"/>
        <w:right w:val="none" w:sz="0" w:space="0" w:color="auto"/>
      </w:divBdr>
    </w:div>
    <w:div w:id="566037699">
      <w:bodyDiv w:val="1"/>
      <w:marLeft w:val="0"/>
      <w:marRight w:val="0"/>
      <w:marTop w:val="0"/>
      <w:marBottom w:val="0"/>
      <w:divBdr>
        <w:top w:val="none" w:sz="0" w:space="0" w:color="auto"/>
        <w:left w:val="none" w:sz="0" w:space="0" w:color="auto"/>
        <w:bottom w:val="none" w:sz="0" w:space="0" w:color="auto"/>
        <w:right w:val="none" w:sz="0" w:space="0" w:color="auto"/>
      </w:divBdr>
    </w:div>
    <w:div w:id="692733476">
      <w:bodyDiv w:val="1"/>
      <w:marLeft w:val="0"/>
      <w:marRight w:val="0"/>
      <w:marTop w:val="0"/>
      <w:marBottom w:val="0"/>
      <w:divBdr>
        <w:top w:val="none" w:sz="0" w:space="0" w:color="auto"/>
        <w:left w:val="none" w:sz="0" w:space="0" w:color="auto"/>
        <w:bottom w:val="none" w:sz="0" w:space="0" w:color="auto"/>
        <w:right w:val="none" w:sz="0" w:space="0" w:color="auto"/>
      </w:divBdr>
    </w:div>
    <w:div w:id="1403865175">
      <w:bodyDiv w:val="1"/>
      <w:marLeft w:val="0"/>
      <w:marRight w:val="0"/>
      <w:marTop w:val="0"/>
      <w:marBottom w:val="0"/>
      <w:divBdr>
        <w:top w:val="none" w:sz="0" w:space="0" w:color="auto"/>
        <w:left w:val="none" w:sz="0" w:space="0" w:color="auto"/>
        <w:bottom w:val="none" w:sz="0" w:space="0" w:color="auto"/>
        <w:right w:val="none" w:sz="0" w:space="0" w:color="auto"/>
      </w:divBdr>
    </w:div>
    <w:div w:id="1493838711">
      <w:bodyDiv w:val="1"/>
      <w:marLeft w:val="0"/>
      <w:marRight w:val="0"/>
      <w:marTop w:val="0"/>
      <w:marBottom w:val="0"/>
      <w:divBdr>
        <w:top w:val="none" w:sz="0" w:space="0" w:color="auto"/>
        <w:left w:val="none" w:sz="0" w:space="0" w:color="auto"/>
        <w:bottom w:val="none" w:sz="0" w:space="0" w:color="auto"/>
        <w:right w:val="none" w:sz="0" w:space="0" w:color="auto"/>
      </w:divBdr>
    </w:div>
    <w:div w:id="1708410396">
      <w:bodyDiv w:val="1"/>
      <w:marLeft w:val="0"/>
      <w:marRight w:val="0"/>
      <w:marTop w:val="0"/>
      <w:marBottom w:val="0"/>
      <w:divBdr>
        <w:top w:val="none" w:sz="0" w:space="0" w:color="auto"/>
        <w:left w:val="none" w:sz="0" w:space="0" w:color="auto"/>
        <w:bottom w:val="none" w:sz="0" w:space="0" w:color="auto"/>
        <w:right w:val="none" w:sz="0" w:space="0" w:color="auto"/>
      </w:divBdr>
    </w:div>
    <w:div w:id="1794666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2045</Words>
  <Characters>11253</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 FIBLA SALGADO</dc:creator>
  <cp:keywords/>
  <dc:description/>
  <cp:lastModifiedBy>ALEIX FIBLA SALGADO</cp:lastModifiedBy>
  <cp:revision>17</cp:revision>
  <dcterms:created xsi:type="dcterms:W3CDTF">2016-06-05T17:42:00Z</dcterms:created>
  <dcterms:modified xsi:type="dcterms:W3CDTF">2016-06-05T19:31:00Z</dcterms:modified>
</cp:coreProperties>
</file>