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sz w:val="32"/>
        </w:rPr>
        <w:t>PLANIFICACIÓN OFICIAL DEL SISTEMA REDINSUMOS</w:t>
      </w:r>
    </w:p>
    <w:p>
      <w:pPr>
        <w:jc w:val="center"/>
      </w:pPr>
      <w:r>
        <w:rPr>
          <w:rFonts w:ascii="Aptos" w:hAnsi="Aptos"/>
          <w:b/>
          <w:sz w:val="22"/>
        </w:rPr>
        <w:t>Alcance, prioridades y ruta de implementación del MVP</w:t>
      </w:r>
    </w:p>
    <w:p>
      <w:pPr>
        <w:jc w:val="center"/>
      </w:pPr>
      <w:r>
        <w:rPr>
          <w:rFonts w:ascii="Aptos" w:hAnsi="Aptos"/>
          <w:i/>
          <w:sz w:val="18"/>
        </w:rPr>
        <w:t>Versión 1.0 | 20 de agosto de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7"/>
              </w:rPr>
              <w:t>Línea base de datos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db_redinsumos_bolivia_mvp_v1_1_OFICIAL.sql</w:t>
            </w:r>
          </w:p>
        </w:tc>
      </w:tr>
      <w:tr>
        <w:tc>
          <w:tcPr>
            <w:tcW w:type="dxa" w:w="4986"/>
            <w:shd w:fill="E9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7"/>
              </w:rPr>
              <w:t>Tipo de proyecto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Académico - MVP</w:t>
            </w:r>
          </w:p>
        </w:tc>
      </w:tr>
      <w:tr>
        <w:tc>
          <w:tcPr>
            <w:tcW w:type="dxa" w:w="4986"/>
            <w:shd w:fill="E9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7"/>
              </w:rPr>
              <w:t>Periodo de desarrollo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1 mes, con dedicación parcial</w:t>
            </w:r>
          </w:p>
        </w:tc>
      </w:tr>
      <w:tr>
        <w:tc>
          <w:tcPr>
            <w:tcW w:type="dxa" w:w="4986"/>
            <w:shd w:fill="E9EEF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sz w:val="17"/>
              </w:rPr>
              <w:t>Estado del documento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 w:val="0"/>
                <w:sz w:val="17"/>
              </w:rPr>
              <w:t>PARA VALIDACIÓN Y APROBACIÓN DE LA PLANEACIÓN</w:t>
            </w:r>
          </w:p>
        </w:tc>
      </w:tr>
    </w:tbl>
    <w:p/>
    <w:p>
      <w:pPr>
        <w:pStyle w:val="Heading1"/>
      </w:pPr>
      <w:r>
        <w:t>1. Propósito</w:t>
      </w:r>
    </w:p>
    <w:p>
      <w:r>
        <w:t>Establecer la planeación oficial que guiará el desarrollo del Sistema RedInsumos a partir de la base de datos aprobada. El objetivo es asegurar una implementación terminable, demostrable y mantenible dentro de un periodo aproximado de un mes, considerando dedicación parcial.</w:t>
      </w:r>
    </w:p>
    <w:p>
      <w:pPr>
        <w:pStyle w:val="Heading1"/>
      </w:pPr>
      <w:r>
        <w:t>2. Decisiones ya cerradas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La línea base de datos oficial es db_redinsumos_bolivia_mvp_v1_1_OFICIAL.sql, con 21 tablas del MVP, 5 roles, 2 funciones y 5 procedimientos almacenados.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Los roles oficiales son CLIENTE, ADMIN, VENDEDOR, ALMACENERO y CONTABLE.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La implementación seguirá MVC modular con separación de Services y Repositories para evitar controladores o modelos excesivamente grandes.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No se utilizarán triggers ni un motor configurable de permisos durante el MVP.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Las integraciones fiscales SIN/SIAT, promociones avanzadas, caja formal, garantías/RMA completo y múltiples proveedores por producto quedan fuera del MVP.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Durante el primer mes se prioriza cerrar el flujo completo de compra, venta asistida, cumplimiento de pedido, inventario y conciliación de pago.</w:t>
      </w:r>
    </w:p>
    <w:p>
      <w:pPr>
        <w:pStyle w:val="Heading1"/>
      </w:pPr>
      <w:r>
        <w:t>3. Alcance funcional oficial</w:t>
      </w:r>
    </w:p>
    <w:p>
      <w:r>
        <w:t>Los 36 casos de uso tentativos se clasifican en tres niveles. Esta clasificación es la referencia para decidir qué se programa y qué no se incorpora durante el mes de desarrollo.</w:t>
      </w:r>
    </w:p>
    <w:p>
      <w:pPr>
        <w:pStyle w:val="Heading2"/>
      </w:pPr>
      <w:r>
        <w:t>3.1 Casos de uso obligatorios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CU</w:t>
            </w:r>
          </w:p>
        </w:tc>
        <w:tc>
          <w:tcPr>
            <w:tcW w:type="dxa" w:w="2493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Funcionalidad</w:t>
            </w:r>
          </w:p>
        </w:tc>
        <w:tc>
          <w:tcPr>
            <w:tcW w:type="dxa" w:w="2493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Rol principal</w:t>
            </w:r>
          </w:p>
        </w:tc>
        <w:tc>
          <w:tcPr>
            <w:tcW w:type="dxa" w:w="2493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4"/>
              </w:rPr>
              <w:t>Dominio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CU-01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Registrar nueva cuenta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Identidad y Acceso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CU-02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Iniciar sesión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Todos los usuarios autenticados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Identidad y Acceso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CU-04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Cerrar sesión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Todos los usuarios autenticados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Identidad y Acceso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CU-07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Buscar producto por texto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 / VENDEDOR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Catálogo y Proveedores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CU-08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Navegar por categorías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 / VENDEDOR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Catálogo y Proveedores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CU-09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Filtrar catálogo (versión simplificada)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 / VENDEDOR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Catálogo y Proveedores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CU-11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Visualizar detalle del producto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 / VENDEDOR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Catálogo y Proveedores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CU-12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Gestionar carrito de compras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Ventas y Pedidos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CU-13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Completar datos de envío (checkout simplificado)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Ventas y Pedidos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CU-14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Completar pago y facturación (manual/simplificado)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 / VENDEDOR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Pagos y Conciliación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CU-15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Confirmar orden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 / VENDEDOR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Ventas y Pedidos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CU-16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Visualizar historial de pedidos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CLIENTE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Ventas y Pedidos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CU-22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Gestionar ABM de productos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ADMIN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Catálogo y Proveedores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CU-23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Gestionar categorías, subcategorías y marcas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ADMIN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Catálogo y Proveedores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CU-25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Gestionar flujo de pedidos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ALMACENERO / ADMIN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Inventario y Compras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CU-26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Crear pedidos manuales (venta asistida)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VENDEDOR / ADMIN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Ventas y Pedidos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CU-28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Registrar ingreso de mercadería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ALMACENERO / ADMIN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Inventario y Compras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CU-29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Realizar ajustes de inventario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ALMACENERO / ADMIN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Inventario y Compras</w:t>
            </w:r>
          </w:p>
        </w:tc>
      </w:tr>
      <w:tr>
        <w:trPr>
          <w:cantSplit/>
        </w:trPr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CU-31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Conciliar pagos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CONTABLE / ADMIN</w:t>
            </w:r>
          </w:p>
        </w:tc>
        <w:tc>
          <w:tcPr>
            <w:tcW w:type="dxa" w:w="2493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4"/>
              </w:rPr>
              <w:t>Pagos y Conciliación</w:t>
            </w:r>
          </w:p>
        </w:tc>
      </w:tr>
    </w:tbl>
    <w:p>
      <w:pPr>
        <w:pStyle w:val="Heading2"/>
      </w:pPr>
      <w:r>
        <w:t>3.2 Casos de uso condicionados a tiempo disponible</w:t>
      </w:r>
    </w:p>
    <w:p>
      <w:r>
        <w:t>Solo podrán incorporarse cuando los casos obligatorios estén estables y probados. No forman parte del criterio mínimo de aceptación del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CU</w:t>
            </w:r>
          </w:p>
        </w:tc>
        <w:tc>
          <w:tcPr>
            <w:tcW w:type="dxa" w:w="4986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Funcionalidad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CU-03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Recuperar contraseña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CU-05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Gestionar perfil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CU-06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Gestionar libreta de direcciones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CU-10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Visualizar Quick View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CU-17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Gestionar usuarios y roles (simplificado)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CU-20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Dashboard básico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CU-21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Auditar logs del sistema (consulta básica)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CU-27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Gestionar proveedores (ABM básico)</w:t>
            </w:r>
          </w:p>
        </w:tc>
      </w:tr>
    </w:tbl>
    <w:p>
      <w:pPr>
        <w:pStyle w:val="Heading2"/>
      </w:pPr>
      <w:r>
        <w:t>3.3 Casos de uso diferidos</w:t>
      </w:r>
    </w:p>
    <w:p>
      <w:r>
        <w:t>Se documentan como evolución futura y no deben consumir tiempo de implementación durante el MVP.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CU</w:t>
            </w:r>
          </w:p>
        </w:tc>
        <w:tc>
          <w:tcPr>
            <w:tcW w:type="dxa" w:w="4986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6"/>
              </w:rPr>
              <w:t>Funcionalidad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CU-18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Configurar reglas logísticas avanzadas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CU-19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Gestionar parámetros del sistema desde interfaz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CU-24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Motor de precios, promociones y cupones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CU-30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Gestionar devoluciones operativas/RMA completo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CU-32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Emitir facturas electrónicas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CU-33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Gestionar notas de crédito y débito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CU-34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Arqueo y cierre de caja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CU-35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Generar reportes impositivos</w:t>
            </w:r>
          </w:p>
        </w:tc>
      </w:tr>
      <w:tr>
        <w:trPr>
          <w:cantSplit/>
        </w:trPr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CU-36</w:t>
            </w:r>
          </w:p>
        </w:tc>
        <w:tc>
          <w:tcPr>
            <w:tcW w:type="dxa" w:w="4986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Gestionar contingencias fiscales</w:t>
            </w:r>
          </w:p>
        </w:tc>
      </w:tr>
    </w:tbl>
    <w:p>
      <w:pPr>
        <w:pStyle w:val="Heading1"/>
      </w:pPr>
      <w:r>
        <w:t>4. Módulos de implementación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Módulo</w:t>
            </w:r>
          </w:p>
        </w:tc>
        <w:tc>
          <w:tcPr>
            <w:tcW w:type="dxa" w:w="3324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Responsabilidad</w:t>
            </w:r>
          </w:p>
        </w:tc>
        <w:tc>
          <w:tcPr>
            <w:tcW w:type="dxa" w:w="3324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Roles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Identidad y Acceso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Registro, login, sesión y perfiles básicos.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CLIENTE / ADMIN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Catálogo y Proveedores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Consulta de productos y administración del catálogo.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CLIENTE / VENDEDOR / ADMIN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Ventas y Pedidos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Carrito, checkout, pedido web, venta asistida e historial.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CLIENTE / VENDEDOR / ADMIN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Pagos y Conciliación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Registro de pago y conciliación manual.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CLIENTE / VENDEDOR / CONTABLE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Inventario y Compras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Recepción, stock, ajustes y flujo operativo de pedidos.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ALMACENERO / ADMIN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Administración y Auditoría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Soporte transversal y funciones condicionadas.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ADMIN</w:t>
            </w:r>
          </w:p>
        </w:tc>
      </w:tr>
    </w:tbl>
    <w:p>
      <w:pPr>
        <w:pStyle w:val="Heading1"/>
      </w:pPr>
      <w:r>
        <w:t>5. Arquitectura de implementación</w:t>
      </w:r>
    </w:p>
    <w:p>
      <w:r>
        <w:t>Se utilizará una estructura MVC modular inspirada en principios de separación por dominio, sin aplicar una arquitectura hexagonal completa. La regla de implementación será:</w:t>
      </w:r>
    </w:p>
    <w:p>
      <w:pPr>
        <w:jc w:val="center"/>
      </w:pPr>
      <w:r>
        <w:rPr>
          <w:rFonts w:ascii="Aptos" w:hAnsi="Aptos"/>
          <w:b/>
          <w:sz w:val="22"/>
        </w:rPr>
        <w:t>Vista → Controller → Service → Repository → MySQL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Views: presentación y formularios; no contienen reglas de negocio.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Controllers: reciben la solicitud, validan datos básicos y delegan la operación.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Services: concentran reglas de negocio, coordinación transaccional y autorización de la operación.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Repositories: encapsulan consultas SQL y llamadas a funciones/procedimientos almacenados.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Models/Entities: representan estructuras de datos del dominio sin acumular lógica de interfaz.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Middleware: autenticación y validación simple de roles.</w:t>
      </w:r>
    </w:p>
    <w:p>
      <w:pPr>
        <w:pStyle w:val="Heading1"/>
      </w:pPr>
      <w:r>
        <w:t>6. Ruta de trabajo de un 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Semana</w:t>
            </w:r>
          </w:p>
        </w:tc>
        <w:tc>
          <w:tcPr>
            <w:tcW w:type="dxa" w:w="3324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Enfoque</w:t>
            </w:r>
          </w:p>
        </w:tc>
        <w:tc>
          <w:tcPr>
            <w:tcW w:type="dxa" w:w="3324"/>
            <w:shd w:fill="D9E2F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ptos" w:hAnsi="Aptos"/>
                <w:b/>
                <w:sz w:val="15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Semana 1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Preparación y núcleo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Importar/validar BD; estructura MVC; autenticación; roles; catálogo de consulta; ABM básico de productos/categorías.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Semana 2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Venta completa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Carrito; checkout simplificado; cálculo; confirmación de pedido; historial; venta asistida del VENDEDOR.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Semana 3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Operación y control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Flujo de pedidos del ALMACENERO; ingreso de mercadería; ajustes de stock; registro y conciliación de pagos.</w:t>
            </w:r>
          </w:p>
        </w:tc>
      </w:tr>
      <w:tr>
        <w:trPr>
          <w:cantSplit/>
        </w:trPr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Semana 4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Estabilización</w:t>
            </w:r>
          </w:p>
        </w:tc>
        <w:tc>
          <w:tcPr>
            <w:tcW w:type="dxa" w:w="3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Pruebas funcionales por rol; correcciones; datos de demostración; documentación técnica/usuario; preparación de presentación. No agregar funciones nuevas si el núcleo no está estable.</w:t>
            </w:r>
          </w:p>
        </w:tc>
      </w:tr>
    </w:tbl>
    <w:p>
      <w:pPr>
        <w:pStyle w:val="Heading1"/>
      </w:pPr>
      <w:r>
        <w:t>7. Criterios de aceptación del MVP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La base oficial puede importarse en MySQL 8.0+ y las relaciones principales funcionan sin errores.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Los cinco roles pueden iniciar sesión y solo acceder a las funciones definidas para su responsabilidad.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Un CLIENTE puede recorrer el catálogo, agregar productos, completar checkout, confirmar un pedido y consultar su historial.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Un VENDEDOR puede crear una venta/pedido asistido utilizando el mismo catálogo y reglas de stock.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Un ALMACENERO puede procesar pedidos, registrar ingreso de mercadería y realizar ajustes de inventario con trazabilidad.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Un CONTABLE puede revisar y conciliar un pago manual.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La confirmación/cancelación de pedidos e ingresos/ajustes de inventario mantienen coherencia entre stock y movimientos.</w:t>
      </w:r>
    </w:p>
    <w:p>
      <w:pPr>
        <w:pStyle w:val="ListBullet"/>
        <w:ind w:left="312" w:hanging="142"/>
      </w:pPr>
      <w:r>
        <w:rPr>
          <w:rFonts w:ascii="Aptos" w:hAnsi="Aptos"/>
          <w:sz w:val="18"/>
        </w:rPr>
        <w:t>No existen dependencias obligatorias de módulos fiscales, caja, promociones o garantías para demostrar el sistema.</w:t>
      </w:r>
    </w:p>
    <w:p>
      <w:pPr>
        <w:pStyle w:val="Heading1"/>
      </w:pPr>
      <w:r>
        <w:t>8. Control del alcance</w:t>
      </w:r>
    </w:p>
    <w:p>
      <w:r>
        <w:t>Toda nueva funcionalidad propuesta durante el desarrollo deberá evaluarse con una regla simple: si no es necesaria para completar un caso de uso obligatorio o corregir un defecto, se registra como mejora futura. Los casos condicionados solo se habilitan cuando el flujo obligatorio de las semanas 1 a 3 esté funcional y probado.</w:t>
      </w:r>
    </w:p>
    <w:p>
      <w:pPr>
        <w:pStyle w:val="Heading1"/>
      </w:pPr>
      <w:r>
        <w:t>9. Resultado de la planeación</w:t>
      </w:r>
    </w:p>
    <w:p>
      <w:r>
        <w:rPr>
          <w:rFonts w:ascii="Aptos" w:hAnsi="Aptos"/>
          <w:b/>
        </w:rPr>
        <w:t>La planeación se considera lista para iniciar la implementación cuando se aprueban conjuntamente esta planificación, el modelo de dominios y la base de datos oficial v1.1.</w:t>
      </w:r>
    </w:p>
    <w:p>
      <w:r>
        <w:t>A partir de esa aprobación, el trabajo debe avanzar por módulos y casos de uso definidos, evitando rediseños estructurales salvo que una prueba demuestre una necesidad real.</w:t>
      </w:r>
    </w:p>
    <w:p>
      <w:pPr>
        <w:spacing w:before="2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9EEF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6"/>
              </w:rPr>
              <w:t>Elaborado</w:t>
            </w:r>
          </w:p>
        </w:tc>
        <w:tc>
          <w:tcPr>
            <w:tcW w:type="dxa" w:w="3324"/>
            <w:shd w:fill="E9EEF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6"/>
              </w:rPr>
              <w:t>Revisado</w:t>
            </w:r>
          </w:p>
        </w:tc>
        <w:tc>
          <w:tcPr>
            <w:tcW w:type="dxa" w:w="3324"/>
            <w:shd w:fill="E9EEF5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6"/>
              </w:rPr>
              <w:t>Aprobado</w:t>
            </w:r>
          </w:p>
        </w:tc>
      </w:tr>
      <w:tr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6"/>
              </w:rPr>
              <w:t>Nombre / firma / fecha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6"/>
              </w:rPr>
              <w:t>Nombre / firma / fecha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 w:val="0"/>
                <w:sz w:val="16"/>
              </w:rPr>
              <w:t>Nombre / firma / fecha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5"/>
      </w:rPr>
      <w:t xml:space="preserve">Planificación Oficial MVP v1.0 |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sz w:val="15"/>
      </w:rPr>
      <w:t>SISTEMA REDINSUMOS | PLANEACIÓN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6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