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40"/>
        <w:jc w:val="center"/>
      </w:pPr>
      <w:r>
        <w:rPr>
          <w:rFonts w:ascii="Arial" w:hAnsi="Arial"/>
          <w:b/>
          <w:i w:val="0"/>
          <w:color w:val="2E5496"/>
          <w:sz w:val="24"/>
        </w:rPr>
        <w:t>UNIVERSIDAD DE SAN BUENAVENTURA — MEDELLÍN</w:t>
      </w:r>
    </w:p>
    <w:p>
      <w:pPr>
        <w:spacing w:after="40"/>
        <w:jc w:val="center"/>
      </w:pPr>
      <w:r>
        <w:rPr>
          <w:rFonts w:ascii="Arial" w:hAnsi="Arial"/>
          <w:b w:val="0"/>
          <w:i w:val="0"/>
          <w:color w:val="222222"/>
          <w:sz w:val="22"/>
        </w:rPr>
        <w:t>Facultad de Ingenierías</w:t>
      </w:r>
    </w:p>
    <w:p>
      <w:pPr>
        <w:spacing w:after="480"/>
        <w:jc w:val="center"/>
      </w:pPr>
      <w:r>
        <w:rPr>
          <w:rFonts w:ascii="Arial" w:hAnsi="Arial"/>
          <w:b w:val="0"/>
          <w:i w:val="0"/>
          <w:color w:val="222222"/>
          <w:sz w:val="22"/>
        </w:rPr>
        <w:t>Ruta de Formación en Configuración y Despliegue de Soluciones IoT</w:t>
      </w:r>
    </w:p>
    <w:p>
      <w:pPr>
        <w:spacing w:after="360"/>
        <w:jc w:val="center"/>
      </w:pPr>
      <w:r>
        <w:rPr>
          <w:rFonts w:ascii="Arial" w:hAnsi="Arial"/>
          <w:b w:val="0"/>
          <w:i w:val="0"/>
          <w:color w:val="555555"/>
          <w:sz w:val="22"/>
        </w:rPr>
        <w:t>Trabajo de la Ruta de Formación</w:t>
      </w:r>
    </w:p>
    <w:p>
      <w:pPr>
        <w:spacing w:after="200"/>
        <w:jc w:val="center"/>
      </w:pPr>
      <w:r>
        <w:rPr>
          <w:rFonts w:ascii="Arial" w:hAnsi="Arial"/>
          <w:b/>
          <w:i w:val="0"/>
          <w:color w:val="1F3864"/>
          <w:sz w:val="36"/>
        </w:rPr>
        <w:t>Sistema IoT de Alerta Temprana y Monitoreo Hidrometeorológico en la Microcuenca de la Quebrada La Correa, Municipio de Girardota (Antioquia)</w:t>
      </w:r>
    </w:p>
    <w:p>
      <w:pPr>
        <w:spacing w:after="520"/>
        <w:jc w:val="center"/>
      </w:pPr>
      <w:r>
        <w:rPr>
          <w:rFonts w:ascii="Arial" w:hAnsi="Arial"/>
          <w:b w:val="0"/>
          <w:i/>
          <w:color w:val="555555"/>
          <w:sz w:val="22"/>
        </w:rPr>
        <w:t>Prototipo perimetral con ESP32-S3, sensores hidrometeorológicos, arquitectura API con PostgreSQL e integración geoespacial (SIG) para la gestión del riesgo por avenidas torrenciales.</w:t>
      </w:r>
    </w:p>
    <w:p>
      <w:pPr>
        <w:spacing w:after="40"/>
        <w:jc w:val="center"/>
      </w:pPr>
      <w:r>
        <w:rPr>
          <w:rFonts w:ascii="Arial" w:hAnsi="Arial"/>
          <w:b/>
          <w:i w:val="0"/>
          <w:color w:val="222222"/>
          <w:sz w:val="22"/>
        </w:rPr>
        <w:t>Presentado por:</w:t>
      </w:r>
    </w:p>
    <w:p>
      <w:pPr>
        <w:spacing w:after="20"/>
        <w:jc w:val="center"/>
      </w:pPr>
      <w:r>
        <w:rPr>
          <w:rFonts w:ascii="Arial" w:hAnsi="Arial"/>
          <w:b w:val="0"/>
          <w:i w:val="0"/>
          <w:color w:val="222222"/>
          <w:sz w:val="22"/>
        </w:rPr>
        <w:t>Marcela Duque Duque</w:t>
      </w:r>
    </w:p>
    <w:p>
      <w:pPr>
        <w:spacing w:after="20"/>
        <w:jc w:val="center"/>
      </w:pPr>
      <w:r>
        <w:rPr>
          <w:rFonts w:ascii="Arial" w:hAnsi="Arial"/>
          <w:b w:val="0"/>
          <w:i w:val="0"/>
          <w:color w:val="222222"/>
          <w:sz w:val="22"/>
        </w:rPr>
        <w:t>Juan Santiago Luna</w:t>
      </w:r>
    </w:p>
    <w:p>
      <w:pPr>
        <w:spacing w:after="20"/>
        <w:jc w:val="center"/>
      </w:pPr>
      <w:r>
        <w:rPr>
          <w:rFonts w:ascii="Arial" w:hAnsi="Arial"/>
          <w:b w:val="0"/>
          <w:i w:val="0"/>
          <w:color w:val="222222"/>
          <w:sz w:val="22"/>
        </w:rPr>
        <w:t>María Alejandra Montoya</w:t>
      </w:r>
    </w:p>
    <w:p>
      <w:pPr>
        <w:spacing w:after="20"/>
        <w:jc w:val="center"/>
      </w:pPr>
      <w:r>
        <w:rPr>
          <w:rFonts w:ascii="Arial" w:hAnsi="Arial"/>
          <w:b w:val="0"/>
          <w:i w:val="0"/>
          <w:color w:val="222222"/>
          <w:sz w:val="22"/>
        </w:rPr>
        <w:t>Santiago Sierra</w:t>
      </w:r>
    </w:p>
    <w:p>
      <w:pPr>
        <w:spacing w:after="200"/>
      </w:pPr>
    </w:p>
    <w:p>
      <w:pPr>
        <w:spacing w:after="400"/>
        <w:jc w:val="center"/>
      </w:pPr>
      <w:r>
        <w:rPr>
          <w:rFonts w:ascii="Arial" w:hAnsi="Arial"/>
          <w:b w:val="0"/>
          <w:i w:val="0"/>
          <w:color w:val="222222"/>
          <w:sz w:val="22"/>
        </w:rPr>
        <w:t>Profesor: Ing. Cristian David Martínez Posada</w:t>
      </w:r>
    </w:p>
    <w:p>
      <w:pPr>
        <w:spacing w:after="40"/>
        <w:jc w:val="center"/>
      </w:pPr>
      <w:r>
        <w:rPr>
          <w:rFonts w:ascii="Arial" w:hAnsi="Arial"/>
          <w:b/>
          <w:i w:val="0"/>
          <w:color w:val="2E5496"/>
          <w:sz w:val="22"/>
        </w:rPr>
        <w:t>Grupo 3 · Medellín, Colombia · 2026</w:t>
      </w:r>
    </w:p>
    <w:p>
      <w:r>
        <w:br/>
      </w:r>
    </w:p>
    <w:p>
      <w:pPr>
        <w:spacing w:before="80"/>
        <w:jc w:val="both"/>
      </w:pPr>
      <w:r>
        <w:rPr>
          <w:rFonts w:ascii="Arial" w:hAnsi="Arial"/>
          <w:b/>
          <w:color w:val="1F3864"/>
          <w:sz w:val="19"/>
        </w:rPr>
        <w:t xml:space="preserve">Nota de trazabilidad epistémica. </w:t>
      </w:r>
      <w:r>
        <w:rPr>
          <w:rFonts w:ascii="Arial" w:hAnsi="Arial"/>
          <w:sz w:val="19"/>
        </w:rPr>
        <w:t>Siguiendo el protocolo de honestidad técnica del proyecto, las afirmaciones sensibles se acompañan de una etiqueta de nivel de evidencia: [HECHO] (verificable o estándar establecido), [RECOMENDACIÓN] (criterio de ingeniería justificado), [LIMITACIÓN], [A VERIFICAR] (cifra provisional o localizador por confirmar), [SUPUESTO] y [PROYECCIÓN] (escenario futuro estimado). Los productos del componente geoespacial se etiquetan [SIG] y los del componente electrónico [IoT]. Las cifras hidrológicas de diseño y las coordenadas de los equipos son productos de gabinete de carácter provisional que requieren verificación y calibración en campo.</w:t>
      </w:r>
    </w:p>
    <w:p>
      <w:r>
        <w:br/>
      </w:r>
    </w:p>
    <w:p>
      <w:pPr>
        <w:spacing w:before="280" w:after="200"/>
        <w:shd w:val="clear" w:color="auto" w:fill="1F3864"/>
        <w:outlineLvl w:val="0"/>
      </w:pPr>
      <w:r>
        <w:rPr>
          <w:rFonts w:ascii="Arial" w:hAnsi="Arial"/>
          <w:b/>
          <w:color w:val="FFFFFF"/>
          <w:sz w:val="28"/>
        </w:rPr>
        <w:t xml:space="preserve">  1.   Contexto y Planteamiento del Problema</w:t>
      </w:r>
    </w:p>
    <w:p>
      <w:pPr>
        <w:spacing w:before="240" w:after="80"/>
        <w:outlineLvl w:val="1"/>
        <w:pBdr>
          <w:bottom w:val="single" w:sz="6" w:space="2" w:color="2E5496"/>
        </w:pBdr>
      </w:pPr>
      <w:r>
        <w:rPr>
          <w:rFonts w:ascii="Arial" w:hAnsi="Arial"/>
          <w:b/>
          <w:color w:val="2E5496"/>
          <w:sz w:val="24"/>
        </w:rPr>
        <w:t>1.1  Descripción del problema</w:t>
      </w:r>
    </w:p>
    <w:p>
      <w:pPr>
        <w:spacing w:after="120"/>
        <w:jc w:val="both"/>
      </w:pPr>
      <w:r>
        <w:rPr>
          <w:rFonts w:ascii="Arial" w:hAnsi="Arial"/>
          <w:sz w:val="21"/>
        </w:rPr>
        <w:t xml:space="preserve">La microcuenca de la quebrada La Correa, ubicada en la vertiente oriental del municipio de Girardota (Antioquia), es un sistema hidrográfico de montaña de aproximadamente </w:t>
      </w:r>
      <w:r>
        <w:rPr>
          <w:rFonts w:ascii="Arial" w:hAnsi="Arial"/>
          <w:b/>
          <w:sz w:val="21"/>
        </w:rPr>
        <w:t>856 ha</w:t>
      </w:r>
      <w:r>
        <w:rPr>
          <w:rFonts w:ascii="Arial" w:hAnsi="Arial"/>
          <w:sz w:val="21"/>
        </w:rPr>
        <w:t xml:space="preserve"> (851 ha en el modelo hidrológico con quemado del cauce), delimitada sobre un Modelo Digital de Elevación LiDAR de 2 m del Área Metropolitana del Valle de Aburrá. Desde su nacimiento en la vertiente alta hasta su desembocadura directa en el río Medellín, el cauce principal atraviesa sectores con densidad de asentamientos rurales y suburbanos de las veredas San Andrés y Mercedes Ábrego. Geomorfológicamente, la cuenca presenta una configuración marcadamente alargada y encañonada (coeficiente de compacidad Kc = 2,27; orden de Strahler 5; densidad de drenaje 7,12 km/km²), lo que obliga a que la escorrentía se concentre de forma acelerada sobre un único eje de drenaje principal.</w:t>
      </w:r>
    </w:p>
    <w:p>
      <w:pPr>
        <w:spacing w:after="120"/>
        <w:jc w:val="both"/>
      </w:pPr>
      <w:r>
        <w:rPr>
          <w:rFonts w:ascii="Arial" w:hAnsi="Arial"/>
          <w:sz w:val="21"/>
        </w:rPr>
        <w:t xml:space="preserve">Esta morfometría se traduce en índices de torrencialidad críticos. De acuerdo con el análisis de teledetección y modelamiento hidrológico del proyecto, la cuenca presenta un </w:t>
      </w:r>
      <w:r>
        <w:rPr>
          <w:rFonts w:ascii="Arial" w:hAnsi="Arial"/>
          <w:b/>
          <w:sz w:val="21"/>
        </w:rPr>
        <w:t>índice de Melton de 0,472</w:t>
      </w:r>
      <w:r>
        <w:rPr>
          <w:rFonts w:ascii="Arial" w:hAnsi="Arial"/>
          <w:sz w:val="21"/>
        </w:rPr>
        <w:t xml:space="preserve">, valor que la clasifica técnicamente como un sistema propenso a flujos de detritos (*debris flood*) y avenidas torrenciales de respuesta violenta. La combinación de una pendiente media del cauce del </w:t>
      </w:r>
      <w:r>
        <w:rPr>
          <w:rFonts w:ascii="Arial" w:hAnsi="Arial"/>
          <w:b/>
          <w:sz w:val="21"/>
        </w:rPr>
        <w:t>14,6 %</w:t>
      </w:r>
      <w:r>
        <w:rPr>
          <w:rFonts w:ascii="Arial" w:hAnsi="Arial"/>
          <w:sz w:val="21"/>
        </w:rPr>
        <w:t xml:space="preserve"> con la topografía abrupta de las laderas genera un </w:t>
      </w:r>
      <w:r>
        <w:rPr>
          <w:rFonts w:ascii="Arial" w:hAnsi="Arial"/>
          <w:b/>
          <w:sz w:val="21"/>
        </w:rPr>
        <w:t>tiempo de concentración de apenas ~43 minutos</w:t>
      </w:r>
      <w:r>
        <w:rPr>
          <w:rFonts w:ascii="Arial" w:hAnsi="Arial"/>
          <w:sz w:val="21"/>
        </w:rPr>
        <w:t xml:space="preserve"> (ecuación de Kirpich): el retraso entre el pico de precipitación en la parte alta y la onda de avenida aguas abajo es extremadamente corto. El escenario se agrava por el aporte de sedimentos y suelo desnudo de las laderas —identificado con índices NDVI y BSI a partir de Sentinel-2—, que propicia movimientos en masa capaces de actuar como represamientos temporales; al fallar de forma encadenada, originan crecientes súbitas con poder destructivo amplificado por el arrastre de material.</w:t>
      </w:r>
    </w:p>
    <w:p>
      <w:pPr>
        <w:spacing w:after="120"/>
        <w:jc w:val="both"/>
      </w:pPr>
      <w:r>
        <w:rPr>
          <w:rFonts w:ascii="Arial" w:hAnsi="Arial"/>
          <w:sz w:val="21"/>
        </w:rPr>
        <w:t xml:space="preserve">La manifestación empírica de esta vulnerabilidad quedó documentada durante el evento hidrometeorológico extremo del </w:t>
      </w:r>
      <w:r>
        <w:rPr>
          <w:rFonts w:ascii="Arial" w:hAnsi="Arial"/>
          <w:b/>
          <w:sz w:val="21"/>
        </w:rPr>
        <w:t>27–28 de mayo de 2023</w:t>
      </w:r>
      <w:r>
        <w:rPr>
          <w:rFonts w:ascii="Arial" w:hAnsi="Arial"/>
          <w:sz w:val="21"/>
        </w:rPr>
        <w:t>. Una célula convectiva de alta intensidad generó precipitaciones excepcionales en el norte del Valle de Aburrá; la estación pluviométrica de la I.E. San Andrés (red SIATA) registró un acumulado de 115 mm en 24 horas [1]. La avenida torrencial resultante dejó 35 viviendas destruidas, cerca de 114 familias damnificadas y se estiman alrededor de 25.000 personas afectadas de forma directa e indirecta por la pérdida de conectividad vial y de servicios públicos [2], [3]. La magnitud del desastre obligó a la administración municipal a declarar calamidad pública y a habilitar albergues temporales.</w:t>
      </w:r>
    </w:p>
    <w:p>
      <w:pPr>
        <w:spacing w:after="120"/>
        <w:jc w:val="both"/>
      </w:pPr>
      <w:r>
        <w:rPr>
          <w:rFonts w:ascii="Arial" w:hAnsi="Arial"/>
          <w:sz w:val="21"/>
        </w:rPr>
        <w:t xml:space="preserve">A nivel técnico-institucional, el </w:t>
      </w:r>
      <w:r>
        <w:rPr>
          <w:rFonts w:ascii="Arial" w:hAnsi="Arial"/>
          <w:b/>
          <w:sz w:val="21"/>
        </w:rPr>
        <w:t>Informe Técnico de CORANTIOQUIA N.° 120-IT2307-8323</w:t>
      </w:r>
      <w:r>
        <w:rPr>
          <w:rFonts w:ascii="Arial" w:hAnsi="Arial"/>
          <w:sz w:val="21"/>
        </w:rPr>
        <w:t xml:space="preserve"> evidenció daños en infraestructura comunitaria sensible —el Hogar Santa Clara, el puente de Lázaro y la destrucción de bocatomas y acueductos veredales que abastecen a más de 8.000 habitantes— y recomendó de manera expresa implementar un Sistema de Alerta Temprana para las quebradas La Correa y El Cedro [4].</w:t>
      </w:r>
    </w:p>
    <w:p>
      <w:pPr>
        <w:spacing w:after="120"/>
        <w:jc w:val="both"/>
      </w:pPr>
      <w:r>
        <w:rPr>
          <w:rFonts w:ascii="Arial" w:hAnsi="Arial"/>
          <w:sz w:val="21"/>
        </w:rPr>
        <w:t>El modelamiento geoespacial y el análisis jerárquico (AHP) desarrollados en este proyecto —ejecutados sobre el MDE LiDAR 2 m, versión definitiva del análisis— delimitan cuantitativamente la severidad del problema:</w:t>
      </w:r>
    </w:p>
    <w:p>
      <w:pPr>
        <w:pStyle w:val="ListBullet"/>
        <w:spacing w:after="60"/>
        <w:ind w:left="454"/>
        <w:jc w:val="both"/>
      </w:pPr>
      <w:r>
        <w:rPr>
          <w:rFonts w:ascii="Arial" w:hAnsi="Arial"/>
          <w:sz w:val="21"/>
        </w:rPr>
      </w:r>
      <w:r>
        <w:rPr>
          <w:rFonts w:ascii="Arial" w:hAnsi="Arial"/>
          <w:b/>
          <w:sz w:val="21"/>
        </w:rPr>
        <w:t>Umbral hidrológico de diseño:</w:t>
      </w:r>
      <w:r>
        <w:rPr>
          <w:rFonts w:ascii="Arial" w:hAnsi="Arial"/>
          <w:sz w:val="21"/>
        </w:rPr>
        <w:t xml:space="preserve"> caudal pico Qp(Tr100) ≈ </w:t>
      </w:r>
      <w:r>
        <w:rPr>
          <w:rFonts w:ascii="Arial" w:hAnsi="Arial"/>
          <w:b/>
          <w:sz w:val="21"/>
        </w:rPr>
        <w:t>249 m³/s</w:t>
      </w:r>
      <w:r>
        <w:rPr>
          <w:rFonts w:ascii="Arial" w:hAnsi="Arial"/>
          <w:sz w:val="21"/>
        </w:rPr>
        <w:t xml:space="preserve"> (rango 216–332), estimado con lluvia de diseño Tr100 ≈ 98,4 mm/24 h (serie CHIRPS de 44 años, corregida y anclada a la curva IDF del río Medellín) y método SCS-CN con abultamiento por sedimentos ×1,5. Cifra provisional [A VERIFICAR].</w:t>
      </w:r>
    </w:p>
    <w:p>
      <w:pPr>
        <w:pStyle w:val="ListBullet"/>
        <w:spacing w:after="60"/>
        <w:ind w:left="454"/>
        <w:jc w:val="both"/>
      </w:pPr>
      <w:r>
        <w:rPr>
          <w:rFonts w:ascii="Arial" w:hAnsi="Arial"/>
          <w:sz w:val="21"/>
        </w:rPr>
      </w:r>
      <w:r>
        <w:rPr>
          <w:rFonts w:ascii="Arial" w:hAnsi="Arial"/>
          <w:b/>
          <w:sz w:val="21"/>
        </w:rPr>
        <w:t>Espacio geográfico de amenaza:</w:t>
      </w:r>
      <w:r>
        <w:rPr>
          <w:rFonts w:ascii="Arial" w:hAnsi="Arial"/>
          <w:sz w:val="21"/>
        </w:rPr>
        <w:t xml:space="preserve"> </w:t>
      </w:r>
      <w:r>
        <w:rPr>
          <w:rFonts w:ascii="Arial" w:hAnsi="Arial"/>
          <w:b/>
          <w:sz w:val="21"/>
        </w:rPr>
        <w:t>86,8 ha</w:t>
      </w:r>
      <w:r>
        <w:rPr>
          <w:rFonts w:ascii="Arial" w:hAnsi="Arial"/>
          <w:sz w:val="21"/>
        </w:rPr>
        <w:t xml:space="preserve"> bajo condición de amenaza ALTA por energía de flujo (*stream power*) a lo largo de los ejes hídricos.</w:t>
      </w:r>
    </w:p>
    <w:p>
      <w:pPr>
        <w:pStyle w:val="ListBullet"/>
        <w:spacing w:after="60"/>
        <w:ind w:left="454"/>
        <w:jc w:val="both"/>
      </w:pPr>
      <w:r>
        <w:rPr>
          <w:rFonts w:ascii="Arial" w:hAnsi="Arial"/>
          <w:sz w:val="21"/>
        </w:rPr>
      </w:r>
      <w:r>
        <w:rPr>
          <w:rFonts w:ascii="Arial" w:hAnsi="Arial"/>
          <w:b/>
          <w:sz w:val="21"/>
        </w:rPr>
        <w:t>Exposición y riesgo:</w:t>
      </w:r>
      <w:r>
        <w:rPr>
          <w:rFonts w:ascii="Arial" w:hAnsi="Arial"/>
          <w:sz w:val="21"/>
        </w:rPr>
        <w:t xml:space="preserve"> corredor de exposición directa (≤30 m del cauce) que engloba </w:t>
      </w:r>
      <w:r>
        <w:rPr>
          <w:rFonts w:ascii="Arial" w:hAnsi="Arial"/>
          <w:b/>
          <w:sz w:val="21"/>
        </w:rPr>
        <w:t>254 habitantes y 33 elementos esenciales</w:t>
      </w:r>
      <w:r>
        <w:rPr>
          <w:rFonts w:ascii="Arial" w:hAnsi="Arial"/>
          <w:sz w:val="21"/>
        </w:rPr>
        <w:t xml:space="preserve">; inventario total de </w:t>
      </w:r>
      <w:r>
        <w:rPr>
          <w:rFonts w:ascii="Arial" w:hAnsi="Arial"/>
          <w:b/>
          <w:sz w:val="21"/>
        </w:rPr>
        <w:t>61 elementos expuestos validados en campo</w:t>
      </w:r>
      <w:r>
        <w:rPr>
          <w:rFonts w:ascii="Arial" w:hAnsi="Arial"/>
          <w:sz w:val="21"/>
        </w:rPr>
        <w:t>, de los cuales 32 resultaron en riesgo ALTO (incluidos Hogar Santa Clara, puente vial y bocatoma del acueducto).</w:t>
      </w:r>
    </w:p>
    <w:p>
      <w:pPr>
        <w:spacing w:after="120"/>
        <w:jc w:val="both"/>
      </w:pPr>
      <w:r>
        <w:rPr>
          <w:rFonts w:ascii="Arial" w:hAnsi="Arial"/>
          <w:sz w:val="21"/>
        </w:rPr>
        <w:t>Pese a esta condición de riesgo recurrente, la quebrada La Correa carece de instrumentación hidrológica en sitio: no existen estaciones de nivel ni de caudal en tiempo real sobre su cauce, y el territorio depende únicamente de lecturas indirectas de pluviómetros regionales (SIATA/AMVA). Dado que la ventana de reacción es de escasos minutos, los sistemas globales de pronóstico de inundaciones resultan inoperantes por su baja resolución espacial. Es allí donde radica la pertinencia de un Sistema de Alerta Temprana soportado en Internet de las Cosas (SAT-IoT): un dispositivo perimetral (*edge*) que capture variables en tiempo real y ejecute localmente un algoritmo de semaforización y activación de alarmas, de forma autónoma e independiente de la red pública, se constituye en la vía más viable y costo-efectiva para ganar minutos críticos de evacuación y salvaguardar la vida de la población de Girardota.</w:t>
      </w:r>
    </w:p>
    <w:tbl>
      <w:tblPr>
        <w:tblW w:type="auto" w:w="0"/>
        <w:jc w:val="center"/>
        <w:tblLook w:firstColumn="1" w:firstRow="1" w:lastColumn="0" w:lastRow="0" w:noHBand="0" w:noVBand="1" w:val="04A0"/>
      </w:tblPr>
      <w:tblGrid>
        <w:gridCol w:w="9411"/>
      </w:tblGrid>
      <w:tr>
        <w:tc>
          <w:tcPr>
            <w:tcW w:type="dxa" w:w="9411"/>
            <w:shd w:val="clear" w:color="auto" w:fill="F2F5FB"/>
            <w:tcBorders>
              <w:top w:val="single" w:sz="4" w:space="0" w:color="2E5496"/>
              <w:left w:val="single" w:sz="4" w:space="0" w:color="2E5496"/>
              <w:bottom w:val="single" w:sz="4" w:space="0" w:color="2E5496"/>
              <w:right w:val="single" w:sz="4" w:space="0" w:color="2E5496"/>
            </w:tcBorders>
          </w:tcPr>
          <w:p>
            <w:r/>
            <w:r>
              <w:rPr>
                <w:rFonts w:ascii="Arial" w:hAnsi="Arial"/>
                <w:b/>
                <w:color w:val="C0392B"/>
                <w:sz w:val="18"/>
              </w:rPr>
              <w:t xml:space="preserve">[A VERIFICAR]  </w:t>
            </w:r>
            <w:r>
              <w:rPr>
                <w:rFonts w:ascii="Arial" w:hAnsi="Arial"/>
                <w:sz w:val="19"/>
              </w:rPr>
              <w:t xml:space="preserve">Las cifras hidrológicas (Tr100, Qp) y los umbrales de inundación son productos de gabinete de </w:t>
            </w:r>
            <w:r>
              <w:rPr>
                <w:rFonts w:ascii="Arial" w:hAnsi="Arial"/>
                <w:b/>
                <w:sz w:val="19"/>
              </w:rPr>
              <w:t>carácter provisional</w:t>
            </w:r>
            <w:r>
              <w:rPr>
                <w:rFonts w:ascii="Arial" w:hAnsi="Arial"/>
                <w:sz w:val="19"/>
              </w:rPr>
              <w:t>; se derivan de lluvia satelital corregida y de un MDE, sin estación de aforo local. Deben calibrarse con IDEAM/SIATA y modelación hidráulica (HEC-RAS/IBER) antes de cualquier operación real.</w:t>
            </w:r>
          </w:p>
        </w:tc>
      </w:tr>
    </w:tbl>
    <w:p>
      <w:pPr>
        <w:spacing w:after="40"/>
      </w:pPr>
    </w:p>
    <w:p>
      <w:pPr>
        <w:spacing w:before="240" w:after="80"/>
        <w:outlineLvl w:val="1"/>
        <w:pBdr>
          <w:bottom w:val="single" w:sz="6" w:space="2" w:color="2E5496"/>
        </w:pBdr>
      </w:pPr>
      <w:r>
        <w:rPr>
          <w:rFonts w:ascii="Arial" w:hAnsi="Arial"/>
          <w:b/>
          <w:color w:val="2E5496"/>
          <w:sz w:val="24"/>
        </w:rPr>
        <w:t>1.2  Justificación</w:t>
      </w:r>
    </w:p>
    <w:p>
      <w:pPr>
        <w:spacing w:after="120"/>
        <w:jc w:val="both"/>
      </w:pPr>
      <w:r>
        <w:rPr>
          <w:rFonts w:ascii="Arial" w:hAnsi="Arial"/>
          <w:sz w:val="21"/>
        </w:rPr>
        <w:t>La implementación del proyecto responde a la convergencia de una necesidad técnica identificada en el territorio, un mandato institucional de la autoridad ambiental y el marco normativo de gestión del riesgo en Colombia. Más allá de lo tecnológico, su fundamento radica en el deber constitucional, legal y ético de proteger la vida frente a la materialización de eventos peligrosos. Su pertinencia se sustenta en cinco pilares:</w:t>
      </w:r>
    </w:p>
    <w:p>
      <w:pPr>
        <w:pStyle w:val="ListBullet"/>
        <w:spacing w:after="60"/>
        <w:ind w:left="454"/>
        <w:jc w:val="both"/>
      </w:pPr>
      <w:r>
        <w:rPr>
          <w:rFonts w:ascii="Arial" w:hAnsi="Arial"/>
          <w:sz w:val="21"/>
        </w:rPr>
      </w:r>
      <w:r>
        <w:rPr>
          <w:rFonts w:ascii="Arial" w:hAnsi="Arial"/>
          <w:b/>
          <w:sz w:val="21"/>
        </w:rPr>
        <w:t>Necesidad territorial y vacío de monitoreo.</w:t>
      </w:r>
      <w:r>
        <w:rPr>
          <w:rFonts w:ascii="Arial" w:hAnsi="Arial"/>
          <w:sz w:val="21"/>
        </w:rPr>
        <w:t xml:space="preserve"> La emergencia del 27–28 de mayo de 2023 evidenció que la cuenca carece por completo de monitoreo del nivel del cauce en tiempo real; solo existen pluviómetros regionales [1], estructuralmente insuficientes para operar una evacuación preventiva ante una creciente que se forma e impacta en ~43 minutos. El monitoreo directo del nivel es una necesidad física inaplazable.</w:t>
      </w:r>
    </w:p>
    <w:p>
      <w:pPr>
        <w:pStyle w:val="ListBullet"/>
        <w:spacing w:after="60"/>
        <w:ind w:left="454"/>
        <w:jc w:val="both"/>
      </w:pPr>
      <w:r>
        <w:rPr>
          <w:rFonts w:ascii="Arial" w:hAnsi="Arial"/>
          <w:sz w:val="21"/>
        </w:rPr>
      </w:r>
      <w:r>
        <w:rPr>
          <w:rFonts w:ascii="Arial" w:hAnsi="Arial"/>
          <w:b/>
          <w:sz w:val="21"/>
        </w:rPr>
        <w:t>Mandato institucional expreso.</w:t>
      </w:r>
      <w:r>
        <w:rPr>
          <w:rFonts w:ascii="Arial" w:hAnsi="Arial"/>
          <w:sz w:val="21"/>
        </w:rPr>
        <w:t xml:space="preserve"> En el informe técnico 120-IT2307-8323, CORANTIOQUIA recomendó formalmente implementar un SAT para las quebradas La Correa y El Cedro, tras documentar la avenida torrencial y los daños en el Hogar Santa Clara, el puente de Lázaro y los acueductos veredales [4].</w:t>
      </w:r>
    </w:p>
    <w:p>
      <w:pPr>
        <w:pStyle w:val="ListBullet"/>
        <w:spacing w:after="60"/>
        <w:ind w:left="454"/>
        <w:jc w:val="both"/>
      </w:pPr>
      <w:r>
        <w:rPr>
          <w:rFonts w:ascii="Arial" w:hAnsi="Arial"/>
          <w:sz w:val="21"/>
        </w:rPr>
      </w:r>
      <w:r>
        <w:rPr>
          <w:rFonts w:ascii="Arial" w:hAnsi="Arial"/>
          <w:b/>
          <w:sz w:val="21"/>
        </w:rPr>
        <w:t>Alineación normativa.</w:t>
      </w:r>
      <w:r>
        <w:rPr>
          <w:rFonts w:ascii="Arial" w:hAnsi="Arial"/>
          <w:sz w:val="21"/>
        </w:rPr>
        <w:t xml:space="preserve"> La solución se articula con la Ley 1523 de 2012, que adopta la Política Nacional de Gestión del Riesgo y responsabiliza a los municipios de los procesos de conocimiento, reducción y manejo del riesgo [5]; con el Decreto 1077 de 2015 (que compila el Decreto 1807 de 2014), que exige incorporar la amenaza por avenidas torrenciales en el ordenamiento [6]; con el POMCA del río Aburrá [7]; y con el Plan de Desarrollo Territorial de Girardota 2024–2027 [8]. En el ámbito internacional se enmarca en la Prioridad 4 del Marco de Sendai 2015–2030 —alerta temprana centrada en las personas [9]— y contribuye a los ODS 11 y 13 [10].</w:t>
      </w:r>
    </w:p>
    <w:p>
      <w:pPr>
        <w:pStyle w:val="ListBullet"/>
        <w:spacing w:after="60"/>
        <w:ind w:left="454"/>
        <w:jc w:val="both"/>
      </w:pPr>
      <w:r>
        <w:rPr>
          <w:rFonts w:ascii="Arial" w:hAnsi="Arial"/>
          <w:sz w:val="21"/>
        </w:rPr>
      </w:r>
      <w:r>
        <w:rPr>
          <w:rFonts w:ascii="Arial" w:hAnsi="Arial"/>
          <w:b/>
          <w:sz w:val="21"/>
        </w:rPr>
        <w:t>Deber ético de proteger a la población expuesta.</w:t>
      </w:r>
      <w:r>
        <w:rPr>
          <w:rFonts w:ascii="Arial" w:hAnsi="Arial"/>
          <w:sz w:val="21"/>
        </w:rPr>
        <w:t xml:space="preserve"> El corredor de exposición directa (≤30 m) engloba 254 habitantes y 33 elementos esenciales, dentro de un inventario de 61 infraestructuras: viviendas, el puente de Lázaro, acueductos veredales y —de manera especialmente sensible— el Hogar Santa Clara, que alberga población en condición de protección. Ante una ventana de evacuación de minutos, el proyecto prioriza a los más vulnerables, en coherencia con el artículo 2 de la Constitución [11] y con la Ley 1523 [5].</w:t>
      </w:r>
    </w:p>
    <w:p>
      <w:pPr>
        <w:pStyle w:val="ListBullet"/>
        <w:spacing w:after="60"/>
        <w:ind w:left="454"/>
        <w:jc w:val="both"/>
      </w:pPr>
      <w:r>
        <w:rPr>
          <w:rFonts w:ascii="Arial" w:hAnsi="Arial"/>
          <w:sz w:val="21"/>
        </w:rPr>
      </w:r>
      <w:r>
        <w:rPr>
          <w:rFonts w:ascii="Arial" w:hAnsi="Arial"/>
          <w:b/>
          <w:sz w:val="21"/>
        </w:rPr>
        <w:t>Pertinencia y costo-eficiencia de la solución IoT.</w:t>
      </w:r>
      <w:r>
        <w:rPr>
          <w:rFonts w:ascii="Arial" w:hAnsi="Arial"/>
          <w:sz w:val="21"/>
        </w:rPr>
        <w:t xml:space="preserve"> Frente a la inviabilidad financiera de estaciones hidrológicas industriales para microcuencas secundarias, un nodo local, autónomo y de bajo costo cubre el nicho operativo que los sistemas globales no alcanzan en quebradas pequeñas. Al integrar el hardware con el análisis espacial SIG se optimiza la ubicación del sensor y de las bocinas, maximizando la ventana de reacción y la cobertura de población. Adicionalmente, una arquitectura desacoplada basada en servicios REST (FastAPI) sobre una base de datos PostgreSQL facilita la escalabilidad, interoperabilidad y mantenimiento, y garantiza la disponibilidad histórica de la información para análisis futuros.</w:t>
      </w:r>
    </w:p>
    <w:p>
      <w:pPr>
        <w:spacing w:before="240" w:after="80"/>
        <w:outlineLvl w:val="1"/>
        <w:pBdr>
          <w:bottom w:val="single" w:sz="6" w:space="2" w:color="2E5496"/>
        </w:pBdr>
      </w:pPr>
      <w:r>
        <w:rPr>
          <w:rFonts w:ascii="Arial" w:hAnsi="Arial"/>
          <w:b/>
          <w:color w:val="2E5496"/>
          <w:sz w:val="24"/>
        </w:rPr>
        <w:t>1.3  Objetivo general</w:t>
      </w:r>
    </w:p>
    <w:p>
      <w:pPr>
        <w:spacing w:after="120"/>
        <w:jc w:val="both"/>
      </w:pPr>
      <w:r>
        <w:rPr>
          <w:rFonts w:ascii="Arial" w:hAnsi="Arial"/>
          <w:sz w:val="21"/>
        </w:rPr>
        <w:t>Diseñar e implementar un prototipo funcional, como prueba de concepto, de un Sistema de Alerta Temprana (SAT) basado en tecnologías de Internet de las Cosas (IoT) para el monitoreo en tiempo real del nivel de la quebrada La Correa, integrado con un análisis mediante Sistemas de Información Geográfica (SIG), que permita generar alertas locales automáticas a partir de umbrales hidrológicos previamente definidos y suministre información geoespacial para apoyar la toma de decisiones en la gestión del riesgo por inundaciones y avenidas torrenciales en el municipio de Girardota (Antioquia).</w:t>
      </w:r>
    </w:p>
    <w:p>
      <w:pPr>
        <w:spacing w:before="240" w:after="80"/>
        <w:outlineLvl w:val="1"/>
        <w:pBdr>
          <w:bottom w:val="single" w:sz="6" w:space="2" w:color="2E5496"/>
        </w:pBdr>
      </w:pPr>
      <w:r>
        <w:rPr>
          <w:rFonts w:ascii="Arial" w:hAnsi="Arial"/>
          <w:b/>
          <w:color w:val="2E5496"/>
          <w:sz w:val="24"/>
        </w:rPr>
        <w:t>1.4  Objetivos específicos</w:t>
      </w:r>
    </w:p>
    <w:p>
      <w:pPr>
        <w:pStyle w:val="ListBullet"/>
        <w:spacing w:after="60"/>
        <w:ind w:left="454"/>
        <w:jc w:val="both"/>
      </w:pPr>
      <w:r>
        <w:rPr>
          <w:rFonts w:ascii="Arial" w:hAnsi="Arial"/>
          <w:sz w:val="21"/>
        </w:rPr>
        <w:t>Caracterizar la microcuenca de la quebrada La Correa mediante herramientas SIG, integrando el análisis de amenaza, exposición y riesgo, para determinar la ubicación óptima de la estación de monitoreo y de los dispositivos de alerta mediante técnicas de análisis multicriterio.</w:t>
      </w:r>
    </w:p>
    <w:p>
      <w:pPr>
        <w:pStyle w:val="ListBullet"/>
        <w:spacing w:after="60"/>
        <w:ind w:left="454"/>
        <w:jc w:val="both"/>
      </w:pPr>
      <w:r>
        <w:rPr>
          <w:rFonts w:ascii="Arial" w:hAnsi="Arial"/>
          <w:sz w:val="21"/>
        </w:rPr>
        <w:t>Diseñar un nodo de monitoreo perimetral basado en el microcontrolador ESP32-S3, integrando sensores para la medición del nivel del agua, la precipitación y variables atmosféricas, acoplados a un sistema local de señalización visual y sonora para la activación automática de niveles de alerta.</w:t>
      </w:r>
    </w:p>
    <w:p>
      <w:pPr>
        <w:pStyle w:val="ListBullet"/>
        <w:spacing w:after="60"/>
        <w:ind w:left="454"/>
        <w:jc w:val="both"/>
      </w:pPr>
      <w:r>
        <w:rPr>
          <w:rFonts w:ascii="Arial" w:hAnsi="Arial"/>
          <w:sz w:val="21"/>
        </w:rPr>
      </w:r>
      <w:r>
        <w:rPr>
          <w:rFonts w:ascii="Arial" w:hAnsi="Arial"/>
          <w:b/>
          <w:sz w:val="21"/>
        </w:rPr>
        <w:t>Implementar una arquitectura IoT de extremo a extremo</w:t>
      </w:r>
      <w:r>
        <w:rPr>
          <w:rFonts w:ascii="Arial" w:hAnsi="Arial"/>
          <w:sz w:val="21"/>
        </w:rPr>
        <w:t xml:space="preserve"> basada en un nodo de adquisición desarrollado sobre ESP32-S3, encargado de capturar variables hidrometeorológicas y transmitirlas mediante servicios REST hacia una API desarrollada en FastAPI. La solución incorpora procesos de validación de datos, evaluación automática de umbrales hidrológicos, generación de alertas, almacenamiento en PostgreSQL desplegado en la nube y visualización mediante un geoportal y un panel de monitoreo para consulta en tiempo real.</w:t>
      </w:r>
    </w:p>
    <w:p>
      <w:pPr>
        <w:pStyle w:val="ListBullet"/>
        <w:spacing w:after="60"/>
        <w:ind w:left="454"/>
        <w:jc w:val="both"/>
      </w:pPr>
      <w:r>
        <w:rPr>
          <w:rFonts w:ascii="Arial" w:hAnsi="Arial"/>
          <w:sz w:val="21"/>
        </w:rPr>
        <w:t>Validar el funcionamiento del prototipo mediante pruebas controladas de laboratorio que verifiquen de forma integrada la cadena de captura, la evaluación de umbrales hidrológicos, la detonación de alertas y el almacenamiento de la información.</w:t>
      </w:r>
    </w:p>
    <w:p>
      <w:pPr>
        <w:pStyle w:val="ListBullet"/>
        <w:spacing w:after="60"/>
        <w:ind w:left="454"/>
        <w:jc w:val="both"/>
      </w:pPr>
      <w:r>
        <w:rPr>
          <w:rFonts w:ascii="Arial" w:hAnsi="Arial"/>
          <w:sz w:val="21"/>
        </w:rPr>
        <w:t>Evaluar los resultados técnicos obtenidos, identificando alcances, limitaciones y oportunidades de mejora del sistema de cara a una futura calibración hidráulica e implementación en condiciones reales de campo.</w:t>
      </w:r>
    </w:p>
    <w:p>
      <w:pPr>
        <w:spacing w:before="240" w:after="80"/>
        <w:outlineLvl w:val="1"/>
        <w:pBdr>
          <w:bottom w:val="single" w:sz="6" w:space="2" w:color="2E5496"/>
        </w:pBdr>
      </w:pPr>
      <w:r>
        <w:rPr>
          <w:rFonts w:ascii="Arial" w:hAnsi="Arial"/>
          <w:b/>
          <w:color w:val="2E5496"/>
          <w:sz w:val="24"/>
        </w:rPr>
        <w:t>1.5  Alcance y limitaciones</w:t>
      </w:r>
    </w:p>
    <w:p>
      <w:pPr>
        <w:spacing w:before="160" w:after="40"/>
        <w:outlineLvl w:val="2"/>
      </w:pPr>
      <w:r>
        <w:rPr>
          <w:rFonts w:ascii="Arial" w:hAnsi="Arial"/>
          <w:b/>
          <w:color w:val="1F3864"/>
          <w:sz w:val="22"/>
        </w:rPr>
        <w:t>1.5.1  Alcance del proyecto</w:t>
      </w:r>
    </w:p>
    <w:p>
      <w:pPr>
        <w:spacing w:after="120"/>
        <w:jc w:val="both"/>
      </w:pPr>
      <w:r>
        <w:rPr>
          <w:rFonts w:ascii="Arial" w:hAnsi="Arial"/>
          <w:sz w:val="21"/>
        </w:rPr>
        <w:t>El proyecto comprende el diseño e implementación de un prototipo funcional del componente tecnológico de un SAT basado en IoT y SIG, como medida de prevención y reducción del riesgo por avenidas torrenciales en la quebrada La Correa (~856 ha, Girardota). El alcance se articula así:</w:t>
      </w:r>
    </w:p>
    <w:p>
      <w:pPr>
        <w:pStyle w:val="ListBullet"/>
        <w:spacing w:after="60"/>
        <w:ind w:left="454"/>
        <w:jc w:val="both"/>
      </w:pPr>
      <w:r>
        <w:rPr>
          <w:rFonts w:ascii="Arial" w:hAnsi="Arial"/>
          <w:sz w:val="21"/>
        </w:rPr>
      </w:r>
      <w:r>
        <w:rPr>
          <w:rFonts w:ascii="Arial" w:hAnsi="Arial"/>
          <w:b/>
          <w:sz w:val="21"/>
        </w:rPr>
        <w:t>Conocimiento del riesgo (SIG):</w:t>
      </w:r>
      <w:r>
        <w:rPr>
          <w:rFonts w:ascii="Arial" w:hAnsi="Arial"/>
          <w:sz w:val="21"/>
        </w:rPr>
        <w:t xml:space="preserve"> caracterización espacial y morfométrica de la microcuenca; zonificación de amenaza por energía de flujo; delimitación del corredor de exposición; evaluación del riesgo crítico; e inventario de elementos expuestos y población vulnerable.</w:t>
      </w:r>
    </w:p>
    <w:p>
      <w:pPr>
        <w:pStyle w:val="ListBullet"/>
        <w:spacing w:after="60"/>
        <w:ind w:left="454"/>
        <w:jc w:val="both"/>
      </w:pPr>
      <w:r>
        <w:rPr>
          <w:rFonts w:ascii="Arial" w:hAnsi="Arial"/>
          <w:sz w:val="21"/>
        </w:rPr>
      </w:r>
      <w:r>
        <w:rPr>
          <w:rFonts w:ascii="Arial" w:hAnsi="Arial"/>
          <w:b/>
          <w:sz w:val="21"/>
        </w:rPr>
        <w:t>Reducción del riesgo:</w:t>
      </w:r>
      <w:r>
        <w:rPr>
          <w:rFonts w:ascii="Arial" w:hAnsi="Arial"/>
          <w:sz w:val="21"/>
        </w:rPr>
        <w:t xml:space="preserve"> propuesta, mediante AHP y Modelo de Máxima Cobertura (MCLP), de la localización más adecuada para una (1) estación de monitoreo y tres (3) bocinas repetidoras, priorizando la ventana de reacción y la protección de la población aguas abajo.</w:t>
      </w:r>
    </w:p>
    <w:p>
      <w:pPr>
        <w:pStyle w:val="ListBullet"/>
        <w:spacing w:after="60"/>
        <w:ind w:left="454"/>
        <w:jc w:val="both"/>
      </w:pPr>
      <w:r>
        <w:rPr>
          <w:rFonts w:ascii="Arial" w:hAnsi="Arial"/>
          <w:sz w:val="21"/>
        </w:rPr>
      </w:r>
      <w:r>
        <w:rPr>
          <w:rFonts w:ascii="Arial" w:hAnsi="Arial"/>
          <w:b/>
          <w:sz w:val="21"/>
        </w:rPr>
        <w:t>Componente tecnológico IoT:</w:t>
      </w:r>
      <w:r>
        <w:rPr>
          <w:rFonts w:ascii="Arial" w:hAnsi="Arial"/>
          <w:sz w:val="21"/>
        </w:rPr>
        <w:t xml:space="preserve"> integración de un (1) nodo perimetral basado en ESP32-S3, con sensores de nivel (ultrasónico), presencia de lluvia y temperatura/humedad, acoplado a señalización visual (semaforización N1–N4) y sonora; despliegue de la arquitectura de adquisición, transmisión, almacenamiento y visualización (firmware embebido, API REST, base de datos PostgreSQL en la nube y geoportal interactivo).</w:t>
      </w:r>
    </w:p>
    <w:p>
      <w:pPr>
        <w:pStyle w:val="ListBullet"/>
        <w:spacing w:after="60"/>
        <w:ind w:left="454"/>
        <w:jc w:val="both"/>
      </w:pPr>
      <w:r>
        <w:rPr>
          <w:rFonts w:ascii="Arial" w:hAnsi="Arial"/>
          <w:sz w:val="21"/>
        </w:rPr>
      </w:r>
      <w:r>
        <w:rPr>
          <w:rFonts w:ascii="Arial" w:hAnsi="Arial"/>
          <w:b/>
          <w:sz w:val="21"/>
        </w:rPr>
        <w:t>Validación funcional:</w:t>
      </w:r>
      <w:r>
        <w:rPr>
          <w:rFonts w:ascii="Arial" w:hAnsi="Arial"/>
          <w:sz w:val="21"/>
        </w:rPr>
        <w:t xml:space="preserve"> pruebas controladas de laboratorio para verificar la cadena captura → evaluación de umbrales → activación de alerta local → transmisión y almacenamiento remoto.</w:t>
      </w:r>
    </w:p>
    <w:p>
      <w:pPr>
        <w:spacing w:before="160" w:after="40"/>
        <w:outlineLvl w:val="2"/>
      </w:pPr>
      <w:r>
        <w:rPr>
          <w:rFonts w:ascii="Arial" w:hAnsi="Arial"/>
          <w:b/>
          <w:color w:val="1F3864"/>
          <w:sz w:val="22"/>
        </w:rPr>
        <w:t>Alcance tecnológico</w:t>
      </w:r>
    </w:p>
    <w:p>
      <w:pPr>
        <w:spacing w:after="120"/>
        <w:jc w:val="both"/>
      </w:pPr>
      <w:r>
        <w:rPr>
          <w:rFonts w:ascii="Arial" w:hAnsi="Arial"/>
          <w:sz w:val="21"/>
        </w:rPr>
        <w:t>El prototipo integra las siguientes capas y tecnologías, todas efectivamente construidas y verificadas en la fase de prueba de concepto:</w:t>
      </w:r>
    </w:p>
    <w:p>
      <w:pPr>
        <w:pStyle w:val="ListBullet"/>
        <w:spacing w:after="60"/>
        <w:ind w:left="454"/>
        <w:jc w:val="both"/>
      </w:pPr>
      <w:r>
        <w:rPr>
          <w:rFonts w:ascii="Arial" w:hAnsi="Arial"/>
          <w:sz w:val="21"/>
        </w:rPr>
        <w:t xml:space="preserve">Nodo IoT basado en </w:t>
      </w:r>
      <w:r>
        <w:rPr>
          <w:rFonts w:ascii="Arial" w:hAnsi="Arial"/>
          <w:b/>
          <w:sz w:val="21"/>
        </w:rPr>
        <w:t>ESP32-S3</w:t>
      </w:r>
      <w:r>
        <w:rPr>
          <w:rFonts w:ascii="Arial" w:hAnsi="Arial"/>
          <w:sz w:val="21"/>
        </w:rPr>
        <w:t>.</w:t>
      </w:r>
    </w:p>
    <w:p>
      <w:pPr>
        <w:pStyle w:val="ListBullet"/>
        <w:spacing w:after="60"/>
        <w:ind w:left="454"/>
        <w:jc w:val="both"/>
      </w:pPr>
      <w:r>
        <w:rPr>
          <w:rFonts w:ascii="Arial" w:hAnsi="Arial"/>
          <w:sz w:val="21"/>
        </w:rPr>
        <w:t xml:space="preserve">Sensores: ultrasónico </w:t>
      </w:r>
      <w:r>
        <w:rPr>
          <w:rFonts w:ascii="Arial" w:hAnsi="Arial"/>
          <w:b/>
          <w:sz w:val="21"/>
        </w:rPr>
        <w:t>JSN-SR04T</w:t>
      </w:r>
      <w:r>
        <w:rPr>
          <w:rFonts w:ascii="Arial" w:hAnsi="Arial"/>
          <w:sz w:val="21"/>
        </w:rPr>
        <w:t xml:space="preserve"> (nivel), sensor de lluvia </w:t>
      </w:r>
      <w:r>
        <w:rPr>
          <w:rFonts w:ascii="Arial" w:hAnsi="Arial"/>
          <w:b/>
          <w:sz w:val="21"/>
        </w:rPr>
        <w:t>YL-83/FC-37</w:t>
      </w:r>
      <w:r>
        <w:rPr>
          <w:rFonts w:ascii="Arial" w:hAnsi="Arial"/>
          <w:sz w:val="21"/>
        </w:rPr>
        <w:t xml:space="preserve"> (presencia de precipitación) y sensor de temperatura/humedad </w:t>
      </w:r>
      <w:r>
        <w:rPr>
          <w:rFonts w:ascii="Arial" w:hAnsi="Arial"/>
          <w:b/>
          <w:sz w:val="21"/>
        </w:rPr>
        <w:t>SHT30</w:t>
      </w:r>
      <w:r>
        <w:rPr>
          <w:rFonts w:ascii="Arial" w:hAnsi="Arial"/>
          <w:sz w:val="21"/>
        </w:rPr>
        <w:t xml:space="preserve"> (RS485 Modbus-RTU).</w:t>
      </w:r>
    </w:p>
    <w:p>
      <w:pPr>
        <w:pStyle w:val="ListBullet"/>
        <w:spacing w:after="60"/>
        <w:ind w:left="454"/>
        <w:jc w:val="both"/>
      </w:pPr>
      <w:r>
        <w:rPr>
          <w:rFonts w:ascii="Arial" w:hAnsi="Arial"/>
          <w:sz w:val="21"/>
        </w:rPr>
        <w:t xml:space="preserve">Firmware desarrollado en </w:t>
      </w:r>
      <w:r>
        <w:rPr>
          <w:rFonts w:ascii="Arial" w:hAnsi="Arial"/>
          <w:b/>
          <w:sz w:val="21"/>
        </w:rPr>
        <w:t>Arduino IDE</w:t>
      </w:r>
      <w:r>
        <w:rPr>
          <w:rFonts w:ascii="Arial" w:hAnsi="Arial"/>
          <w:sz w:val="21"/>
        </w:rPr>
        <w:t>.</w:t>
      </w:r>
    </w:p>
    <w:p>
      <w:pPr>
        <w:pStyle w:val="ListBullet"/>
        <w:spacing w:after="60"/>
        <w:ind w:left="454"/>
        <w:jc w:val="both"/>
      </w:pPr>
      <w:r>
        <w:rPr>
          <w:rFonts w:ascii="Arial" w:hAnsi="Arial"/>
          <w:sz w:val="21"/>
        </w:rPr>
        <w:t xml:space="preserve">Comunicación mediante </w:t>
      </w:r>
      <w:r>
        <w:rPr>
          <w:rFonts w:ascii="Arial" w:hAnsi="Arial"/>
          <w:b/>
          <w:sz w:val="21"/>
        </w:rPr>
        <w:t>HTTP</w:t>
      </w:r>
      <w:r>
        <w:rPr>
          <w:rFonts w:ascii="Arial" w:hAnsi="Arial"/>
          <w:sz w:val="21"/>
        </w:rPr>
        <w:t xml:space="preserve"> utilizando mensajes </w:t>
      </w:r>
      <w:r>
        <w:rPr>
          <w:rFonts w:ascii="Arial" w:hAnsi="Arial"/>
          <w:b/>
          <w:sz w:val="21"/>
        </w:rPr>
        <w:t>JSON</w:t>
      </w:r>
      <w:r>
        <w:rPr>
          <w:rFonts w:ascii="Arial" w:hAnsi="Arial"/>
          <w:sz w:val="21"/>
        </w:rPr>
        <w:t>.</w:t>
      </w:r>
    </w:p>
    <w:p>
      <w:pPr>
        <w:pStyle w:val="ListBullet"/>
        <w:spacing w:after="60"/>
        <w:ind w:left="454"/>
        <w:jc w:val="both"/>
      </w:pPr>
      <w:r>
        <w:rPr>
          <w:rFonts w:ascii="Arial" w:hAnsi="Arial"/>
          <w:sz w:val="21"/>
        </w:rPr>
        <w:t xml:space="preserve">API REST desarrollada con </w:t>
      </w:r>
      <w:r>
        <w:rPr>
          <w:rFonts w:ascii="Arial" w:hAnsi="Arial"/>
          <w:b/>
          <w:sz w:val="21"/>
        </w:rPr>
        <w:t>FastAPI (Python)</w:t>
      </w:r>
      <w:r>
        <w:rPr>
          <w:rFonts w:ascii="Arial" w:hAnsi="Arial"/>
          <w:sz w:val="21"/>
        </w:rPr>
        <w:t>.</w:t>
      </w:r>
    </w:p>
    <w:p>
      <w:pPr>
        <w:pStyle w:val="ListBullet"/>
        <w:spacing w:after="60"/>
        <w:ind w:left="454"/>
        <w:jc w:val="both"/>
      </w:pPr>
      <w:r>
        <w:rPr>
          <w:rFonts w:ascii="Arial" w:hAnsi="Arial"/>
          <w:sz w:val="21"/>
        </w:rPr>
      </w:r>
      <w:r>
        <w:rPr>
          <w:rFonts w:ascii="Arial" w:hAnsi="Arial"/>
          <w:b/>
          <w:sz w:val="21"/>
        </w:rPr>
        <w:t>ORM SQLAlchemy</w:t>
      </w:r>
      <w:r>
        <w:rPr>
          <w:rFonts w:ascii="Arial" w:hAnsi="Arial"/>
          <w:sz w:val="21"/>
        </w:rPr>
        <w:t xml:space="preserve"> para la persistencia de datos.</w:t>
      </w:r>
    </w:p>
    <w:p>
      <w:pPr>
        <w:pStyle w:val="ListBullet"/>
        <w:spacing w:after="60"/>
        <w:ind w:left="454"/>
        <w:jc w:val="both"/>
      </w:pPr>
      <w:r>
        <w:rPr>
          <w:rFonts w:ascii="Arial" w:hAnsi="Arial"/>
          <w:sz w:val="21"/>
        </w:rPr>
        <w:t xml:space="preserve">Base de datos </w:t>
      </w:r>
      <w:r>
        <w:rPr>
          <w:rFonts w:ascii="Arial" w:hAnsi="Arial"/>
          <w:b/>
          <w:sz w:val="21"/>
        </w:rPr>
        <w:t>PostgreSQL</w:t>
      </w:r>
      <w:r>
        <w:rPr>
          <w:rFonts w:ascii="Arial" w:hAnsi="Arial"/>
          <w:sz w:val="21"/>
        </w:rPr>
        <w:t xml:space="preserve"> desplegada en la nube.</w:t>
      </w:r>
    </w:p>
    <w:p>
      <w:pPr>
        <w:pStyle w:val="ListBullet"/>
        <w:spacing w:after="60"/>
        <w:ind w:left="454"/>
        <w:jc w:val="both"/>
      </w:pPr>
      <w:r>
        <w:rPr>
          <w:rFonts w:ascii="Arial" w:hAnsi="Arial"/>
          <w:sz w:val="21"/>
        </w:rPr>
        <w:t xml:space="preserve">Plataforma </w:t>
      </w:r>
      <w:r>
        <w:rPr>
          <w:rFonts w:ascii="Arial" w:hAnsi="Arial"/>
          <w:b/>
          <w:sz w:val="21"/>
        </w:rPr>
        <w:t>Render</w:t>
      </w:r>
      <w:r>
        <w:rPr>
          <w:rFonts w:ascii="Arial" w:hAnsi="Arial"/>
          <w:sz w:val="21"/>
        </w:rPr>
        <w:t xml:space="preserve"> para el despliegue del backend.</w:t>
      </w:r>
    </w:p>
    <w:p>
      <w:pPr>
        <w:pStyle w:val="ListBullet"/>
        <w:spacing w:after="60"/>
        <w:ind w:left="454"/>
        <w:jc w:val="both"/>
      </w:pPr>
      <w:r>
        <w:rPr>
          <w:rFonts w:ascii="Arial" w:hAnsi="Arial"/>
          <w:sz w:val="21"/>
        </w:rPr>
        <w:t xml:space="preserve">Panel web y herramientas </w:t>
      </w:r>
      <w:r>
        <w:rPr>
          <w:rFonts w:ascii="Arial" w:hAnsi="Arial"/>
          <w:b/>
          <w:sz w:val="21"/>
        </w:rPr>
        <w:t>SIG</w:t>
      </w:r>
      <w:r>
        <w:rPr>
          <w:rFonts w:ascii="Arial" w:hAnsi="Arial"/>
          <w:sz w:val="21"/>
        </w:rPr>
        <w:t xml:space="preserve"> para la consulta y visualización de la información.</w:t>
      </w:r>
    </w:p>
    <w:p>
      <w:pPr>
        <w:spacing w:after="120"/>
        <w:jc w:val="both"/>
      </w:pPr>
      <w:r>
        <w:rPr>
          <w:rFonts w:ascii="Arial" w:hAnsi="Arial"/>
          <w:sz w:val="21"/>
        </w:rPr>
        <w:t xml:space="preserve">La arquitectura implementada sigue un </w:t>
      </w:r>
      <w:r>
        <w:rPr>
          <w:rFonts w:ascii="Arial" w:hAnsi="Arial"/>
          <w:b/>
          <w:sz w:val="21"/>
        </w:rPr>
        <w:t>modelo de cuatro capas</w:t>
      </w:r>
      <w:r>
        <w:rPr>
          <w:rFonts w:ascii="Arial" w:hAnsi="Arial"/>
          <w:sz w:val="21"/>
        </w:rPr>
        <w:t>: adquisición de datos (sensores y ESP32-S3), comunicación (HTTP/JSON sobre red WiFi), procesamiento (API REST y lógica de negocio) y almacenamiento/visualización (PostgreSQL y aplicaciones cliente). Esta estructura modular facilita la incorporación futura de nuevos nodos de monitoreo, sensores adicionales y mecanismos de comunicación alternativos como LoRaWAN o redes celulares. El detalle técnico de cada capa se desarrolla en el Capítulo 3.</w:t>
      </w:r>
    </w:p>
    <w:p>
      <w:pPr>
        <w:spacing w:before="160" w:after="40"/>
        <w:outlineLvl w:val="2"/>
      </w:pPr>
      <w:r>
        <w:rPr>
          <w:rFonts w:ascii="Arial" w:hAnsi="Arial"/>
          <w:b/>
          <w:color w:val="1F3864"/>
          <w:sz w:val="22"/>
        </w:rPr>
        <w:t>1.5.2  Componentes fuera del alcance</w:t>
      </w:r>
    </w:p>
    <w:p>
      <w:pPr>
        <w:spacing w:after="120"/>
        <w:jc w:val="both"/>
      </w:pPr>
      <w:r>
        <w:rPr>
          <w:rFonts w:ascii="Arial" w:hAnsi="Arial"/>
          <w:sz w:val="21"/>
        </w:rPr>
        <w:t>Al corresponder estrictamente a una prueba de concepto (PoC), el trabajo no contempla la fase operativa de campo ni el proceso misional de manejo de desastres. Quedan formalmente excluidos: la instalación permanente en terreno (obras civiles, anclajes, adecuaciones eléctricas, protección intemperie); la calibración hidrológica fina por aforo físico y la modelación hidráulica bidimensional detallada; la interconexión con instancias institucionales de emergencia (DAGRAN, Consejo Municipal de Gestión del Riesgo); el despliegue multinodo con redundancia industrial de comunicaciones y energía; y los procesos de preparación comunitaria (capacitaciones, simulacros, mantenimiento, certificación y sostenibilidad financiera de largo plazo). Estos componentes se plantean como fases posteriores, articuladas con las autoridades competentes.</w:t>
      </w:r>
    </w:p>
    <w:p>
      <w:pPr>
        <w:spacing w:before="160" w:after="40"/>
        <w:outlineLvl w:val="2"/>
      </w:pPr>
      <w:r>
        <w:rPr>
          <w:rFonts w:ascii="Arial" w:hAnsi="Arial"/>
          <w:b/>
          <w:color w:val="1F3864"/>
          <w:sz w:val="22"/>
        </w:rPr>
        <w:t>1.5.3  Limitaciones</w:t>
      </w:r>
    </w:p>
    <w:p>
      <w:pPr>
        <w:pStyle w:val="ListBullet"/>
        <w:spacing w:after="60"/>
        <w:ind w:left="454"/>
        <w:jc w:val="both"/>
      </w:pPr>
      <w:r>
        <w:rPr>
          <w:rFonts w:ascii="Arial" w:hAnsi="Arial"/>
          <w:sz w:val="21"/>
        </w:rPr>
      </w:r>
      <w:r>
        <w:rPr>
          <w:rFonts w:ascii="Arial" w:hAnsi="Arial"/>
          <w:b/>
          <w:sz w:val="21"/>
        </w:rPr>
        <w:t>Madurez tecnológica (PoC):</w:t>
      </w:r>
      <w:r>
        <w:rPr>
          <w:rFonts w:ascii="Arial" w:hAnsi="Arial"/>
          <w:sz w:val="21"/>
        </w:rPr>
        <w:t xml:space="preserve"> el sistema valida su integración funcional en laboratorio; los tiempos de transmisión, tasas de atenuación y degradación de componentes bajo condiciones reales de campo no están representados. [LIMITACIÓN]</w:t>
      </w:r>
    </w:p>
    <w:p>
      <w:pPr>
        <w:pStyle w:val="ListBullet"/>
        <w:spacing w:after="60"/>
        <w:ind w:left="454"/>
        <w:jc w:val="both"/>
      </w:pPr>
      <w:r>
        <w:rPr>
          <w:rFonts w:ascii="Arial" w:hAnsi="Arial"/>
          <w:sz w:val="21"/>
        </w:rPr>
      </w:r>
      <w:r>
        <w:rPr>
          <w:rFonts w:ascii="Arial" w:hAnsi="Arial"/>
          <w:b/>
          <w:sz w:val="21"/>
        </w:rPr>
        <w:t>Insumos del conocimiento del riesgo, preliminares:</w:t>
      </w:r>
      <w:r>
        <w:rPr>
          <w:rFonts w:ascii="Arial" w:hAnsi="Arial"/>
          <w:sz w:val="21"/>
        </w:rPr>
        <w:t xml:space="preserve"> por la ausencia de instrumentación histórica en el cauce, las cifras hidrológicas (Tr100, Qp) y los umbrales de inundación son provisionales y deben calibrarse con estaciones oficiales y modelación hidráulica. [A VERIFICAR]</w:t>
      </w:r>
    </w:p>
    <w:p>
      <w:pPr>
        <w:pStyle w:val="ListBullet"/>
        <w:spacing w:after="60"/>
        <w:ind w:left="454"/>
        <w:jc w:val="both"/>
      </w:pPr>
      <w:r>
        <w:rPr>
          <w:rFonts w:ascii="Arial" w:hAnsi="Arial"/>
          <w:sz w:val="21"/>
        </w:rPr>
      </w:r>
      <w:r>
        <w:rPr>
          <w:rFonts w:ascii="Arial" w:hAnsi="Arial"/>
          <w:b/>
          <w:sz w:val="21"/>
        </w:rPr>
        <w:t>Productos SIG como alternativas técnicas:</w:t>
      </w:r>
      <w:r>
        <w:rPr>
          <w:rFonts w:ascii="Arial" w:hAnsi="Arial"/>
          <w:sz w:val="21"/>
        </w:rPr>
        <w:t xml:space="preserve"> la localización del sensor y de las bocinas se deriva del análisis sobre un MDE; las coordenadas son candidatos óptimos que requieren verificación de línea de vista (viewshed) y sección transversal en terreno antes de la instalación. [SIG] [LIMITACIÓN]</w:t>
      </w:r>
    </w:p>
    <w:p>
      <w:pPr>
        <w:pStyle w:val="ListBullet"/>
        <w:spacing w:after="60"/>
        <w:ind w:left="454"/>
        <w:jc w:val="both"/>
      </w:pPr>
      <w:r>
        <w:rPr>
          <w:rFonts w:ascii="Arial" w:hAnsi="Arial"/>
          <w:sz w:val="21"/>
        </w:rPr>
      </w:r>
      <w:r>
        <w:rPr>
          <w:rFonts w:ascii="Arial" w:hAnsi="Arial"/>
          <w:b/>
          <w:sz w:val="21"/>
        </w:rPr>
        <w:t>Condiciones de prueba de red:</w:t>
      </w:r>
      <w:r>
        <w:rPr>
          <w:rFonts w:ascii="Arial" w:hAnsi="Arial"/>
          <w:sz w:val="21"/>
        </w:rPr>
        <w:t xml:space="preserve"> el envío del payload se probó sobre WiFi de laboratorio, escenario que no representa la topografía, cobertura celular, interferencia climática ni las restricciones energéticas autónomas de la microcuenca. [LIMITACIÓN]</w:t>
      </w:r>
    </w:p>
    <w:p>
      <w:pPr>
        <w:pStyle w:val="ListBullet"/>
        <w:spacing w:after="60"/>
        <w:ind w:left="454"/>
        <w:jc w:val="both"/>
      </w:pPr>
      <w:r>
        <w:rPr>
          <w:rFonts w:ascii="Arial" w:hAnsi="Arial"/>
          <w:sz w:val="21"/>
        </w:rPr>
      </w:r>
      <w:r>
        <w:rPr>
          <w:rFonts w:ascii="Arial" w:hAnsi="Arial"/>
          <w:b/>
          <w:sz w:val="21"/>
        </w:rPr>
        <w:t>Recursos académicos:</w:t>
      </w:r>
      <w:r>
        <w:rPr>
          <w:rFonts w:ascii="Arial" w:hAnsi="Arial"/>
          <w:sz w:val="21"/>
        </w:rPr>
        <w:t xml:space="preserve"> el alcance estuvo condicionado por el tiempo, el presupuesto y los recursos propios de un trabajo de formación. Aun así, el prototipo demuestra la viabilidad técnica de la solución integrada y sienta las bases de ingeniería para la validación en campo. [SUPUESTO]</w:t>
      </w:r>
    </w:p>
    <w:p>
      <w:pPr>
        <w:spacing w:before="280" w:after="200"/>
        <w:shd w:val="clear" w:color="auto" w:fill="1F3864"/>
        <w:outlineLvl w:val="0"/>
      </w:pPr>
      <w:r>
        <w:rPr>
          <w:rFonts w:ascii="Arial" w:hAnsi="Arial"/>
          <w:b/>
          <w:color w:val="FFFFFF"/>
          <w:sz w:val="28"/>
        </w:rPr>
        <w:t xml:space="preserve">  2.   Marco Metodológico</w:t>
      </w:r>
    </w:p>
    <w:p>
      <w:pPr>
        <w:spacing w:before="240" w:after="80"/>
        <w:outlineLvl w:val="1"/>
        <w:pBdr>
          <w:bottom w:val="single" w:sz="6" w:space="2" w:color="2E5496"/>
        </w:pBdr>
      </w:pPr>
      <w:r>
        <w:rPr>
          <w:rFonts w:ascii="Arial" w:hAnsi="Arial"/>
          <w:b/>
          <w:color w:val="2E5496"/>
          <w:sz w:val="24"/>
        </w:rPr>
        <w:t>2.1  Marco ágil: Scrum aplicado al proyecto</w:t>
      </w:r>
    </w:p>
    <w:p>
      <w:pPr>
        <w:spacing w:after="120"/>
        <w:jc w:val="both"/>
      </w:pPr>
      <w:r>
        <w:rPr>
          <w:rFonts w:ascii="Arial" w:hAnsi="Arial"/>
          <w:sz w:val="21"/>
        </w:rPr>
        <w:t xml:space="preserve">El proyecto se desarrolló bajo un enfoque </w:t>
      </w:r>
      <w:r>
        <w:rPr>
          <w:rFonts w:ascii="Arial" w:hAnsi="Arial"/>
          <w:b/>
          <w:sz w:val="21"/>
        </w:rPr>
        <w:t>Lean + Scrum</w:t>
      </w:r>
      <w:r>
        <w:rPr>
          <w:rFonts w:ascii="Arial" w:hAnsi="Arial"/>
          <w:sz w:val="21"/>
        </w:rPr>
        <w:t>, coherente con la Ruta de Innovación y Desarrollo IoT. Lean orientó la fase temprana de identificación del problema real (técnicas de *pain storming*, cinco porqués y ficha de problema) para asegurar que la solución respondiera a una necesidad verificada del territorio y no a una suposición tecnológica. Scrum estructuró la ejecución mediante iteraciones cortas (sprints) con entregas incrementales, en las que se segmentaron tareas, se asignaron responsabilidades y se retroalimentó el trabajo al cierre de cada iteración.</w:t>
      </w:r>
    </w:p>
    <w:p>
      <w:pPr>
        <w:spacing w:after="120"/>
        <w:jc w:val="both"/>
      </w:pPr>
      <w:r>
        <w:rPr>
          <w:rFonts w:ascii="Arial" w:hAnsi="Arial"/>
          <w:sz w:val="21"/>
        </w:rPr>
        <w:t xml:space="preserve">El equipo aplicó las ceremonias del marco de forma adaptada a un contexto académico: </w:t>
      </w:r>
      <w:r>
        <w:rPr>
          <w:rFonts w:ascii="Arial" w:hAnsi="Arial"/>
          <w:b/>
          <w:sz w:val="21"/>
        </w:rPr>
        <w:t>Sprint Planning</w:t>
      </w:r>
      <w:r>
        <w:rPr>
          <w:rFonts w:ascii="Arial" w:hAnsi="Arial"/>
          <w:sz w:val="21"/>
        </w:rPr>
        <w:t xml:space="preserve"> al inicio de cada iteración para seleccionar los elementos del *Product Backlog*; reuniones de sincronización (</w:t>
      </w:r>
      <w:r>
        <w:rPr>
          <w:rFonts w:ascii="Arial" w:hAnsi="Arial"/>
          <w:b/>
          <w:sz w:val="21"/>
        </w:rPr>
        <w:t>Daily</w:t>
      </w:r>
      <w:r>
        <w:rPr>
          <w:rFonts w:ascii="Arial" w:hAnsi="Arial"/>
          <w:sz w:val="21"/>
        </w:rPr>
        <w:t xml:space="preserve"> asíncronas por WhatsApp y encuentros de laboratorio); </w:t>
      </w:r>
      <w:r>
        <w:rPr>
          <w:rFonts w:ascii="Arial" w:hAnsi="Arial"/>
          <w:b/>
          <w:sz w:val="21"/>
        </w:rPr>
        <w:t>Sprint Review</w:t>
      </w:r>
      <w:r>
        <w:rPr>
          <w:rFonts w:ascii="Arial" w:hAnsi="Arial"/>
          <w:sz w:val="21"/>
        </w:rPr>
        <w:t xml:space="preserve"> para validar el incremento con el criterio del profesor como *stakeholder*; y </w:t>
      </w:r>
      <w:r>
        <w:rPr>
          <w:rFonts w:ascii="Arial" w:hAnsi="Arial"/>
          <w:b/>
          <w:sz w:val="21"/>
        </w:rPr>
        <w:t>Retrospective</w:t>
      </w:r>
      <w:r>
        <w:rPr>
          <w:rFonts w:ascii="Arial" w:hAnsi="Arial"/>
          <w:sz w:val="21"/>
        </w:rPr>
        <w:t xml:space="preserve"> para ajustar el proceso. El *Product Backlog* se construyó a partir de las historias de usuario y los requerimientos funcionales (REQ-F) y no funcionales (REQ-NF) levantados en la fase de análisis; su priorización se orientó por el valor para la gestión del riesgo (primero la cadena de medición y alerta local, luego la transmisión y la visualización).</w:t>
      </w:r>
    </w:p>
    <w:tbl>
      <w:tblPr>
        <w:tblW w:type="auto" w:w="0"/>
        <w:jc w:val="center"/>
        <w:tblLook w:firstColumn="1" w:firstRow="1" w:lastColumn="0" w:lastRow="0" w:noHBand="0" w:noVBand="1" w:val="04A0"/>
      </w:tblPr>
      <w:tblGrid>
        <w:gridCol w:w="9411"/>
      </w:tblGrid>
      <w:tr>
        <w:tc>
          <w:tcPr>
            <w:tcW w:type="dxa" w:w="9411"/>
            <w:shd w:val="clear" w:color="auto" w:fill="F2F5FB"/>
            <w:tcBorders>
              <w:top w:val="single" w:sz="4" w:space="0" w:color="2E5496"/>
              <w:left w:val="single" w:sz="4" w:space="0" w:color="2E5496"/>
              <w:bottom w:val="single" w:sz="4" w:space="0" w:color="2E5496"/>
              <w:right w:val="single" w:sz="4" w:space="0" w:color="2E5496"/>
            </w:tcBorders>
          </w:tcPr>
          <w:p>
            <w:r/>
            <w:r>
              <w:rPr>
                <w:rFonts w:ascii="Arial" w:hAnsi="Arial"/>
                <w:b/>
                <w:color w:val="1F3864"/>
                <w:sz w:val="18"/>
              </w:rPr>
              <w:t xml:space="preserve">[RECOMENDACIÓN]  </w:t>
            </w:r>
            <w:r>
              <w:rPr>
                <w:rFonts w:ascii="Arial" w:hAnsi="Arial"/>
                <w:sz w:val="19"/>
              </w:rPr>
              <w:t xml:space="preserve">La medición y la alarma </w:t>
            </w:r>
            <w:r>
              <w:rPr>
                <w:rFonts w:ascii="Arial" w:hAnsi="Arial"/>
                <w:b/>
                <w:sz w:val="19"/>
              </w:rPr>
              <w:t>local</w:t>
            </w:r>
            <w:r>
              <w:rPr>
                <w:rFonts w:ascii="Arial" w:hAnsi="Arial"/>
                <w:sz w:val="19"/>
              </w:rPr>
              <w:t xml:space="preserve"> del nodo se priorizaron por encima de la conectividad, en coherencia con el requisito de que la alerta de vida no dependa de la disponibilidad de internet. Esta decisión de priorización del backlog es también una decisión de arquitectura de seguridad (ver Capítulo 3).</w:t>
            </w:r>
          </w:p>
        </w:tc>
      </w:tr>
    </w:tbl>
    <w:p>
      <w:pPr>
        <w:spacing w:after="40"/>
      </w:pPr>
    </w:p>
    <w:p>
      <w:pPr>
        <w:spacing w:before="240" w:after="80"/>
        <w:outlineLvl w:val="1"/>
        <w:pBdr>
          <w:bottom w:val="single" w:sz="6" w:space="2" w:color="2E5496"/>
        </w:pBdr>
      </w:pPr>
      <w:r>
        <w:rPr>
          <w:rFonts w:ascii="Arial" w:hAnsi="Arial"/>
          <w:b/>
          <w:color w:val="2E5496"/>
          <w:sz w:val="24"/>
        </w:rPr>
        <w:t>2.2  Estructura del equipo y responsabilidades</w:t>
      </w:r>
    </w:p>
    <w:p>
      <w:pPr>
        <w:spacing w:after="120"/>
        <w:jc w:val="both"/>
      </w:pPr>
      <w:r>
        <w:rPr>
          <w:rFonts w:ascii="Arial" w:hAnsi="Arial"/>
          <w:sz w:val="21"/>
        </w:rPr>
        <w:t>El equipo de Grupo 3 está conformado por cuatro integrantes con perfiles complementarios (tres de sistemas/cibernética y uno de geología), lo que permitió cubrir de forma integrada el componente electrónico-software (IoT) y el componente geoespacial (SIG). La distribución de roles Scrum y responsabilidades técnicas fue la siguiente:</w:t>
      </w:r>
    </w:p>
    <w:tbl>
      <w:tblPr>
        <w:tblW w:type="auto" w:w="0"/>
        <w:jc w:val="center"/>
        <w:tblLayout w:type="fixed"/>
        <w:tblLook w:firstColumn="1" w:firstRow="1" w:lastColumn="0" w:lastRow="0" w:noHBand="0" w:noVBand="1" w:val="04A0"/>
      </w:tblPr>
      <w:tblGrid>
        <w:gridCol w:w="2379"/>
        <w:gridCol w:w="2379"/>
        <w:gridCol w:w="2379"/>
        <w:gridCol w:w="2379"/>
      </w:tblGrid>
      <w:tr>
        <w:tc>
          <w:tcPr>
            <w:tcW w:type="dxa" w:w="2041"/>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Integrante</w:t>
            </w:r>
          </w:p>
        </w:tc>
        <w:tc>
          <w:tcPr>
            <w:tcW w:type="dxa" w:w="2154"/>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Perfil</w:t>
            </w:r>
          </w:p>
        </w:tc>
        <w:tc>
          <w:tcPr>
            <w:tcW w:type="dxa" w:w="1814"/>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Rol Scrum</w:t>
            </w:r>
          </w:p>
        </w:tc>
        <w:tc>
          <w:tcPr>
            <w:tcW w:type="dxa" w:w="3402"/>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Responsabilidad técnica principal</w:t>
            </w:r>
          </w:p>
        </w:tc>
      </w:tr>
      <w:tr>
        <w:tc>
          <w:tcPr>
            <w:tcW w:type="dxa" w:w="204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María Alejandra Montoya</w:t>
            </w:r>
          </w:p>
        </w:tc>
        <w:tc>
          <w:tcPr>
            <w:tcW w:type="dxa" w:w="215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Ing. Geóloga</w:t>
            </w:r>
          </w:p>
        </w:tc>
        <w:tc>
          <w:tcPr>
            <w:tcW w:type="dxa" w:w="181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Product Owner (compartido)</w:t>
            </w:r>
          </w:p>
        </w:tc>
        <w:tc>
          <w:tcPr>
            <w:tcW w:type="dxa" w:w="340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Análisis geoespacial SIG, modelación hidrológica y de riesgo, geoportal</w:t>
            </w:r>
          </w:p>
        </w:tc>
      </w:tr>
      <w:tr>
        <w:tc>
          <w:tcPr>
            <w:tcW w:type="dxa" w:w="204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Juan Santiago Luna</w:t>
            </w:r>
          </w:p>
        </w:tc>
        <w:tc>
          <w:tcPr>
            <w:tcW w:type="dxa" w:w="215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Ing. de Sistemas Cibernéticos</w:t>
            </w:r>
          </w:p>
        </w:tc>
        <w:tc>
          <w:tcPr>
            <w:tcW w:type="dxa" w:w="181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Product Owner (compartido)</w:t>
            </w:r>
          </w:p>
        </w:tc>
        <w:tc>
          <w:tcPr>
            <w:tcW w:type="dxa" w:w="3402"/>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Arquitectura de software, API REST y soporte técnico del nodo</w:t>
            </w:r>
          </w:p>
        </w:tc>
      </w:tr>
      <w:tr>
        <w:tc>
          <w:tcPr>
            <w:tcW w:type="dxa" w:w="204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Marcela Duque Duque</w:t>
            </w:r>
          </w:p>
        </w:tc>
        <w:tc>
          <w:tcPr>
            <w:tcW w:type="dxa" w:w="215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Ing. Cibernética</w:t>
            </w:r>
          </w:p>
        </w:tc>
        <w:tc>
          <w:tcPr>
            <w:tcW w:type="dxa" w:w="181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Scrum Master</w:t>
            </w:r>
          </w:p>
        </w:tc>
        <w:tc>
          <w:tcPr>
            <w:tcW w:type="dxa" w:w="340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Facilitación del proceso ágil, gestión del backlog y documentación</w:t>
            </w:r>
          </w:p>
        </w:tc>
      </w:tr>
      <w:tr>
        <w:tc>
          <w:tcPr>
            <w:tcW w:type="dxa" w:w="204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Santiago Sierra</w:t>
            </w:r>
          </w:p>
        </w:tc>
        <w:tc>
          <w:tcPr>
            <w:tcW w:type="dxa" w:w="215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Ing. de Sistemas Cibernéticos</w:t>
            </w:r>
          </w:p>
        </w:tc>
        <w:tc>
          <w:tcPr>
            <w:tcW w:type="dxa" w:w="181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Equipo de Desarrollo</w:t>
            </w:r>
          </w:p>
        </w:tc>
        <w:tc>
          <w:tcPr>
            <w:tcW w:type="dxa" w:w="3402"/>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Firmware del nodo, integración de sensores y pruebas de laboratorio</w:t>
            </w:r>
          </w:p>
        </w:tc>
      </w:tr>
    </w:tbl>
    <w:p>
      <w:pPr>
        <w:spacing w:after="120"/>
        <w:jc w:val="both"/>
      </w:pPr>
      <w:r>
        <w:rPr>
          <w:rFonts w:ascii="Arial" w:hAnsi="Arial"/>
          <w:sz w:val="21"/>
        </w:rPr>
        <w:t>El rol de Product Owner se compartió entre los dos perfiles de dominio (riesgo/SIG e ingeniería/IoT) para asegurar que las decisiones de producto equilibraran la pertinencia territorial y la viabilidad técnica.</w:t>
      </w:r>
    </w:p>
    <w:p>
      <w:pPr>
        <w:spacing w:before="240" w:after="80"/>
        <w:outlineLvl w:val="1"/>
        <w:pBdr>
          <w:bottom w:val="single" w:sz="6" w:space="2" w:color="2E5496"/>
        </w:pBdr>
      </w:pPr>
      <w:r>
        <w:rPr>
          <w:rFonts w:ascii="Arial" w:hAnsi="Arial"/>
          <w:b/>
          <w:color w:val="2E5496"/>
          <w:sz w:val="24"/>
        </w:rPr>
        <w:t>2.3  Herramientas de gestión y desarrollo</w:t>
      </w:r>
    </w:p>
    <w:tbl>
      <w:tblPr>
        <w:tblW w:type="auto" w:w="0"/>
        <w:jc w:val="center"/>
        <w:tblLayout w:type="fixed"/>
        <w:tblLook w:firstColumn="1" w:firstRow="1" w:lastColumn="0" w:lastRow="0" w:noHBand="0" w:noVBand="1" w:val="04A0"/>
      </w:tblPr>
      <w:tblGrid>
        <w:gridCol w:w="3173"/>
        <w:gridCol w:w="3173"/>
        <w:gridCol w:w="3173"/>
      </w:tblGrid>
      <w:tr>
        <w:tc>
          <w:tcPr>
            <w:tcW w:type="dxa" w:w="1928"/>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Categoría</w:t>
            </w:r>
          </w:p>
        </w:tc>
        <w:tc>
          <w:tcPr>
            <w:tcW w:type="dxa" w:w="2494"/>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Herramienta</w:t>
            </w:r>
          </w:p>
        </w:tc>
        <w:tc>
          <w:tcPr>
            <w:tcW w:type="dxa" w:w="4989"/>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Propósito en el proyecto</w:t>
            </w:r>
          </w:p>
        </w:tc>
      </w:tr>
      <w:tr>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Gestión del backlog</w:t>
            </w:r>
          </w:p>
        </w:tc>
        <w:tc>
          <w:tcPr>
            <w:tcW w:type="dxa" w:w="249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Documento estructurado de requerimientos e historias de usuario</w:t>
            </w:r>
          </w:p>
        </w:tc>
        <w:tc>
          <w:tcPr>
            <w:tcW w:type="dxa" w:w="4989"/>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Registro y priorización de REQ-F/REQ-NF por valor para la gestión del riesgo</w:t>
            </w:r>
          </w:p>
        </w:tc>
      </w:tr>
      <w:tr>
        <w:tc>
          <w:tcPr>
            <w:tcW w:type="dxa" w:w="192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Comunicación</w:t>
            </w:r>
          </w:p>
        </w:tc>
        <w:tc>
          <w:tcPr>
            <w:tcW w:type="dxa" w:w="249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WhatsApp / encuentros de laboratorio</w:t>
            </w:r>
          </w:p>
        </w:tc>
        <w:tc>
          <w:tcPr>
            <w:tcW w:type="dxa" w:w="4989"/>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Sincronización diaria asíncrona y trabajo presencial de integración</w:t>
            </w:r>
          </w:p>
        </w:tc>
      </w:tr>
      <w:tr>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Repositorio de código</w:t>
            </w:r>
          </w:p>
        </w:tc>
        <w:tc>
          <w:tcPr>
            <w:tcW w:type="dxa" w:w="249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GitHub</w:t>
            </w:r>
          </w:p>
        </w:tc>
        <w:tc>
          <w:tcPr>
            <w:tcW w:type="dxa" w:w="4989"/>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Control de versiones del firmware, del backend y del geoportal (GitHub Pages)</w:t>
            </w:r>
          </w:p>
        </w:tc>
      </w:tr>
      <w:tr>
        <w:tc>
          <w:tcPr>
            <w:tcW w:type="dxa" w:w="192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Firmware</w:t>
            </w:r>
          </w:p>
        </w:tc>
        <w:tc>
          <w:tcPr>
            <w:tcW w:type="dxa" w:w="249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Arduino IDE</w:t>
            </w:r>
          </w:p>
        </w:tc>
        <w:tc>
          <w:tcPr>
            <w:tcW w:type="dxa" w:w="4989"/>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Desarrollo del programa embebido del ESP32-S3</w:t>
            </w:r>
          </w:p>
        </w:tc>
      </w:tr>
      <w:tr>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Backend / API</w:t>
            </w:r>
          </w:p>
        </w:tc>
        <w:tc>
          <w:tcPr>
            <w:tcW w:type="dxa" w:w="249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FastAPI (Python) + SQLAlchemy</w:t>
            </w:r>
          </w:p>
        </w:tc>
        <w:tc>
          <w:tcPr>
            <w:tcW w:type="dxa" w:w="4989"/>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Servicio REST de ingestión, evaluación de umbrales y gestión de alertas</w:t>
            </w:r>
          </w:p>
        </w:tc>
      </w:tr>
      <w:tr>
        <w:tc>
          <w:tcPr>
            <w:tcW w:type="dxa" w:w="192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Base de datos</w:t>
            </w:r>
          </w:p>
        </w:tc>
        <w:tc>
          <w:tcPr>
            <w:tcW w:type="dxa" w:w="249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PostgreSQL</w:t>
            </w:r>
          </w:p>
        </w:tc>
        <w:tc>
          <w:tcPr>
            <w:tcW w:type="dxa" w:w="4989"/>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Almacenamiento de mediciones, alertas y configuración</w:t>
            </w:r>
          </w:p>
        </w:tc>
      </w:tr>
      <w:tr>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Despliegue</w:t>
            </w:r>
          </w:p>
        </w:tc>
        <w:tc>
          <w:tcPr>
            <w:tcW w:type="dxa" w:w="249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Render</w:t>
            </w:r>
          </w:p>
        </w:tc>
        <w:tc>
          <w:tcPr>
            <w:tcW w:type="dxa" w:w="4989"/>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Publicación del backend y de la base de datos en la nube</w:t>
            </w:r>
          </w:p>
        </w:tc>
      </w:tr>
      <w:tr>
        <w:tc>
          <w:tcPr>
            <w:tcW w:type="dxa" w:w="192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SIG</w:t>
            </w:r>
          </w:p>
        </w:tc>
        <w:tc>
          <w:tcPr>
            <w:tcW w:type="dxa" w:w="249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ArcGIS Pro (arcpy / Spatial Analyst)</w:t>
            </w:r>
          </w:p>
        </w:tc>
        <w:tc>
          <w:tcPr>
            <w:tcW w:type="dxa" w:w="4989"/>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Modelación hidrológica, amenaza, exposición, riesgo y localización óptima (AHP/MCLP)</w:t>
            </w:r>
          </w:p>
        </w:tc>
      </w:tr>
      <w:tr>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Teledetección / nube</w:t>
            </w:r>
          </w:p>
        </w:tc>
        <w:tc>
          <w:tcPr>
            <w:tcW w:type="dxa" w:w="249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Google Earth Engine</w:t>
            </w:r>
          </w:p>
        </w:tc>
        <w:tc>
          <w:tcPr>
            <w:tcW w:type="dxa" w:w="4989"/>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Insumos CHIRPS, WorldPop, Sentinel-2 y coberturas</w:t>
            </w:r>
          </w:p>
        </w:tc>
      </w:tr>
      <w:tr>
        <w:tc>
          <w:tcPr>
            <w:tcW w:type="dxa" w:w="192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Geoportal</w:t>
            </w:r>
          </w:p>
        </w:tc>
        <w:tc>
          <w:tcPr>
            <w:tcW w:type="dxa" w:w="249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Leaflet + Chart.js (GitHub Pages)</w:t>
            </w:r>
          </w:p>
        </w:tc>
        <w:tc>
          <w:tcPr>
            <w:tcW w:type="dxa" w:w="4989"/>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Visor web que integra la capa estática (SIG) y la dinámica (IoT en vivo)</w:t>
            </w:r>
          </w:p>
        </w:tc>
      </w:tr>
    </w:tbl>
    <w:p>
      <w:pPr>
        <w:spacing w:before="240" w:after="80"/>
        <w:outlineLvl w:val="1"/>
        <w:pBdr>
          <w:bottom w:val="single" w:sz="6" w:space="2" w:color="2E5496"/>
        </w:pBdr>
      </w:pPr>
      <w:r>
        <w:rPr>
          <w:rFonts w:ascii="Arial" w:hAnsi="Arial"/>
          <w:b/>
          <w:color w:val="2E5496"/>
          <w:sz w:val="24"/>
        </w:rPr>
        <w:t>2.4  Cronograma de sprints</w:t>
      </w:r>
    </w:p>
    <w:p>
      <w:pPr>
        <w:spacing w:after="120"/>
        <w:jc w:val="both"/>
      </w:pPr>
      <w:r>
        <w:rPr>
          <w:rFonts w:ascii="Arial" w:hAnsi="Arial"/>
          <w:sz w:val="21"/>
        </w:rPr>
        <w:t>El trabajo se organizó en un sprint de arranque (Sprint 0) y sprints de desarrollo con entregas incrementales, culminando en el sprint de integración y documentación final. La tabla sintetiza el objetivo y los entregables de cada iteración. [SUPUESTO] Las fechas exactas se ajustan al calendario del curso.</w:t>
      </w:r>
    </w:p>
    <w:tbl>
      <w:tblPr>
        <w:tblW w:type="auto" w:w="0"/>
        <w:jc w:val="center"/>
        <w:tblLayout w:type="fixed"/>
        <w:tblLook w:firstColumn="1" w:firstRow="1" w:lastColumn="0" w:lastRow="0" w:noHBand="0" w:noVBand="1" w:val="04A0"/>
      </w:tblPr>
      <w:tblGrid>
        <w:gridCol w:w="2379"/>
        <w:gridCol w:w="2379"/>
        <w:gridCol w:w="2379"/>
        <w:gridCol w:w="2379"/>
      </w:tblGrid>
      <w:tr>
        <w:tc>
          <w:tcPr>
            <w:tcW w:type="dxa" w:w="1361"/>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Sprint</w:t>
            </w:r>
          </w:p>
        </w:tc>
        <w:tc>
          <w:tcPr>
            <w:tcW w:type="dxa" w:w="2381"/>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Objetivo</w:t>
            </w:r>
          </w:p>
        </w:tc>
        <w:tc>
          <w:tcPr>
            <w:tcW w:type="dxa" w:w="4195"/>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Entregables comprometidos</w:t>
            </w:r>
          </w:p>
        </w:tc>
        <w:tc>
          <w:tcPr>
            <w:tcW w:type="dxa" w:w="1474"/>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Estado</w:t>
            </w:r>
          </w:p>
        </w:tc>
      </w:tr>
      <w:tr>
        <w:tc>
          <w:tcPr>
            <w:tcW w:type="dxa" w:w="136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Sprint 0</w:t>
            </w:r>
          </w:p>
        </w:tc>
        <w:tc>
          <w:tcPr>
            <w:tcW w:type="dxa" w:w="238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Identificación del problema real (Lean) y levantamiento de requerimientos</w:t>
            </w:r>
          </w:p>
        </w:tc>
        <w:tc>
          <w:tcPr>
            <w:tcW w:type="dxa" w:w="4195"/>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Ficha de problema, cinco porqués, historias de usuario, matriz de requerimientos</w:t>
            </w:r>
          </w:p>
        </w:tc>
        <w:tc>
          <w:tcPr>
            <w:tcW w:type="dxa" w:w="147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Logrado</w:t>
            </w:r>
          </w:p>
        </w:tc>
      </w:tr>
      <w:tr>
        <w:tc>
          <w:tcPr>
            <w:tcW w:type="dxa" w:w="136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Sprint 1</w:t>
            </w:r>
          </w:p>
        </w:tc>
        <w:tc>
          <w:tcPr>
            <w:tcW w:type="dxa" w:w="238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Diseño de la solución y prueba de concepto en laboratorio</w:t>
            </w:r>
          </w:p>
        </w:tc>
        <w:tc>
          <w:tcPr>
            <w:tcW w:type="dxa" w:w="4195"/>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Lista de materiales (BOM), arquitectura por capas, ficha de validación N1–N4, nodo en protoboard</w:t>
            </w:r>
          </w:p>
        </w:tc>
        <w:tc>
          <w:tcPr>
            <w:tcW w:type="dxa" w:w="147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Logrado</w:t>
            </w:r>
          </w:p>
        </w:tc>
      </w:tr>
      <w:tr>
        <w:tc>
          <w:tcPr>
            <w:tcW w:type="dxa" w:w="136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Sprint 2</w:t>
            </w:r>
          </w:p>
        </w:tc>
        <w:tc>
          <w:tcPr>
            <w:tcW w:type="dxa" w:w="238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Arquitectura de datos y análisis geoespacial</w:t>
            </w:r>
          </w:p>
        </w:tc>
        <w:tc>
          <w:tcPr>
            <w:tcW w:type="dxa" w:w="4195"/>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API REST + PostgreSQL desplegadas, análisis SIG (amenaza/exposición/riesgo), localización AHP/MCLP</w:t>
            </w:r>
          </w:p>
        </w:tc>
        <w:tc>
          <w:tcPr>
            <w:tcW w:type="dxa" w:w="147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Logrado</w:t>
            </w:r>
          </w:p>
        </w:tc>
      </w:tr>
      <w:tr>
        <w:tc>
          <w:tcPr>
            <w:tcW w:type="dxa" w:w="136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Sprint Final</w:t>
            </w:r>
          </w:p>
        </w:tc>
        <w:tc>
          <w:tcPr>
            <w:tcW w:type="dxa" w:w="238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Integración IoT–SIG, geoportal y documento final</w:t>
            </w:r>
          </w:p>
        </w:tc>
        <w:tc>
          <w:tcPr>
            <w:tcW w:type="dxa" w:w="4195"/>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Geoportal con lectura en vivo, consolidación del informe y del material de sustentación</w:t>
            </w:r>
          </w:p>
        </w:tc>
        <w:tc>
          <w:tcPr>
            <w:tcW w:type="dxa" w:w="147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Logrado</w:t>
            </w:r>
          </w:p>
        </w:tc>
      </w:tr>
    </w:tbl>
    <w:tbl>
      <w:tblPr>
        <w:tblW w:type="auto" w:w="0"/>
        <w:jc w:val="center"/>
        <w:tblLook w:firstColumn="1" w:firstRow="1" w:lastColumn="0" w:lastRow="0" w:noHBand="0" w:noVBand="1" w:val="04A0"/>
      </w:tblPr>
      <w:tblGrid>
        <w:gridCol w:w="9411"/>
      </w:tblGrid>
      <w:tr>
        <w:tc>
          <w:tcPr>
            <w:tcW w:type="dxa" w:w="9411"/>
            <w:shd w:val="clear" w:color="auto" w:fill="F2F5FB"/>
            <w:tcBorders>
              <w:top w:val="single" w:sz="4" w:space="0" w:color="2E5496"/>
              <w:left w:val="single" w:sz="4" w:space="0" w:color="2E5496"/>
              <w:bottom w:val="single" w:sz="4" w:space="0" w:color="2E5496"/>
              <w:right w:val="single" w:sz="4" w:space="0" w:color="2E5496"/>
            </w:tcBorders>
          </w:tcPr>
          <w:p>
            <w:r/>
            <w:r>
              <w:rPr>
                <w:rFonts w:ascii="Arial" w:hAnsi="Arial"/>
                <w:b/>
                <w:color w:val="C0392B"/>
                <w:sz w:val="18"/>
              </w:rPr>
              <w:t xml:space="preserve">[A VERIFICAR]  </w:t>
            </w:r>
            <w:r>
              <w:rPr>
                <w:rFonts w:ascii="Arial" w:hAnsi="Arial"/>
                <w:sz w:val="19"/>
              </w:rPr>
              <w:t>La tabla de sprints es evidencia directa del proceso ágil. Las fechas puntuales quedan pendientes de confirmación contra el cronograma oficial del curso.</w:t>
            </w:r>
          </w:p>
        </w:tc>
      </w:tr>
    </w:tbl>
    <w:p>
      <w:pPr>
        <w:spacing w:after="40"/>
      </w:pPr>
    </w:p>
    <w:p>
      <w:pPr>
        <w:spacing w:before="280" w:after="200"/>
        <w:shd w:val="clear" w:color="auto" w:fill="1F3864"/>
        <w:outlineLvl w:val="0"/>
      </w:pPr>
      <w:r>
        <w:rPr>
          <w:rFonts w:ascii="Arial" w:hAnsi="Arial"/>
          <w:b/>
          <w:color w:val="FFFFFF"/>
          <w:sz w:val="28"/>
        </w:rPr>
        <w:t xml:space="preserve">  3.   Diseño de la Solución</w:t>
      </w:r>
    </w:p>
    <w:p>
      <w:pPr>
        <w:spacing w:after="120"/>
        <w:jc w:val="both"/>
      </w:pPr>
      <w:r>
        <w:rPr>
          <w:rFonts w:ascii="Arial" w:hAnsi="Arial"/>
          <w:sz w:val="21"/>
        </w:rPr>
        <w:t>Este capítulo documenta las decisiones de ingeniería del sistema. Cada componente se presenta con las alternativas evaluadas, los criterios de selección y la justificación técnica, distinguiendo siempre lo que corresponde a la prueba de concepto de laboratorio de lo proyectado para la fase operativa de campo.</w:t>
      </w:r>
    </w:p>
    <w:p>
      <w:pPr>
        <w:spacing w:before="240" w:after="80"/>
        <w:outlineLvl w:val="1"/>
        <w:pBdr>
          <w:bottom w:val="single" w:sz="6" w:space="2" w:color="2E5496"/>
        </w:pBdr>
      </w:pPr>
      <w:r>
        <w:rPr>
          <w:rFonts w:ascii="Arial" w:hAnsi="Arial"/>
          <w:b/>
          <w:color w:val="2E5496"/>
          <w:sz w:val="24"/>
        </w:rPr>
        <w:t>3.1  Arquitectura general del sistema</w:t>
      </w:r>
    </w:p>
    <w:p>
      <w:pPr>
        <w:spacing w:after="120"/>
        <w:jc w:val="both"/>
      </w:pPr>
      <w:r>
        <w:rPr>
          <w:rFonts w:ascii="Arial" w:hAnsi="Arial"/>
          <w:sz w:val="21"/>
        </w:rPr>
        <w:t xml:space="preserve">La solución se organiza en un </w:t>
      </w:r>
      <w:r>
        <w:rPr>
          <w:rFonts w:ascii="Arial" w:hAnsi="Arial"/>
          <w:b/>
          <w:sz w:val="21"/>
        </w:rPr>
        <w:t>modelo de cuatro capas</w:t>
      </w:r>
      <w:r>
        <w:rPr>
          <w:rFonts w:ascii="Arial" w:hAnsi="Arial"/>
          <w:sz w:val="21"/>
        </w:rPr>
        <w:t xml:space="preserve"> que traza el dato desde su origen físico hasta su visualización y su uso en la decisión:</w:t>
      </w:r>
    </w:p>
    <w:p>
      <w:pPr>
        <w:pStyle w:val="ListBullet"/>
        <w:spacing w:after="60"/>
        <w:ind w:left="454"/>
        <w:jc w:val="both"/>
      </w:pPr>
      <w:r>
        <w:rPr>
          <w:rFonts w:ascii="Arial" w:hAnsi="Arial"/>
          <w:sz w:val="21"/>
        </w:rPr>
      </w:r>
      <w:r>
        <w:rPr>
          <w:rFonts w:ascii="Arial" w:hAnsi="Arial"/>
          <w:b/>
          <w:sz w:val="21"/>
        </w:rPr>
        <w:t>Capa de adquisición (edge):</w:t>
      </w:r>
      <w:r>
        <w:rPr>
          <w:rFonts w:ascii="Arial" w:hAnsi="Arial"/>
          <w:sz w:val="21"/>
        </w:rPr>
        <w:t xml:space="preserve"> el nodo ESP32-S3 captura el nivel del agua (JSN-SR04T), la presencia de lluvia (YL-83) y la temperatura/humedad (SHT30), aplica localmente las reglas de negocio y activa la semaforización N1–N4 y el buzzer.</w:t>
      </w:r>
    </w:p>
    <w:p>
      <w:pPr>
        <w:pStyle w:val="ListBullet"/>
        <w:spacing w:after="60"/>
        <w:ind w:left="454"/>
        <w:jc w:val="both"/>
      </w:pPr>
      <w:r>
        <w:rPr>
          <w:rFonts w:ascii="Arial" w:hAnsi="Arial"/>
          <w:sz w:val="21"/>
        </w:rPr>
      </w:r>
      <w:r>
        <w:rPr>
          <w:rFonts w:ascii="Arial" w:hAnsi="Arial"/>
          <w:b/>
          <w:sz w:val="21"/>
        </w:rPr>
        <w:t>Capa de comunicación:</w:t>
      </w:r>
      <w:r>
        <w:rPr>
          <w:rFonts w:ascii="Arial" w:hAnsi="Arial"/>
          <w:sz w:val="21"/>
        </w:rPr>
        <w:t xml:space="preserve"> las lecturas se empaquetan en JSON y se transmiten por HTTP; en la PoC, sobre WiFi de laboratorio; en campo, sobre enlace celular.</w:t>
      </w:r>
    </w:p>
    <w:p>
      <w:pPr>
        <w:pStyle w:val="ListBullet"/>
        <w:spacing w:after="60"/>
        <w:ind w:left="454"/>
        <w:jc w:val="both"/>
      </w:pPr>
      <w:r>
        <w:rPr>
          <w:rFonts w:ascii="Arial" w:hAnsi="Arial"/>
          <w:sz w:val="21"/>
        </w:rPr>
      </w:r>
      <w:r>
        <w:rPr>
          <w:rFonts w:ascii="Arial" w:hAnsi="Arial"/>
          <w:b/>
          <w:sz w:val="21"/>
        </w:rPr>
        <w:t>Capa de procesamiento:</w:t>
      </w:r>
      <w:r>
        <w:rPr>
          <w:rFonts w:ascii="Arial" w:hAnsi="Arial"/>
          <w:sz w:val="21"/>
        </w:rPr>
        <w:t xml:space="preserve"> una API REST en FastAPI recibe el dato, valida, evalúa umbrales y gestiona la generación de alertas.</w:t>
      </w:r>
    </w:p>
    <w:p>
      <w:pPr>
        <w:pStyle w:val="ListBullet"/>
        <w:spacing w:after="60"/>
        <w:ind w:left="454"/>
        <w:jc w:val="both"/>
      </w:pPr>
      <w:r>
        <w:rPr>
          <w:rFonts w:ascii="Arial" w:hAnsi="Arial"/>
          <w:sz w:val="21"/>
        </w:rPr>
      </w:r>
      <w:r>
        <w:rPr>
          <w:rFonts w:ascii="Arial" w:hAnsi="Arial"/>
          <w:b/>
          <w:sz w:val="21"/>
        </w:rPr>
        <w:t>Capa de almacenamiento y visualización:</w:t>
      </w:r>
      <w:r>
        <w:rPr>
          <w:rFonts w:ascii="Arial" w:hAnsi="Arial"/>
          <w:sz w:val="21"/>
        </w:rPr>
        <w:t xml:space="preserve"> PostgreSQL persiste mediciones, alertas y configuración; el geoportal (SIG) y el panel de monitoreo consumen la API y presentan el estado en tiempo real sobre la cartografía del riesgo.</w:t>
      </w:r>
    </w:p>
    <w:tbl>
      <w:tblPr>
        <w:tblW w:type="auto" w:w="0"/>
        <w:jc w:val="center"/>
        <w:tblLook w:firstColumn="1" w:firstRow="1" w:lastColumn="0" w:lastRow="0" w:noHBand="0" w:noVBand="1" w:val="04A0"/>
      </w:tblPr>
      <w:tblGrid>
        <w:gridCol w:w="9411"/>
      </w:tblGrid>
      <w:tr>
        <w:tc>
          <w:tcPr>
            <w:tcW w:type="dxa" w:w="9411"/>
            <w:shd w:val="clear" w:color="auto" w:fill="F2F5FB"/>
            <w:tcBorders>
              <w:top w:val="single" w:sz="4" w:space="0" w:color="2E5496"/>
              <w:left w:val="single" w:sz="4" w:space="0" w:color="2E5496"/>
              <w:bottom w:val="single" w:sz="4" w:space="0" w:color="2E5496"/>
              <w:right w:val="single" w:sz="4" w:space="0" w:color="2E5496"/>
            </w:tcBorders>
          </w:tcPr>
          <w:p>
            <w:r/>
            <w:r>
              <w:rPr>
                <w:rFonts w:ascii="Arial" w:hAnsi="Arial"/>
                <w:b/>
                <w:color w:val="2E7D32"/>
                <w:sz w:val="18"/>
              </w:rPr>
              <w:t xml:space="preserve">[HECHO]  </w:t>
            </w:r>
            <w:r>
              <w:rPr>
                <w:rFonts w:ascii="Arial" w:hAnsi="Arial"/>
                <w:sz w:val="19"/>
              </w:rPr>
              <w:t xml:space="preserve">La lógica de umbral y alarma </w:t>
            </w:r>
            <w:r>
              <w:rPr>
                <w:rFonts w:ascii="Arial" w:hAnsi="Arial"/>
                <w:b/>
                <w:sz w:val="19"/>
              </w:rPr>
              <w:t>corre en el nodo (edge)</w:t>
            </w:r>
            <w:r>
              <w:rPr>
                <w:rFonts w:ascii="Arial" w:hAnsi="Arial"/>
                <w:sz w:val="19"/>
              </w:rPr>
              <w:t>, de modo que la alerta local (LED + buzzer) se dispara aunque falle la conectividad. La nube agrega persistencia, visualización remota y contexto territorial, pero no es un punto único de falla para la alarma de vida.</w:t>
            </w:r>
          </w:p>
        </w:tc>
      </w:tr>
    </w:tbl>
    <w:p>
      <w:pPr>
        <w:spacing w:after="40"/>
      </w:pPr>
    </w:p>
    <w:p>
      <w:pPr>
        <w:spacing w:before="120"/>
        <w:jc w:val="center"/>
      </w:pPr>
      <w:r>
        <w:drawing>
          <wp:inline xmlns:a="http://schemas.openxmlformats.org/drawingml/2006/main" xmlns:pic="http://schemas.openxmlformats.org/drawingml/2006/picture">
            <wp:extent cx="5580000" cy="3720000"/>
            <wp:docPr id="1" name="Picture 1"/>
            <wp:cNvGraphicFramePr>
              <a:graphicFrameLocks noChangeAspect="1"/>
            </wp:cNvGraphicFramePr>
            <a:graphic>
              <a:graphicData uri="http://schemas.openxmlformats.org/drawingml/2006/picture">
                <pic:pic>
                  <pic:nvPicPr>
                    <pic:cNvPr id="0" name="esquema_definitivo_estacion_meterologica.jpeg"/>
                    <pic:cNvPicPr/>
                  </pic:nvPicPr>
                  <pic:blipFill>
                    <a:blip r:embed="rId10"/>
                    <a:stretch>
                      <a:fillRect/>
                    </a:stretch>
                  </pic:blipFill>
                  <pic:spPr>
                    <a:xfrm>
                      <a:off x="0" y="0"/>
                      <a:ext cx="5580000" cy="3720000"/>
                    </a:xfrm>
                    <a:prstGeom prst="rect"/>
                  </pic:spPr>
                </pic:pic>
              </a:graphicData>
            </a:graphic>
          </wp:inline>
        </w:drawing>
      </w:r>
    </w:p>
    <w:p>
      <w:pPr>
        <w:spacing w:after="200"/>
        <w:jc w:val="center"/>
      </w:pPr>
      <w:r>
        <w:rPr>
          <w:rFonts w:ascii="Arial" w:hAnsi="Arial"/>
          <w:i/>
          <w:color w:val="555555"/>
          <w:sz w:val="17"/>
        </w:rPr>
        <w:t>Figura 1. Esquema definitivo del nodo de monitoreo (ESP32-S3, sensores y señalización N1–N4). Fuente: elaboración propia, Grupo 3.</w:t>
      </w:r>
    </w:p>
    <w:p>
      <w:pPr>
        <w:spacing w:before="240" w:after="80"/>
        <w:outlineLvl w:val="1"/>
        <w:pBdr>
          <w:bottom w:val="single" w:sz="6" w:space="2" w:color="2E5496"/>
        </w:pBdr>
      </w:pPr>
      <w:r>
        <w:rPr>
          <w:rFonts w:ascii="Arial" w:hAnsi="Arial"/>
          <w:b/>
          <w:color w:val="2E5496"/>
          <w:sz w:val="24"/>
        </w:rPr>
        <w:t>3.2  Capa de percepción</w:t>
      </w:r>
    </w:p>
    <w:p>
      <w:pPr>
        <w:spacing w:before="160" w:after="40"/>
        <w:outlineLvl w:val="2"/>
      </w:pPr>
      <w:r>
        <w:rPr>
          <w:rFonts w:ascii="Arial" w:hAnsi="Arial"/>
          <w:b/>
          <w:color w:val="1F3864"/>
          <w:sz w:val="22"/>
        </w:rPr>
        <w:t>3.2.1  Selección del sensor principal (nivel)</w:t>
      </w:r>
    </w:p>
    <w:p>
      <w:pPr>
        <w:spacing w:after="120"/>
        <w:jc w:val="both"/>
      </w:pPr>
      <w:r>
        <w:rPr>
          <w:rFonts w:ascii="Arial" w:hAnsi="Arial"/>
          <w:sz w:val="21"/>
        </w:rPr>
        <w:t>La variable crítica del sistema es el nivel del agua en el cauce. Se evaluaron tres alternativas de medición de nivel, priorizando la resistencia a impacto de detritos, la operación sin contacto con el agua y el costo compatible con un nodo de bajo costo:</w:t>
      </w:r>
    </w:p>
    <w:tbl>
      <w:tblPr>
        <w:tblW w:type="auto" w:w="0"/>
        <w:jc w:val="center"/>
        <w:tblLayout w:type="fixed"/>
        <w:tblLook w:firstColumn="1" w:firstRow="1" w:lastColumn="0" w:lastRow="0" w:noHBand="0" w:noVBand="1" w:val="04A0"/>
      </w:tblPr>
      <w:tblGrid>
        <w:gridCol w:w="1904"/>
        <w:gridCol w:w="1904"/>
        <w:gridCol w:w="1904"/>
        <w:gridCol w:w="1904"/>
        <w:gridCol w:w="1904"/>
      </w:tblGrid>
      <w:tr>
        <w:tc>
          <w:tcPr>
            <w:tcW w:type="dxa" w:w="1814"/>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Alternativa</w:t>
            </w:r>
          </w:p>
        </w:tc>
        <w:tc>
          <w:tcPr>
            <w:tcW w:type="dxa" w:w="1814"/>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Principio / rango</w:t>
            </w:r>
          </w:p>
        </w:tc>
        <w:tc>
          <w:tcPr>
            <w:tcW w:type="dxa" w:w="2041"/>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Ventajas</w:t>
            </w:r>
          </w:p>
        </w:tc>
        <w:tc>
          <w:tcPr>
            <w:tcW w:type="dxa" w:w="2041"/>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Limitaciones</w:t>
            </w:r>
          </w:p>
        </w:tc>
        <w:tc>
          <w:tcPr>
            <w:tcW w:type="dxa" w:w="1134"/>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Decisión PoC</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JSN-SR04T (ultrasónico impermeable)</w:t>
            </w:r>
          </w:p>
        </w:tc>
        <w:tc>
          <w:tcPr>
            <w:tcW w:type="dxa" w:w="181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Ultrasonido, ~0,25–4,5 m</w:t>
            </w:r>
          </w:p>
        </w:tc>
        <w:tc>
          <w:tcPr>
            <w:tcW w:type="dxa" w:w="204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Sin contacto, impermeable, bajo costo, integración simple con ESP32</w:t>
            </w:r>
          </w:p>
        </w:tc>
        <w:tc>
          <w:tcPr>
            <w:tcW w:type="dxa" w:w="204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Zona muerta (~0,25 m), ángulo de haz, deriva térmica de la velocidad del sonido</w:t>
            </w:r>
          </w:p>
        </w:tc>
        <w:tc>
          <w:tcPr>
            <w:tcW w:type="dxa" w:w="113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Seleccionado</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HC-SR04 (ultrasónico estándar)</w:t>
            </w:r>
          </w:p>
        </w:tc>
        <w:tc>
          <w:tcPr>
            <w:tcW w:type="dxa" w:w="181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Ultrasonido, ~0,02–4 m</w:t>
            </w:r>
          </w:p>
        </w:tc>
        <w:tc>
          <w:tcPr>
            <w:tcW w:type="dxa" w:w="204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Muy bajo costo, amplia documentación</w:t>
            </w:r>
          </w:p>
        </w:tc>
        <w:tc>
          <w:tcPr>
            <w:tcW w:type="dxa" w:w="204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No impermeable; inadecuado para intemperie sobre cauce</w:t>
            </w:r>
          </w:p>
        </w:tc>
        <w:tc>
          <w:tcPr>
            <w:tcW w:type="dxa" w:w="113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Descartado</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Radar 80 GHz (4–20 mA / RS485)</w:t>
            </w:r>
          </w:p>
        </w:tc>
        <w:tc>
          <w:tcPr>
            <w:tcW w:type="dxa" w:w="181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Radar FMCW, decenas de m</w:t>
            </w:r>
          </w:p>
        </w:tc>
        <w:tc>
          <w:tcPr>
            <w:tcW w:type="dxa" w:w="204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Alta precisión, robusto a lluvia/sedimento, grado industrial</w:t>
            </w:r>
          </w:p>
        </w:tc>
        <w:tc>
          <w:tcPr>
            <w:tcW w:type="dxa" w:w="204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Costo elevado; sobredimensionado para PoC</w:t>
            </w:r>
          </w:p>
        </w:tc>
        <w:tc>
          <w:tcPr>
            <w:tcW w:type="dxa" w:w="113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Fase operativa</w:t>
            </w:r>
          </w:p>
        </w:tc>
      </w:tr>
    </w:tbl>
    <w:p>
      <w:pPr>
        <w:spacing w:after="120"/>
        <w:jc w:val="both"/>
      </w:pPr>
      <w:r>
        <w:rPr>
          <w:rFonts w:ascii="Arial" w:hAnsi="Arial"/>
          <w:sz w:val="21"/>
        </w:rPr>
      </w:r>
      <w:r>
        <w:rPr>
          <w:rFonts w:ascii="Arial" w:hAnsi="Arial"/>
          <w:b/>
          <w:sz w:val="21"/>
        </w:rPr>
        <w:t>Justificación [RECOMENDACIÓN]:</w:t>
      </w:r>
      <w:r>
        <w:rPr>
          <w:rFonts w:ascii="Arial" w:hAnsi="Arial"/>
          <w:sz w:val="21"/>
        </w:rPr>
        <w:t xml:space="preserve"> para la PoC se seleccionó el </w:t>
      </w:r>
      <w:r>
        <w:rPr>
          <w:rFonts w:ascii="Arial" w:hAnsi="Arial"/>
          <w:b/>
          <w:sz w:val="21"/>
        </w:rPr>
        <w:t>JSN-SR04T</w:t>
      </w:r>
      <w:r>
        <w:rPr>
          <w:rFonts w:ascii="Arial" w:hAnsi="Arial"/>
          <w:sz w:val="21"/>
        </w:rPr>
        <w:t xml:space="preserve"> por ser un sensor ultrasónico impermeable, de bajo costo y sin contacto con la lámina de agua, lo que reduce el riesgo de daño por arrastre de material. Sus limitaciones físicas —zona muerta cercana, apertura del haz y dependencia de la velocidad del sonido con la temperatura— se declaran explícitamente y se mitigan: la zona muerta se resuelve elevando el sensor sobre la sección; la deriva térmica se compensa con la lectura del SHT30 (la velocidad del sonido varía ~0,6 m/s por °C). Para la fase operativa se recomienda migrar a un sensor de nivel tipo radar 80 GHz (salida 4–20 mA o RS485 Modbus), por su robustez frente a lluvia y sedimento. [A VERIFICAR] precios.</w:t>
      </w:r>
    </w:p>
    <w:p>
      <w:pPr>
        <w:spacing w:before="160" w:after="40"/>
        <w:outlineLvl w:val="2"/>
      </w:pPr>
      <w:r>
        <w:rPr>
          <w:rFonts w:ascii="Arial" w:hAnsi="Arial"/>
          <w:b/>
          <w:color w:val="1F3864"/>
          <w:sz w:val="22"/>
        </w:rPr>
        <w:t>3.2.2  Selección del microcontrolador</w:t>
      </w:r>
    </w:p>
    <w:tbl>
      <w:tblPr>
        <w:tblW w:type="auto" w:w="0"/>
        <w:jc w:val="center"/>
        <w:tblLayout w:type="fixed"/>
        <w:tblLook w:firstColumn="1" w:firstRow="1" w:lastColumn="0" w:lastRow="0" w:noHBand="0" w:noVBand="1" w:val="04A0"/>
      </w:tblPr>
      <w:tblGrid>
        <w:gridCol w:w="1904"/>
        <w:gridCol w:w="1904"/>
        <w:gridCol w:w="1904"/>
        <w:gridCol w:w="1904"/>
        <w:gridCol w:w="1904"/>
      </w:tblGrid>
      <w:tr>
        <w:tc>
          <w:tcPr>
            <w:tcW w:type="dxa" w:w="1701"/>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Alternativa</w:t>
            </w:r>
          </w:p>
        </w:tc>
        <w:tc>
          <w:tcPr>
            <w:tcW w:type="dxa" w:w="1928"/>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Cómputo / conectividad</w:t>
            </w:r>
          </w:p>
        </w:tc>
        <w:tc>
          <w:tcPr>
            <w:tcW w:type="dxa" w:w="2041"/>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Ventajas</w:t>
            </w:r>
          </w:p>
        </w:tc>
        <w:tc>
          <w:tcPr>
            <w:tcW w:type="dxa" w:w="2041"/>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Limitaciones</w:t>
            </w:r>
          </w:p>
        </w:tc>
        <w:tc>
          <w:tcPr>
            <w:tcW w:type="dxa" w:w="1134"/>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Decisión PoC</w:t>
            </w:r>
          </w:p>
        </w:tc>
      </w:tr>
      <w:tr>
        <w:tc>
          <w:tcPr>
            <w:tcW w:type="dxa" w:w="170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ESP32-S3 (WROOM-1)</w:t>
            </w:r>
          </w:p>
        </w:tc>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Xtensa doble núcleo, WiFi + BLE</w:t>
            </w:r>
          </w:p>
        </w:tc>
        <w:tc>
          <w:tcPr>
            <w:tcW w:type="dxa" w:w="204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Bajo costo, WiFi integrado, amplio soporte, doble núcleo</w:t>
            </w:r>
          </w:p>
        </w:tc>
        <w:tc>
          <w:tcPr>
            <w:tcW w:type="dxa" w:w="204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Solo WiFi/BLE (sin celular ni LoRa nativos)</w:t>
            </w:r>
          </w:p>
        </w:tc>
        <w:tc>
          <w:tcPr>
            <w:tcW w:type="dxa" w:w="113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Seleccionado</w:t>
            </w:r>
          </w:p>
        </w:tc>
      </w:tr>
      <w:tr>
        <w:tc>
          <w:tcPr>
            <w:tcW w:type="dxa" w:w="170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STM32 (Cortex-M)</w:t>
            </w:r>
          </w:p>
        </w:tc>
        <w:tc>
          <w:tcPr>
            <w:tcW w:type="dxa" w:w="192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MCU de bajo consumo, sin radio integrada</w:t>
            </w:r>
          </w:p>
        </w:tc>
        <w:tc>
          <w:tcPr>
            <w:tcW w:type="dxa" w:w="204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Grado industrial, bajo consumo, periféricos robustos</w:t>
            </w:r>
          </w:p>
        </w:tc>
        <w:tc>
          <w:tcPr>
            <w:tcW w:type="dxa" w:w="204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Requiere radio externa; mayor complejidad de firmware</w:t>
            </w:r>
          </w:p>
        </w:tc>
        <w:tc>
          <w:tcPr>
            <w:tcW w:type="dxa" w:w="113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Fase de campo</w:t>
            </w:r>
          </w:p>
        </w:tc>
      </w:tr>
      <w:tr>
        <w:tc>
          <w:tcPr>
            <w:tcW w:type="dxa" w:w="170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Nordic nRF52 (BLE)</w:t>
            </w:r>
          </w:p>
        </w:tc>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Cortex-M4 + BLE</w:t>
            </w:r>
          </w:p>
        </w:tc>
        <w:tc>
          <w:tcPr>
            <w:tcW w:type="dxa" w:w="204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Muy bajo consumo, ideal BLE</w:t>
            </w:r>
          </w:p>
        </w:tc>
        <w:tc>
          <w:tcPr>
            <w:tcW w:type="dxa" w:w="204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Perfil de comunicación no ajustado al SAT</w:t>
            </w:r>
          </w:p>
        </w:tc>
        <w:tc>
          <w:tcPr>
            <w:tcW w:type="dxa" w:w="113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Descartado</w:t>
            </w:r>
          </w:p>
        </w:tc>
      </w:tr>
    </w:tbl>
    <w:p>
      <w:pPr>
        <w:spacing w:after="120"/>
        <w:jc w:val="both"/>
      </w:pPr>
      <w:r>
        <w:rPr>
          <w:rFonts w:ascii="Arial" w:hAnsi="Arial"/>
          <w:sz w:val="21"/>
        </w:rPr>
      </w:r>
      <w:r>
        <w:rPr>
          <w:rFonts w:ascii="Arial" w:hAnsi="Arial"/>
          <w:b/>
          <w:sz w:val="21"/>
        </w:rPr>
        <w:t>Justificación [RECOMENDACIÓN]:</w:t>
      </w:r>
      <w:r>
        <w:rPr>
          <w:rFonts w:ascii="Arial" w:hAnsi="Arial"/>
          <w:sz w:val="21"/>
        </w:rPr>
        <w:t xml:space="preserve"> el </w:t>
      </w:r>
      <w:r>
        <w:rPr>
          <w:rFonts w:ascii="Arial" w:hAnsi="Arial"/>
          <w:b/>
          <w:sz w:val="21"/>
        </w:rPr>
        <w:t>ESP32-S3</w:t>
      </w:r>
      <w:r>
        <w:rPr>
          <w:rFonts w:ascii="Arial" w:hAnsi="Arial"/>
          <w:sz w:val="21"/>
        </w:rPr>
        <w:t xml:space="preserve"> ofrece la mejor relación costo/beneficio para el prototipado: integra WiFi (suficiente para la PoC), tiene doble núcleo para separar la adquisición de la comunicación, y cuenta con un ecosistema maduro en Arduino IDE. Su única conectividad nativa es WiFi/BLE; por ello, para la estación de campo se prevé un módulo celular externo. Como evolución hacia un nodo industrial se identifica el STM32 (Cortex-M) por su bajo consumo y robustez, descartándose plataformas orientadas exclusivamente a BLE (Nordic) por no ajustarse al perfil de comunicación del SAT.</w:t>
      </w:r>
    </w:p>
    <w:p>
      <w:pPr>
        <w:spacing w:before="160" w:after="40"/>
        <w:outlineLvl w:val="2"/>
      </w:pPr>
      <w:r>
        <w:rPr>
          <w:rFonts w:ascii="Arial" w:hAnsi="Arial"/>
          <w:b/>
          <w:color w:val="1F3864"/>
          <w:sz w:val="22"/>
        </w:rPr>
        <w:t>3.2.3  Decisión Make vs. Buy</w:t>
      </w:r>
    </w:p>
    <w:p>
      <w:pPr>
        <w:spacing w:after="120"/>
        <w:jc w:val="both"/>
      </w:pPr>
      <w:r>
        <w:rPr>
          <w:rFonts w:ascii="Arial" w:hAnsi="Arial"/>
          <w:sz w:val="21"/>
        </w:rPr>
        <w:t xml:space="preserve">Para la PoC se optó por </w:t>
      </w:r>
      <w:r>
        <w:rPr>
          <w:rFonts w:ascii="Arial" w:hAnsi="Arial"/>
          <w:b/>
          <w:sz w:val="21"/>
        </w:rPr>
        <w:t>comprar módulos comerciales de desarrollo (DevKit)</w:t>
      </w:r>
      <w:r>
        <w:rPr>
          <w:rFonts w:ascii="Arial" w:hAnsi="Arial"/>
          <w:sz w:val="21"/>
        </w:rPr>
        <w:t xml:space="preserve"> y sensores de estante, montados sobre protoboard, con el fin de agilizar las pruebas funcionales y reducir el tiempo de integración. Es una decisión de </w:t>
      </w:r>
      <w:r>
        <w:rPr>
          <w:rFonts w:ascii="Arial" w:hAnsi="Arial"/>
          <w:b/>
          <w:sz w:val="21"/>
        </w:rPr>
        <w:t>prototipado con ruta a producto</w:t>
      </w:r>
      <w:r>
        <w:rPr>
          <w:rFonts w:ascii="Arial" w:hAnsi="Arial"/>
          <w:sz w:val="21"/>
        </w:rPr>
        <w:t xml:space="preserve">: valida la solución con NRE (costo de ingeniería no recurrente) prácticamente nulo y sin riesgo de obsolescencia temprana. Para la fase de producción se contempla migrar a una </w:t>
      </w:r>
      <w:r>
        <w:rPr>
          <w:rFonts w:ascii="Arial" w:hAnsi="Arial"/>
          <w:b/>
          <w:sz w:val="21"/>
        </w:rPr>
        <w:t>tarjeta de circuito impreso (PCB) diseñada a medida</w:t>
      </w:r>
      <w:r>
        <w:rPr>
          <w:rFonts w:ascii="Arial" w:hAnsi="Arial"/>
          <w:sz w:val="21"/>
        </w:rPr>
        <w:t>, con reguladores dedicados, conectores industriales y alimentación autónoma (panel solar + batería), lo que optimiza el consumo, la robustez y el costo por unidad a partir de cierto volumen. [PROYECCIÓN]</w:t>
      </w:r>
    </w:p>
    <w:p>
      <w:pPr>
        <w:spacing w:before="240" w:after="80"/>
        <w:outlineLvl w:val="1"/>
        <w:pBdr>
          <w:bottom w:val="single" w:sz="6" w:space="2" w:color="2E5496"/>
        </w:pBdr>
      </w:pPr>
      <w:r>
        <w:rPr>
          <w:rFonts w:ascii="Arial" w:hAnsi="Arial"/>
          <w:b/>
          <w:color w:val="2E5496"/>
          <w:sz w:val="24"/>
        </w:rPr>
        <w:t>3.3  Conectividad</w:t>
      </w:r>
    </w:p>
    <w:p>
      <w:pPr>
        <w:spacing w:before="160" w:after="40"/>
        <w:outlineLvl w:val="2"/>
      </w:pPr>
      <w:r>
        <w:rPr>
          <w:rFonts w:ascii="Arial" w:hAnsi="Arial"/>
          <w:b/>
          <w:color w:val="1F3864"/>
          <w:sz w:val="22"/>
        </w:rPr>
        <w:t>3.3.1  Selección de tecnología inalámbrica</w:t>
      </w:r>
    </w:p>
    <w:p>
      <w:pPr>
        <w:spacing w:after="120"/>
        <w:jc w:val="both"/>
      </w:pPr>
      <w:r>
        <w:rPr>
          <w:rFonts w:ascii="Arial" w:hAnsi="Arial"/>
          <w:sz w:val="21"/>
        </w:rPr>
        <w:t xml:space="preserve">La selección se orientó por el </w:t>
      </w:r>
      <w:r>
        <w:rPr>
          <w:rFonts w:ascii="Arial" w:hAnsi="Arial"/>
          <w:b/>
          <w:sz w:val="21"/>
        </w:rPr>
        <w:t>triángulo IoT</w:t>
      </w:r>
      <w:r>
        <w:rPr>
          <w:rFonts w:ascii="Arial" w:hAnsi="Arial"/>
          <w:sz w:val="21"/>
        </w:rPr>
        <w:t xml:space="preserve"> (alcance / velocidad de datos / consumo) y, de manera determinante para un SAT de crecientes súbitas, por el </w:t>
      </w:r>
      <w:r>
        <w:rPr>
          <w:rFonts w:ascii="Arial" w:hAnsi="Arial"/>
          <w:b/>
          <w:sz w:val="21"/>
        </w:rPr>
        <w:t>requisito de latencia</w:t>
      </w:r>
      <w:r>
        <w:rPr>
          <w:rFonts w:ascii="Arial" w:hAnsi="Arial"/>
          <w:sz w:val="21"/>
        </w:rPr>
        <w:t>: el canal que dispara la alerta debe operar en tiempo cuasi-real (orden de segundos), mientras que la telemetría de contexto tolera cadencias más relajadas.</w:t>
      </w:r>
    </w:p>
    <w:tbl>
      <w:tblPr>
        <w:tblW w:type="auto" w:w="0"/>
        <w:jc w:val="center"/>
        <w:tblLayout w:type="fixed"/>
        <w:tblLook w:firstColumn="1" w:firstRow="1" w:lastColumn="0" w:lastRow="0" w:noHBand="0" w:noVBand="1" w:val="04A0"/>
      </w:tblPr>
      <w:tblGrid>
        <w:gridCol w:w="2379"/>
        <w:gridCol w:w="2379"/>
        <w:gridCol w:w="2379"/>
        <w:gridCol w:w="2379"/>
      </w:tblGrid>
      <w:tr>
        <w:tc>
          <w:tcPr>
            <w:tcW w:type="dxa" w:w="1701"/>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Tecnología</w:t>
            </w:r>
          </w:p>
        </w:tc>
        <w:tc>
          <w:tcPr>
            <w:tcW w:type="dxa" w:w="2494"/>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Alcance</w:t>
            </w:r>
          </w:p>
        </w:tc>
        <w:tc>
          <w:tcPr>
            <w:tcW w:type="dxa" w:w="2608"/>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Latencia / cadencia</w:t>
            </w:r>
          </w:p>
        </w:tc>
        <w:tc>
          <w:tcPr>
            <w:tcW w:type="dxa" w:w="2608"/>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Rol en el SAT</w:t>
            </w:r>
          </w:p>
        </w:tc>
      </w:tr>
      <w:tr>
        <w:tc>
          <w:tcPr>
            <w:tcW w:type="dxa" w:w="170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WiFi</w:t>
            </w:r>
          </w:p>
        </w:tc>
        <w:tc>
          <w:tcPr>
            <w:tcW w:type="dxa" w:w="249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Local (decenas de m)</w:t>
            </w:r>
          </w:p>
        </w:tc>
        <w:tc>
          <w:tcPr>
            <w:tcW w:type="dxa" w:w="260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Baja (tiempo real)</w:t>
            </w:r>
          </w:p>
        </w:tc>
        <w:tc>
          <w:tcPr>
            <w:tcW w:type="dxa" w:w="260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Canal de la PoC (laboratorio)</w:t>
            </w:r>
          </w:p>
        </w:tc>
      </w:tr>
      <w:tr>
        <w:tc>
          <w:tcPr>
            <w:tcW w:type="dxa" w:w="170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Celular 4G LTE</w:t>
            </w:r>
          </w:p>
        </w:tc>
        <w:tc>
          <w:tcPr>
            <w:tcW w:type="dxa" w:w="249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Amplio (cobertura del operador)</w:t>
            </w:r>
          </w:p>
        </w:tc>
        <w:tc>
          <w:tcPr>
            <w:tcW w:type="dxa" w:w="260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Baja</w:t>
            </w:r>
          </w:p>
        </w:tc>
        <w:tc>
          <w:tcPr>
            <w:tcW w:type="dxa" w:w="260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Transmisión de la estación de campo</w:t>
            </w:r>
          </w:p>
        </w:tc>
      </w:tr>
      <w:tr>
        <w:tc>
          <w:tcPr>
            <w:tcW w:type="dxa" w:w="170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LoRaWAN</w:t>
            </w:r>
          </w:p>
        </w:tc>
        <w:tc>
          <w:tcPr>
            <w:tcW w:type="dxa" w:w="249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Km (largo alcance)</w:t>
            </w:r>
          </w:p>
        </w:tc>
        <w:tc>
          <w:tcPr>
            <w:tcW w:type="dxa" w:w="260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Alta (restricción de ciclo de trabajo)</w:t>
            </w:r>
          </w:p>
        </w:tc>
        <w:tc>
          <w:tcPr>
            <w:tcW w:type="dxa" w:w="260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Telemetría de contexto, no alerta primaria</w:t>
            </w:r>
          </w:p>
        </w:tc>
      </w:tr>
    </w:tbl>
    <w:p>
      <w:pPr>
        <w:spacing w:after="120"/>
        <w:jc w:val="both"/>
      </w:pPr>
      <w:r>
        <w:rPr>
          <w:rFonts w:ascii="Arial" w:hAnsi="Arial"/>
          <w:sz w:val="21"/>
        </w:rPr>
      </w:r>
      <w:r>
        <w:rPr>
          <w:rFonts w:ascii="Arial" w:hAnsi="Arial"/>
          <w:b/>
          <w:sz w:val="21"/>
        </w:rPr>
        <w:t>Justificación [RECOMENDACIÓN]:</w:t>
      </w:r>
      <w:r>
        <w:rPr>
          <w:rFonts w:ascii="Arial" w:hAnsi="Arial"/>
          <w:sz w:val="21"/>
        </w:rPr>
        <w:t xml:space="preserve"> en la PoC la transmisión se realiza por </w:t>
      </w:r>
      <w:r>
        <w:rPr>
          <w:rFonts w:ascii="Arial" w:hAnsi="Arial"/>
          <w:b/>
          <w:sz w:val="21"/>
        </w:rPr>
        <w:t>WiFi de laboratorio</w:t>
      </w:r>
      <w:r>
        <w:rPr>
          <w:rFonts w:ascii="Arial" w:hAnsi="Arial"/>
          <w:sz w:val="21"/>
        </w:rPr>
        <w:t xml:space="preserve">, adecuado para validar la cadena de datos. Para la estación de campo se prevé </w:t>
      </w:r>
      <w:r>
        <w:rPr>
          <w:rFonts w:ascii="Arial" w:hAnsi="Arial"/>
          <w:b/>
          <w:sz w:val="21"/>
        </w:rPr>
        <w:t>conectividad celular 4G LTE</w:t>
      </w:r>
      <w:r>
        <w:rPr>
          <w:rFonts w:ascii="Arial" w:hAnsi="Arial"/>
          <w:sz w:val="21"/>
        </w:rPr>
        <w:t xml:space="preserve"> (módulo externo tipo SIM7600 con alimentación independiente), por su cobertura y baja latencia. Se evaluó </w:t>
      </w:r>
      <w:r>
        <w:rPr>
          <w:rFonts w:ascii="Arial" w:hAnsi="Arial"/>
          <w:b/>
          <w:sz w:val="21"/>
        </w:rPr>
        <w:t>LoRaWAN</w:t>
      </w:r>
      <w:r>
        <w:rPr>
          <w:rFonts w:ascii="Arial" w:hAnsi="Arial"/>
          <w:sz w:val="21"/>
        </w:rPr>
        <w:t xml:space="preserve"> por su largo alcance y bajo consumo, pero se descarta como </w:t>
      </w:r>
      <w:r>
        <w:rPr>
          <w:rFonts w:ascii="Arial" w:hAnsi="Arial"/>
          <w:b/>
          <w:sz w:val="21"/>
        </w:rPr>
        <w:t>canal primario de alerta</w:t>
      </w:r>
      <w:r>
        <w:rPr>
          <w:rFonts w:ascii="Arial" w:hAnsi="Arial"/>
          <w:sz w:val="21"/>
        </w:rPr>
        <w:t>: al operar en banda ISM no licenciada, LoRaWAN está sujeto a una restricción de ciclo de trabajo del 1 % (del orden de 36 s de tiempo en aire por hora por sub-banda), por lo que la literatura especializada concluye que no satisface los requisitos de monitoreo determinista ni de operación en tiempo real [14]. En consecuencia, LoRaWAN se reserva para telemetría de contexto (variables ambientales de baja frecuencia), no para el disparo de la alarma.</w:t>
      </w:r>
    </w:p>
    <w:tbl>
      <w:tblPr>
        <w:tblW w:type="auto" w:w="0"/>
        <w:jc w:val="center"/>
        <w:tblLook w:firstColumn="1" w:firstRow="1" w:lastColumn="0" w:lastRow="0" w:noHBand="0" w:noVBand="1" w:val="04A0"/>
      </w:tblPr>
      <w:tblGrid>
        <w:gridCol w:w="9411"/>
      </w:tblGrid>
      <w:tr>
        <w:tc>
          <w:tcPr>
            <w:tcW w:type="dxa" w:w="9411"/>
            <w:shd w:val="clear" w:color="auto" w:fill="F2F5FB"/>
            <w:tcBorders>
              <w:top w:val="single" w:sz="4" w:space="0" w:color="2E5496"/>
              <w:left w:val="single" w:sz="4" w:space="0" w:color="2E5496"/>
              <w:bottom w:val="single" w:sz="4" w:space="0" w:color="2E5496"/>
              <w:right w:val="single" w:sz="4" w:space="0" w:color="2E5496"/>
            </w:tcBorders>
          </w:tcPr>
          <w:p>
            <w:r/>
            <w:r>
              <w:rPr>
                <w:rFonts w:ascii="Arial" w:hAnsi="Arial"/>
                <w:b/>
                <w:color w:val="1F3864"/>
                <w:sz w:val="18"/>
              </w:rPr>
              <w:t xml:space="preserve">[RECOMENDACIÓN]  </w:t>
            </w:r>
            <w:r>
              <w:rPr>
                <w:rFonts w:ascii="Arial" w:hAnsi="Arial"/>
                <w:sz w:val="19"/>
              </w:rPr>
              <w:t xml:space="preserve">Esta es una de las decisiones arquitectónicas centrales del proyecto: </w:t>
            </w:r>
            <w:r>
              <w:rPr>
                <w:rFonts w:ascii="Arial" w:hAnsi="Arial"/>
                <w:b/>
                <w:sz w:val="19"/>
              </w:rPr>
              <w:t>la alerta de vida no se delega a un enlace con ciclo de trabajo restringido</w:t>
            </w:r>
            <w:r>
              <w:rPr>
                <w:rFonts w:ascii="Arial" w:hAnsi="Arial"/>
                <w:sz w:val="19"/>
              </w:rPr>
              <w:t>. El disparo crítico ocurre localmente en el nodo (edge); la red transporta el estado hacia la nube para persistencia y visualización.</w:t>
            </w:r>
          </w:p>
        </w:tc>
      </w:tr>
    </w:tbl>
    <w:p>
      <w:pPr>
        <w:spacing w:after="40"/>
      </w:pPr>
    </w:p>
    <w:p>
      <w:pPr>
        <w:spacing w:before="160" w:after="40"/>
        <w:outlineLvl w:val="2"/>
      </w:pPr>
      <w:r>
        <w:rPr>
          <w:rFonts w:ascii="Arial" w:hAnsi="Arial"/>
          <w:b/>
          <w:color w:val="1F3864"/>
          <w:sz w:val="22"/>
        </w:rPr>
        <w:t>3.3.2  Diseño del payload</w:t>
      </w:r>
    </w:p>
    <w:p>
      <w:pPr>
        <w:spacing w:after="120"/>
        <w:jc w:val="both"/>
      </w:pPr>
      <w:r>
        <w:rPr>
          <w:rFonts w:ascii="Arial" w:hAnsi="Arial"/>
          <w:sz w:val="21"/>
        </w:rPr>
        <w:t>El nodo transmite un objeto JSON ligero (&lt; 1 KB) con la medición y el estado derivado. El esquema de campos es:</w:t>
      </w:r>
    </w:p>
    <w:tbl>
      <w:tblPr>
        <w:tblW w:type="auto" w:w="0"/>
        <w:jc w:val="center"/>
        <w:tblLayout w:type="fixed"/>
        <w:tblLook w:firstColumn="1" w:firstRow="1" w:lastColumn="0" w:lastRow="0" w:noHBand="0" w:noVBand="1" w:val="04A0"/>
      </w:tblPr>
      <w:tblGrid>
        <w:gridCol w:w="2379"/>
        <w:gridCol w:w="2379"/>
        <w:gridCol w:w="2379"/>
        <w:gridCol w:w="2379"/>
      </w:tblGrid>
      <w:tr>
        <w:tc>
          <w:tcPr>
            <w:tcW w:type="dxa" w:w="1814"/>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Campo</w:t>
            </w:r>
          </w:p>
        </w:tc>
        <w:tc>
          <w:tcPr>
            <w:tcW w:type="dxa" w:w="1247"/>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Tipo</w:t>
            </w:r>
          </w:p>
        </w:tc>
        <w:tc>
          <w:tcPr>
            <w:tcW w:type="dxa" w:w="2154"/>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Unidad / rango</w:t>
            </w:r>
          </w:p>
        </w:tc>
        <w:tc>
          <w:tcPr>
            <w:tcW w:type="dxa" w:w="4082"/>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Descripción</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nivel_agua</w:t>
            </w:r>
          </w:p>
        </w:tc>
        <w:tc>
          <w:tcPr>
            <w:tcW w:type="dxa" w:w="1247"/>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float</w:t>
            </w:r>
          </w:p>
        </w:tc>
        <w:tc>
          <w:tcPr>
            <w:tcW w:type="dxa" w:w="215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cm</w:t>
            </w:r>
          </w:p>
        </w:tc>
        <w:tc>
          <w:tcPr>
            <w:tcW w:type="dxa" w:w="408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Profundidad estimada de la lámina de agua</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nivel_fluvial</w:t>
            </w:r>
          </w:p>
        </w:tc>
        <w:tc>
          <w:tcPr>
            <w:tcW w:type="dxa" w:w="1247"/>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float</w:t>
            </w:r>
          </w:p>
        </w:tc>
        <w:tc>
          <w:tcPr>
            <w:tcW w:type="dxa" w:w="215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cm / adim.</w:t>
            </w:r>
          </w:p>
        </w:tc>
        <w:tc>
          <w:tcPr>
            <w:tcW w:type="dxa" w:w="4082"/>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Nivel de referencia del cauce</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temperatura</w:t>
            </w:r>
          </w:p>
        </w:tc>
        <w:tc>
          <w:tcPr>
            <w:tcW w:type="dxa" w:w="1247"/>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float</w:t>
            </w:r>
          </w:p>
        </w:tc>
        <w:tc>
          <w:tcPr>
            <w:tcW w:type="dxa" w:w="215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°C</w:t>
            </w:r>
          </w:p>
        </w:tc>
        <w:tc>
          <w:tcPr>
            <w:tcW w:type="dxa" w:w="408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Temperatura del aire (SHT30)</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humedad</w:t>
            </w:r>
          </w:p>
        </w:tc>
        <w:tc>
          <w:tcPr>
            <w:tcW w:type="dxa" w:w="1247"/>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float</w:t>
            </w:r>
          </w:p>
        </w:tc>
        <w:tc>
          <w:tcPr>
            <w:tcW w:type="dxa" w:w="215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w:t>
            </w:r>
          </w:p>
        </w:tc>
        <w:tc>
          <w:tcPr>
            <w:tcW w:type="dxa" w:w="4082"/>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Humedad relativa (SHT30)</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esta_lloviendo</w:t>
            </w:r>
          </w:p>
        </w:tc>
        <w:tc>
          <w:tcPr>
            <w:tcW w:type="dxa" w:w="1247"/>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bool</w:t>
            </w:r>
          </w:p>
        </w:tc>
        <w:tc>
          <w:tcPr>
            <w:tcW w:type="dxa" w:w="215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true/false</w:t>
            </w:r>
          </w:p>
        </w:tc>
        <w:tc>
          <w:tcPr>
            <w:tcW w:type="dxa" w:w="408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Presencia de lluvia (YL-83)</w:t>
            </w:r>
          </w:p>
        </w:tc>
      </w:tr>
      <w:tr>
        <w:tc>
          <w:tcPr>
            <w:tcW w:type="dxa" w:w="181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estado_alerta</w:t>
            </w:r>
          </w:p>
        </w:tc>
        <w:tc>
          <w:tcPr>
            <w:tcW w:type="dxa" w:w="1247"/>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texto</w:t>
            </w:r>
          </w:p>
        </w:tc>
        <w:tc>
          <w:tcPr>
            <w:tcW w:type="dxa" w:w="215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N1–N4 / NORMAL…CRÍTICO</w:t>
            </w:r>
          </w:p>
        </w:tc>
        <w:tc>
          <w:tcPr>
            <w:tcW w:type="dxa" w:w="4082"/>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Estado derivado por la lógica de umbral</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fecha_hora</w:t>
            </w:r>
          </w:p>
        </w:tc>
        <w:tc>
          <w:tcPr>
            <w:tcW w:type="dxa" w:w="1247"/>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timestamp</w:t>
            </w:r>
          </w:p>
        </w:tc>
        <w:tc>
          <w:tcPr>
            <w:tcW w:type="dxa" w:w="215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ISO 8601</w:t>
            </w:r>
          </w:p>
        </w:tc>
        <w:tc>
          <w:tcPr>
            <w:tcW w:type="dxa" w:w="408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Marca temporal de la medición</w:t>
            </w:r>
          </w:p>
        </w:tc>
      </w:tr>
    </w:tbl>
    <w:tbl>
      <w:tblPr>
        <w:tblW w:type="auto" w:w="0"/>
        <w:jc w:val="center"/>
        <w:tblLook w:firstColumn="1" w:firstRow="1" w:lastColumn="0" w:lastRow="0" w:noHBand="0" w:noVBand="1" w:val="04A0"/>
      </w:tblPr>
      <w:tblGrid>
        <w:gridCol w:w="9411"/>
      </w:tblGrid>
      <w:tr>
        <w:tc>
          <w:tcPr>
            <w:tcW w:type="dxa" w:w="9411"/>
            <w:shd w:val="clear" w:color="auto" w:fill="F2F5FB"/>
            <w:tcBorders>
              <w:top w:val="single" w:sz="4" w:space="0" w:color="2E5496"/>
              <w:left w:val="single" w:sz="4" w:space="0" w:color="2E5496"/>
              <w:bottom w:val="single" w:sz="4" w:space="0" w:color="2E5496"/>
              <w:right w:val="single" w:sz="4" w:space="0" w:color="2E5496"/>
            </w:tcBorders>
          </w:tcPr>
          <w:p>
            <w:r/>
            <w:r>
              <w:rPr>
                <w:rFonts w:ascii="Arial" w:hAnsi="Arial"/>
                <w:b/>
                <w:color w:val="2E7D32"/>
                <w:sz w:val="18"/>
              </w:rPr>
              <w:t xml:space="preserve">[HECHO]  </w:t>
            </w:r>
            <w:r>
              <w:rPr>
                <w:rFonts w:ascii="Arial" w:hAnsi="Arial"/>
                <w:sz w:val="19"/>
              </w:rPr>
              <w:t xml:space="preserve">El sensor </w:t>
            </w:r>
            <w:r>
              <w:rPr>
                <w:rFonts w:ascii="Arial" w:hAnsi="Arial"/>
                <w:b/>
                <w:sz w:val="19"/>
              </w:rPr>
              <w:t>YL-83 detecta presencia de lluvia, no intensidad</w:t>
            </w:r>
            <w:r>
              <w:rPr>
                <w:rFonts w:ascii="Arial" w:hAnsi="Arial"/>
                <w:sz w:val="19"/>
              </w:rPr>
              <w:t>; por ello el campo es booleano. Una medición de intensidad de precipitación requiere, en fase operativa, un pluviómetro de balancín (0,2 mm/pulso).</w:t>
            </w:r>
          </w:p>
        </w:tc>
      </w:tr>
    </w:tbl>
    <w:p>
      <w:pPr>
        <w:spacing w:after="40"/>
      </w:pPr>
    </w:p>
    <w:p>
      <w:pPr>
        <w:spacing w:before="160" w:after="40"/>
        <w:outlineLvl w:val="2"/>
      </w:pPr>
      <w:r>
        <w:rPr>
          <w:rFonts w:ascii="Arial" w:hAnsi="Arial"/>
          <w:b/>
          <w:color w:val="1F3864"/>
          <w:sz w:val="22"/>
        </w:rPr>
        <w:t>3.3.3  Protocolo de aplicación</w:t>
      </w:r>
    </w:p>
    <w:p>
      <w:pPr>
        <w:spacing w:after="120"/>
        <w:jc w:val="both"/>
      </w:pPr>
      <w:r>
        <w:rPr>
          <w:rFonts w:ascii="Arial" w:hAnsi="Arial"/>
          <w:sz w:val="21"/>
        </w:rPr>
        <w:t xml:space="preserve">Se seleccionó </w:t>
      </w:r>
      <w:r>
        <w:rPr>
          <w:rFonts w:ascii="Arial" w:hAnsi="Arial"/>
          <w:b/>
          <w:sz w:val="21"/>
        </w:rPr>
        <w:t>HTTP/REST</w:t>
      </w:r>
      <w:r>
        <w:rPr>
          <w:rFonts w:ascii="Arial" w:hAnsi="Arial"/>
          <w:sz w:val="21"/>
        </w:rPr>
        <w:t xml:space="preserve"> como protocolo de aplicación: el ESP32-S3 realiza peticiones </w:t>
      </w:r>
      <w:r>
        <w:rPr>
          <w:rFonts w:ascii="Arial" w:hAnsi="Arial"/>
          <w:b/>
          <w:sz w:val="21"/>
        </w:rPr>
        <w:t>POST</w:t>
      </w:r>
      <w:r>
        <w:rPr>
          <w:rFonts w:ascii="Arial" w:hAnsi="Arial"/>
          <w:sz w:val="21"/>
        </w:rPr>
        <w:t xml:space="preserve"> para registrar cada medición y la API expone </w:t>
      </w:r>
      <w:r>
        <w:rPr>
          <w:rFonts w:ascii="Arial" w:hAnsi="Arial"/>
          <w:b/>
          <w:sz w:val="21"/>
        </w:rPr>
        <w:t>GET</w:t>
      </w:r>
      <w:r>
        <w:rPr>
          <w:rFonts w:ascii="Arial" w:hAnsi="Arial"/>
          <w:sz w:val="21"/>
        </w:rPr>
        <w:t xml:space="preserve"> para consulta. HTTP fue preferido sobre MQTT en esta fase por su simplicidad de integración con el backend FastAPI, la facilidad de depuración y la ausencia de un bróker adicional. Los principales endpoints publicados son:</w:t>
      </w:r>
    </w:p>
    <w:tbl>
      <w:tblPr>
        <w:tblW w:type="auto" w:w="0"/>
        <w:jc w:val="center"/>
        <w:tblLayout w:type="fixed"/>
        <w:tblLook w:firstColumn="1" w:firstRow="1" w:lastColumn="0" w:lastRow="0" w:noHBand="0" w:noVBand="1" w:val="04A0"/>
      </w:tblPr>
      <w:tblGrid>
        <w:gridCol w:w="3173"/>
        <w:gridCol w:w="3173"/>
        <w:gridCol w:w="3173"/>
      </w:tblGrid>
      <w:tr>
        <w:tc>
          <w:tcPr>
            <w:tcW w:type="dxa" w:w="3288"/>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Endpoint</w:t>
            </w:r>
          </w:p>
        </w:tc>
        <w:tc>
          <w:tcPr>
            <w:tcW w:type="dxa" w:w="1361"/>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Método</w:t>
            </w:r>
          </w:p>
        </w:tc>
        <w:tc>
          <w:tcPr>
            <w:tcW w:type="dxa" w:w="4762"/>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Devuelve</w:t>
            </w:r>
          </w:p>
        </w:tc>
      </w:tr>
      <w:tr>
        <w:tc>
          <w:tcPr>
            <w:tcW w:type="dxa" w:w="328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/mediciones</w:t>
            </w:r>
          </w:p>
        </w:tc>
        <w:tc>
          <w:tcPr>
            <w:tcW w:type="dxa" w:w="136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POST</w:t>
            </w:r>
          </w:p>
        </w:tc>
        <w:tc>
          <w:tcPr>
            <w:tcW w:type="dxa" w:w="476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Registra una medición</w:t>
            </w:r>
          </w:p>
        </w:tc>
      </w:tr>
      <w:tr>
        <w:tc>
          <w:tcPr>
            <w:tcW w:type="dxa" w:w="328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/mediciones/ultima</w:t>
            </w:r>
          </w:p>
        </w:tc>
        <w:tc>
          <w:tcPr>
            <w:tcW w:type="dxa" w:w="136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GET</w:t>
            </w:r>
          </w:p>
        </w:tc>
        <w:tc>
          <w:tcPr>
            <w:tcW w:type="dxa" w:w="4762"/>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Última medición (objeto)</w:t>
            </w:r>
          </w:p>
        </w:tc>
      </w:tr>
      <w:tr>
        <w:tc>
          <w:tcPr>
            <w:tcW w:type="dxa" w:w="328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/mediciones</w:t>
            </w:r>
          </w:p>
        </w:tc>
        <w:tc>
          <w:tcPr>
            <w:tcW w:type="dxa" w:w="136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GET</w:t>
            </w:r>
          </w:p>
        </w:tc>
        <w:tc>
          <w:tcPr>
            <w:tcW w:type="dxa" w:w="476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Todas las mediciones (arreglo)</w:t>
            </w:r>
          </w:p>
        </w:tc>
      </w:tr>
      <w:tr>
        <w:tc>
          <w:tcPr>
            <w:tcW w:type="dxa" w:w="328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/mapa</w:t>
            </w:r>
          </w:p>
        </w:tc>
        <w:tc>
          <w:tcPr>
            <w:tcW w:type="dxa" w:w="136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GET</w:t>
            </w:r>
          </w:p>
        </w:tc>
        <w:tc>
          <w:tcPr>
            <w:tcW w:type="dxa" w:w="4762"/>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GeoJSON con la medición del punto de monitoreo (consumo del geoportal)</w:t>
            </w:r>
          </w:p>
        </w:tc>
      </w:tr>
      <w:tr>
        <w:tc>
          <w:tcPr>
            <w:tcW w:type="dxa" w:w="328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/alertas</w:t>
            </w:r>
          </w:p>
        </w:tc>
        <w:tc>
          <w:tcPr>
            <w:tcW w:type="dxa" w:w="136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GET</w:t>
            </w:r>
          </w:p>
        </w:tc>
        <w:tc>
          <w:tcPr>
            <w:tcW w:type="dxa" w:w="476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Lista de alertas (más reciente primero)</w:t>
            </w:r>
          </w:p>
        </w:tc>
      </w:tr>
      <w:tr>
        <w:tc>
          <w:tcPr>
            <w:tcW w:type="dxa" w:w="328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/configuracion-alertas</w:t>
            </w:r>
          </w:p>
        </w:tc>
        <w:tc>
          <w:tcPr>
            <w:tcW w:type="dxa" w:w="136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GET/PUT</w:t>
            </w:r>
          </w:p>
        </w:tc>
        <w:tc>
          <w:tcPr>
            <w:tcW w:type="dxa" w:w="4762"/>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Consulta y actualización de umbrales</w:t>
            </w:r>
          </w:p>
        </w:tc>
      </w:tr>
    </w:tbl>
    <w:p>
      <w:pPr>
        <w:spacing w:after="120"/>
        <w:jc w:val="both"/>
      </w:pPr>
      <w:r>
        <w:rPr>
          <w:rFonts w:ascii="Arial" w:hAnsi="Arial"/>
          <w:sz w:val="21"/>
        </w:rPr>
        <w:t xml:space="preserve">La estrategia de </w:t>
      </w:r>
      <w:r>
        <w:rPr>
          <w:rFonts w:ascii="Arial" w:hAnsi="Arial"/>
          <w:b/>
          <w:sz w:val="21"/>
        </w:rPr>
        <w:t>reconexión</w:t>
      </w:r>
      <w:r>
        <w:rPr>
          <w:rFonts w:ascii="Arial" w:hAnsi="Arial"/>
          <w:sz w:val="21"/>
        </w:rPr>
        <w:t xml:space="preserve"> contempla reintentos del nodo ante pérdida de enlace y, del lado del cliente, un sondeo periódico (el geoportal consulta el estado cada ~10 s y el panel de monitoreo cada ~5 s). Para la publicación en la nube queda pendiente habilitar CORS en la API para el consumo directo desde el geoportal público (en desarrollo se usa un proxy local). [A VERIFICAR]</w:t>
      </w:r>
    </w:p>
    <w:p>
      <w:pPr>
        <w:spacing w:before="240" w:after="80"/>
        <w:outlineLvl w:val="1"/>
        <w:pBdr>
          <w:bottom w:val="single" w:sz="6" w:space="2" w:color="2E5496"/>
        </w:pBdr>
      </w:pPr>
      <w:r>
        <w:rPr>
          <w:rFonts w:ascii="Arial" w:hAnsi="Arial"/>
          <w:b/>
          <w:color w:val="2E5496"/>
          <w:sz w:val="24"/>
        </w:rPr>
        <w:t>3.4  Gateway y Edge Computing</w:t>
      </w:r>
    </w:p>
    <w:p>
      <w:pPr>
        <w:spacing w:after="120"/>
        <w:jc w:val="both"/>
      </w:pPr>
      <w:r>
        <w:rPr>
          <w:rFonts w:ascii="Arial" w:hAnsi="Arial"/>
          <w:sz w:val="21"/>
        </w:rPr>
        <w:t xml:space="preserve">El sistema no emplea un </w:t>
      </w:r>
      <w:r>
        <w:rPr>
          <w:rFonts w:ascii="Arial" w:hAnsi="Arial"/>
          <w:b/>
          <w:sz w:val="21"/>
        </w:rPr>
        <w:t>gateway físico intermedio</w:t>
      </w:r>
      <w:r>
        <w:rPr>
          <w:rFonts w:ascii="Arial" w:hAnsi="Arial"/>
          <w:sz w:val="21"/>
        </w:rPr>
        <w:t xml:space="preserve">: el nodo se comunica directamente con la nube (arquitectura *direct-to-cloud*), lo que reduce puntos de falla y costo para un despliegue de un solo nodo. El </w:t>
      </w:r>
      <w:r>
        <w:rPr>
          <w:rFonts w:ascii="Arial" w:hAnsi="Arial"/>
          <w:b/>
          <w:sz w:val="21"/>
        </w:rPr>
        <w:t>cómputo en el borde (edge)</w:t>
      </w:r>
      <w:r>
        <w:rPr>
          <w:rFonts w:ascii="Arial" w:hAnsi="Arial"/>
          <w:sz w:val="21"/>
        </w:rPr>
        <w:t xml:space="preserve"> es el elemento clave de la arquitectura: el ESP32-S3 no se limita a transmitir, sino que ejecuta localmente la conversión de la lectura ultrasónica a profundidad, la clasificación de niveles y el disparo de la señalización. Esta descentralización garantiza que la alerta local opere con independencia de la red. En una futura red multinodo, un gateway podría agregar, filtrar y respaldar la telemetría de varios nodos antes del envío a la nube. [PROYECCIÓN]</w:t>
      </w:r>
    </w:p>
    <w:p>
      <w:pPr>
        <w:spacing w:before="240" w:after="80"/>
        <w:outlineLvl w:val="1"/>
        <w:pBdr>
          <w:bottom w:val="single" w:sz="6" w:space="2" w:color="2E5496"/>
        </w:pBdr>
      </w:pPr>
      <w:r>
        <w:rPr>
          <w:rFonts w:ascii="Arial" w:hAnsi="Arial"/>
          <w:b/>
          <w:color w:val="2E5496"/>
          <w:sz w:val="24"/>
        </w:rPr>
        <w:t>3.5  Plataforma y pipeline de datos</w:t>
      </w:r>
    </w:p>
    <w:p>
      <w:pPr>
        <w:spacing w:after="120"/>
        <w:jc w:val="both"/>
      </w:pPr>
      <w:r>
        <w:rPr>
          <w:rFonts w:ascii="Arial" w:hAnsi="Arial"/>
          <w:sz w:val="21"/>
        </w:rPr>
        <w:t xml:space="preserve">La plataforma se construyó con </w:t>
      </w:r>
      <w:r>
        <w:rPr>
          <w:rFonts w:ascii="Arial" w:hAnsi="Arial"/>
          <w:b/>
          <w:sz w:val="21"/>
        </w:rPr>
        <w:t>FastAPI (Python)</w:t>
      </w:r>
      <w:r>
        <w:rPr>
          <w:rFonts w:ascii="Arial" w:hAnsi="Arial"/>
          <w:sz w:val="21"/>
        </w:rPr>
        <w:t xml:space="preserve"> como framework de la API REST, </w:t>
      </w:r>
      <w:r>
        <w:rPr>
          <w:rFonts w:ascii="Arial" w:hAnsi="Arial"/>
          <w:b/>
          <w:sz w:val="21"/>
        </w:rPr>
        <w:t>SQLAlchemy</w:t>
      </w:r>
      <w:r>
        <w:rPr>
          <w:rFonts w:ascii="Arial" w:hAnsi="Arial"/>
          <w:sz w:val="21"/>
        </w:rPr>
        <w:t xml:space="preserve"> como ORM y </w:t>
      </w:r>
      <w:r>
        <w:rPr>
          <w:rFonts w:ascii="Arial" w:hAnsi="Arial"/>
          <w:b/>
          <w:sz w:val="21"/>
        </w:rPr>
        <w:t>PostgreSQL</w:t>
      </w:r>
      <w:r>
        <w:rPr>
          <w:rFonts w:ascii="Arial" w:hAnsi="Arial"/>
          <w:sz w:val="21"/>
        </w:rPr>
        <w:t xml:space="preserve"> como motor de base de datos, todo desplegado en </w:t>
      </w:r>
      <w:r>
        <w:rPr>
          <w:rFonts w:ascii="Arial" w:hAnsi="Arial"/>
          <w:b/>
          <w:sz w:val="21"/>
        </w:rPr>
        <w:t>Render</w:t>
      </w:r>
      <w:r>
        <w:rPr>
          <w:rFonts w:ascii="Arial" w:hAnsi="Arial"/>
          <w:sz w:val="21"/>
        </w:rPr>
        <w:t>. El pipeline de datos es: el ESP32-S3 envía la medición por HTTP → la API valida e ingiere el dato → PostgreSQL lo persiste en la tabla principal de mediciones (y en las tablas de alertas, configuración y notificaciones) → la API evalúa los umbrales y deriva el estado → el geoportal y el panel de monitoreo consumen la API y visualizan el estado en tiempo real. El estado de alerta se deriva del nivel medido contra los umbrales configurados (NORMAL · PREVENCIÓN · CRÍTICO), derivación robusta que prima sobre el campo crudo del prototipo.</w:t>
      </w:r>
    </w:p>
    <w:p>
      <w:pPr>
        <w:spacing w:before="120"/>
        <w:jc w:val="center"/>
      </w:pPr>
      <w:r>
        <w:drawing>
          <wp:inline xmlns:a="http://schemas.openxmlformats.org/drawingml/2006/main" xmlns:pic="http://schemas.openxmlformats.org/drawingml/2006/picture">
            <wp:extent cx="5760000" cy="7792941"/>
            <wp:docPr id="2" name="Picture 2"/>
            <wp:cNvGraphicFramePr>
              <a:graphicFrameLocks noChangeAspect="1"/>
            </wp:cNvGraphicFramePr>
            <a:graphic>
              <a:graphicData uri="http://schemas.openxmlformats.org/drawingml/2006/picture">
                <pic:pic>
                  <pic:nvPicPr>
                    <pic:cNvPr id="0" name="1.jpeg"/>
                    <pic:cNvPicPr/>
                  </pic:nvPicPr>
                  <pic:blipFill>
                    <a:blip r:embed="rId11"/>
                    <a:stretch>
                      <a:fillRect/>
                    </a:stretch>
                  </pic:blipFill>
                  <pic:spPr>
                    <a:xfrm>
                      <a:off x="0" y="0"/>
                      <a:ext cx="5760000" cy="7792941"/>
                    </a:xfrm>
                    <a:prstGeom prst="rect"/>
                  </pic:spPr>
                </pic:pic>
              </a:graphicData>
            </a:graphic>
          </wp:inline>
        </w:drawing>
      </w:r>
    </w:p>
    <w:p>
      <w:pPr>
        <w:spacing w:after="200"/>
        <w:jc w:val="center"/>
      </w:pPr>
      <w:r>
        <w:rPr>
          <w:rFonts w:ascii="Arial" w:hAnsi="Arial"/>
          <w:i/>
          <w:color w:val="555555"/>
          <w:sz w:val="17"/>
        </w:rPr>
        <w:t>Figura 2. Arquitectura de datos: base de datos PostgreSQL, API REST (FastAPI) y despliegue en la nube (Render). Fuente: elaboración propia, Grupo 3.</w:t>
      </w:r>
    </w:p>
    <w:p>
      <w:pPr>
        <w:spacing w:before="240" w:after="80"/>
        <w:outlineLvl w:val="1"/>
        <w:pBdr>
          <w:bottom w:val="single" w:sz="6" w:space="2" w:color="2E5496"/>
        </w:pBdr>
      </w:pPr>
      <w:r>
        <w:rPr>
          <w:rFonts w:ascii="Arial" w:hAnsi="Arial"/>
          <w:b/>
          <w:color w:val="2E5496"/>
          <w:sz w:val="24"/>
        </w:rPr>
        <w:t>3.6  Integración SIG</w:t>
      </w:r>
    </w:p>
    <w:p>
      <w:pPr>
        <w:spacing w:before="160" w:after="40"/>
        <w:outlineLvl w:val="2"/>
      </w:pPr>
      <w:r>
        <w:rPr>
          <w:rFonts w:ascii="Arial" w:hAnsi="Arial"/>
          <w:b/>
          <w:color w:val="1F3864"/>
          <w:sz w:val="22"/>
        </w:rPr>
        <w:t>3.6.1  Tipo de análisis espacial</w:t>
      </w:r>
    </w:p>
    <w:p>
      <w:pPr>
        <w:spacing w:after="120"/>
        <w:jc w:val="both"/>
      </w:pPr>
      <w:r>
        <w:rPr>
          <w:rFonts w:ascii="Arial" w:hAnsi="Arial"/>
          <w:sz w:val="21"/>
        </w:rPr>
        <w:t xml:space="preserve">El componente geoespacial responde a la pregunta de </w:t>
      </w:r>
      <w:r>
        <w:rPr>
          <w:rFonts w:ascii="Arial" w:hAnsi="Arial"/>
          <w:b/>
          <w:sz w:val="21"/>
        </w:rPr>
        <w:t>dónde</w:t>
      </w:r>
      <w:r>
        <w:rPr>
          <w:rFonts w:ascii="Arial" w:hAnsi="Arial"/>
          <w:sz w:val="21"/>
        </w:rPr>
        <w:t xml:space="preserve"> está la amenaza, </w:t>
      </w:r>
      <w:r>
        <w:rPr>
          <w:rFonts w:ascii="Arial" w:hAnsi="Arial"/>
          <w:b/>
          <w:sz w:val="21"/>
        </w:rPr>
        <w:t>quién</w:t>
      </w:r>
      <w:r>
        <w:rPr>
          <w:rFonts w:ascii="Arial" w:hAnsi="Arial"/>
          <w:sz w:val="21"/>
        </w:rPr>
        <w:t xml:space="preserve"> está expuesto y </w:t>
      </w:r>
      <w:r>
        <w:rPr>
          <w:rFonts w:ascii="Arial" w:hAnsi="Arial"/>
          <w:b/>
          <w:sz w:val="21"/>
        </w:rPr>
        <w:t>dónde</w:t>
      </w:r>
      <w:r>
        <w:rPr>
          <w:rFonts w:ascii="Arial" w:hAnsi="Arial"/>
          <w:sz w:val="21"/>
        </w:rPr>
        <w:t xml:space="preserve"> ubicar los equipos. Combina varios análisis: </w:t>
      </w:r>
      <w:r>
        <w:rPr>
          <w:rFonts w:ascii="Arial" w:hAnsi="Arial"/>
          <w:b/>
          <w:sz w:val="21"/>
        </w:rPr>
        <w:t>análisis de cuencas sobre MDE</w:t>
      </w:r>
      <w:r>
        <w:rPr>
          <w:rFonts w:ascii="Arial" w:hAnsi="Arial"/>
          <w:sz w:val="21"/>
        </w:rPr>
        <w:t xml:space="preserve"> (delimitación, dirección y acumulación de flujo, con *stream burning* del cauce real); </w:t>
      </w:r>
      <w:r>
        <w:rPr>
          <w:rFonts w:ascii="Arial" w:hAnsi="Arial"/>
          <w:b/>
          <w:sz w:val="21"/>
        </w:rPr>
        <w:t>morfometría</w:t>
      </w:r>
      <w:r>
        <w:rPr>
          <w:rFonts w:ascii="Arial" w:hAnsi="Arial"/>
          <w:sz w:val="21"/>
        </w:rPr>
        <w:t xml:space="preserve"> (Melton, densidad de drenaje, tiempo de concentración); </w:t>
      </w:r>
      <w:r>
        <w:rPr>
          <w:rFonts w:ascii="Arial" w:hAnsi="Arial"/>
          <w:b/>
          <w:sz w:val="21"/>
        </w:rPr>
        <w:t>modelación de amenaza por energía de flujo</w:t>
      </w:r>
      <w:r>
        <w:rPr>
          <w:rFonts w:ascii="Arial" w:hAnsi="Arial"/>
          <w:sz w:val="21"/>
        </w:rPr>
        <w:t xml:space="preserve"> (*stream power* = acumulación de flujo × pendiente longitudinal del cauce); </w:t>
      </w:r>
      <w:r>
        <w:rPr>
          <w:rFonts w:ascii="Arial" w:hAnsi="Arial"/>
          <w:b/>
          <w:sz w:val="21"/>
        </w:rPr>
        <w:t>superposición (overlay)</w:t>
      </w:r>
      <w:r>
        <w:rPr>
          <w:rFonts w:ascii="Arial" w:hAnsi="Arial"/>
          <w:sz w:val="21"/>
        </w:rPr>
        <w:t xml:space="preserve"> de amenaza y exposición para el riesgo; y </w:t>
      </w:r>
      <w:r>
        <w:rPr>
          <w:rFonts w:ascii="Arial" w:hAnsi="Arial"/>
          <w:b/>
          <w:sz w:val="21"/>
        </w:rPr>
        <w:t>optimización multicriterio</w:t>
      </w:r>
      <w:r>
        <w:rPr>
          <w:rFonts w:ascii="Arial" w:hAnsi="Arial"/>
          <w:sz w:val="21"/>
        </w:rPr>
        <w:t>: Proceso de Análisis Jerárquico (AHP) para la localización de la estación y Modelo de Máxima Cobertura (MCLP) con verificación acústica (soundshed) para las bocinas. La elección de estos métodos responde a que la variable rectora de una avenida torrencial es la energía del flujo sobre el eje del cauce, y a que la decisión de localización es intrínsecamente multicriterio.</w:t>
      </w:r>
    </w:p>
    <w:tbl>
      <w:tblPr>
        <w:tblW w:type="auto" w:w="0"/>
        <w:jc w:val="center"/>
        <w:tblLook w:firstColumn="1" w:firstRow="1" w:lastColumn="0" w:lastRow="0" w:noHBand="0" w:noVBand="1" w:val="04A0"/>
      </w:tblPr>
      <w:tblGrid>
        <w:gridCol w:w="9411"/>
      </w:tblGrid>
      <w:tr>
        <w:tc>
          <w:tcPr>
            <w:tcW w:type="dxa" w:w="9411"/>
            <w:shd w:val="clear" w:color="auto" w:fill="F2F5FB"/>
            <w:tcBorders>
              <w:top w:val="single" w:sz="4" w:space="0" w:color="2E5496"/>
              <w:left w:val="single" w:sz="4" w:space="0" w:color="2E5496"/>
              <w:bottom w:val="single" w:sz="4" w:space="0" w:color="2E5496"/>
              <w:right w:val="single" w:sz="4" w:space="0" w:color="2E5496"/>
            </w:tcBorders>
          </w:tcPr>
          <w:p>
            <w:r/>
            <w:r>
              <w:rPr>
                <w:rFonts w:ascii="Arial" w:hAnsi="Arial"/>
                <w:b/>
                <w:color w:val="1F3864"/>
                <w:sz w:val="18"/>
              </w:rPr>
              <w:t xml:space="preserve">[RECOMENDACIÓN]  </w:t>
            </w:r>
            <w:r>
              <w:rPr>
                <w:rFonts w:ascii="Arial" w:hAnsi="Arial"/>
                <w:sz w:val="19"/>
              </w:rPr>
              <w:t xml:space="preserve">La localización óptima de la estación se obtuvo por </w:t>
            </w:r>
            <w:r>
              <w:rPr>
                <w:rFonts w:ascii="Arial" w:hAnsi="Arial"/>
                <w:b/>
                <w:sz w:val="19"/>
              </w:rPr>
              <w:t>AHP (matriz de Saaty)</w:t>
            </w:r>
            <w:r>
              <w:rPr>
                <w:rFonts w:ascii="Arial" w:hAnsi="Arial"/>
                <w:sz w:val="19"/>
              </w:rPr>
              <w:t xml:space="preserve"> con una razón de consistencia CR = 0,008 (&lt; 0,1, consistente) [15]. El punto óptimo </w:t>
            </w:r>
            <w:r>
              <w:rPr>
                <w:rFonts w:ascii="Arial" w:hAnsi="Arial"/>
                <w:b/>
                <w:sz w:val="19"/>
              </w:rPr>
              <w:t>P1</w:t>
            </w:r>
            <w:r>
              <w:rPr>
                <w:rFonts w:ascii="Arial" w:hAnsi="Arial"/>
                <w:sz w:val="19"/>
              </w:rPr>
              <w:t xml:space="preserve"> (6,407003 / −75,446880, WGS84) se ubica justo debajo de la confluencia principal, capta ~89 % del área aportante y otorga una ventana de reacción de 3,4–7,9 min. Es un candidato de gabinete que requiere verificación en terreno. [SIG] [A VERIFICAR]</w:t>
            </w:r>
          </w:p>
        </w:tc>
      </w:tr>
    </w:tbl>
    <w:p>
      <w:pPr>
        <w:spacing w:after="40"/>
      </w:pPr>
    </w:p>
    <w:p>
      <w:pPr>
        <w:spacing w:before="160" w:after="40"/>
        <w:outlineLvl w:val="2"/>
      </w:pPr>
      <w:r>
        <w:rPr>
          <w:rFonts w:ascii="Arial" w:hAnsi="Arial"/>
          <w:b/>
          <w:color w:val="1F3864"/>
          <w:sz w:val="22"/>
        </w:rPr>
        <w:t>3.6.2  Fuentes de datos geoespaciales</w:t>
      </w:r>
    </w:p>
    <w:tbl>
      <w:tblPr>
        <w:tblW w:type="auto" w:w="0"/>
        <w:jc w:val="center"/>
        <w:tblLayout w:type="fixed"/>
        <w:tblLook w:firstColumn="1" w:firstRow="1" w:lastColumn="0" w:lastRow="0" w:noHBand="0" w:noVBand="1" w:val="04A0"/>
      </w:tblPr>
      <w:tblGrid>
        <w:gridCol w:w="2379"/>
        <w:gridCol w:w="2379"/>
        <w:gridCol w:w="2379"/>
        <w:gridCol w:w="2379"/>
      </w:tblGrid>
      <w:tr>
        <w:tc>
          <w:tcPr>
            <w:tcW w:type="dxa" w:w="1928"/>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Capa / insumo</w:t>
            </w:r>
          </w:p>
        </w:tc>
        <w:tc>
          <w:tcPr>
            <w:tcW w:type="dxa" w:w="1928"/>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Fuente</w:t>
            </w:r>
          </w:p>
        </w:tc>
        <w:tc>
          <w:tcPr>
            <w:tcW w:type="dxa" w:w="1814"/>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Resolución / referencia</w:t>
            </w:r>
          </w:p>
        </w:tc>
        <w:tc>
          <w:tcPr>
            <w:tcW w:type="dxa" w:w="3742"/>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Uso</w:t>
            </w:r>
          </w:p>
        </w:tc>
      </w:tr>
      <w:tr>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MDE LiDAR 2 m</w:t>
            </w:r>
          </w:p>
        </w:tc>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AMVA</w:t>
            </w:r>
          </w:p>
        </w:tc>
        <w:tc>
          <w:tcPr>
            <w:tcW w:type="dxa" w:w="181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2 m · EPSG:9377</w:t>
            </w:r>
          </w:p>
        </w:tc>
        <w:tc>
          <w:tcPr>
            <w:tcW w:type="dxa" w:w="374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Base topográfica e hidrológica (cuenca, red, pendientes, sección)</w:t>
            </w:r>
          </w:p>
        </w:tc>
      </w:tr>
      <w:tr>
        <w:tc>
          <w:tcPr>
            <w:tcW w:type="dxa" w:w="192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Precipitación CHIRPS</w:t>
            </w:r>
          </w:p>
        </w:tc>
        <w:tc>
          <w:tcPr>
            <w:tcW w:type="dxa" w:w="192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Google Earth Engine</w:t>
            </w:r>
          </w:p>
        </w:tc>
        <w:tc>
          <w:tcPr>
            <w:tcW w:type="dxa" w:w="181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serie 44 años</w:t>
            </w:r>
          </w:p>
        </w:tc>
        <w:tc>
          <w:tcPr>
            <w:tcW w:type="dxa" w:w="3742"/>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Lluvia de diseño (calibrada a IDF del río Medellín)</w:t>
            </w:r>
          </w:p>
        </w:tc>
      </w:tr>
      <w:tr>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Población WorldPop</w:t>
            </w:r>
          </w:p>
        </w:tc>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Google Earth Engine</w:t>
            </w:r>
          </w:p>
        </w:tc>
        <w:tc>
          <w:tcPr>
            <w:tcW w:type="dxa" w:w="181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2020</w:t>
            </w:r>
          </w:p>
        </w:tc>
        <w:tc>
          <w:tcPr>
            <w:tcW w:type="dxa" w:w="374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Exposición (~1.701 hab en la cuenca)</w:t>
            </w:r>
          </w:p>
        </w:tc>
      </w:tr>
      <w:tr>
        <w:tc>
          <w:tcPr>
            <w:tcW w:type="dxa" w:w="192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Construcciones</w:t>
            </w:r>
          </w:p>
        </w:tc>
        <w:tc>
          <w:tcPr>
            <w:tcW w:type="dxa" w:w="192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Google Open Buildings</w:t>
            </w:r>
          </w:p>
        </w:tc>
        <w:tc>
          <w:tcPr>
            <w:tcW w:type="dxa" w:w="181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w:t>
            </w:r>
          </w:p>
        </w:tc>
        <w:tc>
          <w:tcPr>
            <w:tcW w:type="dxa" w:w="3742"/>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1.056 construcciones (exposición)</w:t>
            </w:r>
          </w:p>
        </w:tc>
      </w:tr>
      <w:tr>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Coberturas Sentinel-2</w:t>
            </w:r>
          </w:p>
        </w:tc>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Google Earth Engine</w:t>
            </w:r>
          </w:p>
        </w:tc>
        <w:tc>
          <w:tcPr>
            <w:tcW w:type="dxa" w:w="181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NDVI/BSI</w:t>
            </w:r>
          </w:p>
        </w:tc>
        <w:tc>
          <w:tcPr>
            <w:tcW w:type="dxa" w:w="374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Suelo desnudo / sedimentos</w:t>
            </w:r>
          </w:p>
        </w:tc>
      </w:tr>
      <w:tr>
        <w:tc>
          <w:tcPr>
            <w:tcW w:type="dxa" w:w="192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POMCA río Aburrá</w:t>
            </w:r>
          </w:p>
        </w:tc>
        <w:tc>
          <w:tcPr>
            <w:tcW w:type="dxa" w:w="192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CORANTIOQUIA / AMVA</w:t>
            </w:r>
          </w:p>
        </w:tc>
        <w:tc>
          <w:tcPr>
            <w:tcW w:type="dxa" w:w="181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oficial</w:t>
            </w:r>
          </w:p>
        </w:tc>
        <w:tc>
          <w:tcPr>
            <w:tcW w:type="dxa" w:w="3742"/>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Marco de ordenación y contraste de cuenca</w:t>
            </w:r>
          </w:p>
        </w:tc>
      </w:tr>
      <w:tr>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Red hídrica oficial</w:t>
            </w:r>
          </w:p>
        </w:tc>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CORANTIOQUIA (ArcGIS REST)</w:t>
            </w:r>
          </w:p>
        </w:tc>
        <w:tc>
          <w:tcPr>
            <w:tcW w:type="dxa" w:w="181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oficial</w:t>
            </w:r>
          </w:p>
        </w:tc>
        <w:tc>
          <w:tcPr>
            <w:tcW w:type="dxa" w:w="374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Validación del cauce (98,4 % contenido)</w:t>
            </w:r>
          </w:p>
        </w:tc>
      </w:tr>
      <w:tr>
        <w:tc>
          <w:tcPr>
            <w:tcW w:type="dxa" w:w="192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Puntos de campo</w:t>
            </w:r>
          </w:p>
        </w:tc>
        <w:tc>
          <w:tcPr>
            <w:tcW w:type="dxa" w:w="192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Levantamiento propio</w:t>
            </w:r>
          </w:p>
        </w:tc>
        <w:tc>
          <w:tcPr>
            <w:tcW w:type="dxa" w:w="181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61 puntos / KMZ</w:t>
            </w:r>
          </w:p>
        </w:tc>
        <w:tc>
          <w:tcPr>
            <w:tcW w:type="dxa" w:w="3742"/>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Validación de amenaza y riesgo</w:t>
            </w:r>
          </w:p>
        </w:tc>
      </w:tr>
    </w:tbl>
    <w:p>
      <w:pPr>
        <w:spacing w:before="160" w:after="40"/>
        <w:outlineLvl w:val="2"/>
      </w:pPr>
      <w:r>
        <w:rPr>
          <w:rFonts w:ascii="Arial" w:hAnsi="Arial"/>
          <w:b/>
          <w:color w:val="1F3864"/>
          <w:sz w:val="22"/>
        </w:rPr>
        <w:t>3.6.3  Herramientas y metodología SIG</w:t>
      </w:r>
    </w:p>
    <w:p>
      <w:pPr>
        <w:spacing w:after="120"/>
        <w:jc w:val="both"/>
      </w:pPr>
      <w:r>
        <w:rPr>
          <w:rFonts w:ascii="Arial" w:hAnsi="Arial"/>
          <w:sz w:val="21"/>
        </w:rPr>
        <w:t xml:space="preserve">Toda la cadena se ejecutó en </w:t>
      </w:r>
      <w:r>
        <w:rPr>
          <w:rFonts w:ascii="Arial" w:hAnsi="Arial"/>
          <w:b/>
          <w:sz w:val="21"/>
        </w:rPr>
        <w:t>ArcGIS Pro</w:t>
      </w:r>
      <w:r>
        <w:rPr>
          <w:rFonts w:ascii="Arial" w:hAnsi="Arial"/>
          <w:sz w:val="21"/>
        </w:rPr>
        <w:t xml:space="preserve"> (arcpy / Spatial Analyst), sobre EPSG:9377, siguiendo la secuencia insumo → proceso → producto por fases (F0–F12). El puente entre el SIG y el geoportal es la exportación de las capas a </w:t>
      </w:r>
      <w:r>
        <w:rPr>
          <w:rFonts w:ascii="Arial" w:hAnsi="Arial"/>
          <w:b/>
          <w:sz w:val="21"/>
        </w:rPr>
        <w:t>GeoJSON</w:t>
      </w:r>
      <w:r>
        <w:rPr>
          <w:rFonts w:ascii="Arial" w:hAnsi="Arial"/>
          <w:sz w:val="21"/>
        </w:rPr>
        <w:t xml:space="preserve"> en coordenadas geográficas (EPSG:4326) y su incorporación a un visor </w:t>
      </w:r>
      <w:r>
        <w:rPr>
          <w:rFonts w:ascii="Arial" w:hAnsi="Arial"/>
          <w:b/>
          <w:sz w:val="21"/>
        </w:rPr>
        <w:t>Leaflet</w:t>
      </w:r>
      <w:r>
        <w:rPr>
          <w:rFonts w:ascii="Arial" w:hAnsi="Arial"/>
          <w:sz w:val="21"/>
        </w:rPr>
        <w:t xml:space="preserve"> (con Chart.js y mapa de calor), embebidas para operación incluso sin servidor. El geoportal integra la </w:t>
      </w:r>
      <w:r>
        <w:rPr>
          <w:rFonts w:ascii="Arial" w:hAnsi="Arial"/>
          <w:b/>
          <w:sz w:val="21"/>
        </w:rPr>
        <w:t>capa estática</w:t>
      </w:r>
      <w:r>
        <w:rPr>
          <w:rFonts w:ascii="Arial" w:hAnsi="Arial"/>
          <w:sz w:val="21"/>
        </w:rPr>
        <w:t xml:space="preserve"> (cuenca, amenaza, exposición, riesgo, estación P1, bocinas, estaciones SIATA de referencia) y la </w:t>
      </w:r>
      <w:r>
        <w:rPr>
          <w:rFonts w:ascii="Arial" w:hAnsi="Arial"/>
          <w:b/>
          <w:sz w:val="21"/>
        </w:rPr>
        <w:t>capa dinámica</w:t>
      </w:r>
      <w:r>
        <w:rPr>
          <w:rFonts w:ascii="Arial" w:hAnsi="Arial"/>
          <w:sz w:val="21"/>
        </w:rPr>
        <w:t>, que lee en vivo el endpoint /mapa de la API y actualiza el estado del nodo (nivel, temperatura, humedad, lluvia) sobre el mapa. Para convertir la distancia ultrasónica cruda en cota de la lámina de agua utilizable en SIG se requieren los campos cota_sensor_msnm y dist_a_lecho_seco, elemento frecuentemente omitido en la integración cartográfica.</w:t>
      </w:r>
    </w:p>
    <w:tbl>
      <w:tblPr>
        <w:tblW w:type="auto" w:w="0"/>
        <w:jc w:val="center"/>
        <w:tblLook w:firstColumn="1" w:firstRow="1" w:lastColumn="0" w:lastRow="0" w:noHBand="0" w:noVBand="1" w:val="04A0"/>
      </w:tblPr>
      <w:tblGrid>
        <w:gridCol w:w="9411"/>
      </w:tblGrid>
      <w:tr>
        <w:tc>
          <w:tcPr>
            <w:tcW w:type="dxa" w:w="9411"/>
            <w:shd w:val="clear" w:color="auto" w:fill="F2F5FB"/>
            <w:tcBorders>
              <w:top w:val="single" w:sz="4" w:space="0" w:color="2E5496"/>
              <w:left w:val="single" w:sz="4" w:space="0" w:color="2E5496"/>
              <w:bottom w:val="single" w:sz="4" w:space="0" w:color="2E5496"/>
              <w:right w:val="single" w:sz="4" w:space="0" w:color="2E5496"/>
            </w:tcBorders>
          </w:tcPr>
          <w:p>
            <w:r/>
            <w:r>
              <w:rPr>
                <w:rFonts w:ascii="Arial" w:hAnsi="Arial"/>
                <w:b/>
                <w:color w:val="2E7D32"/>
                <w:sz w:val="18"/>
              </w:rPr>
              <w:t xml:space="preserve">[HECHO]  </w:t>
            </w:r>
            <w:r>
              <w:rPr>
                <w:rFonts w:ascii="Arial" w:hAnsi="Arial"/>
                <w:sz w:val="19"/>
              </w:rPr>
              <w:t xml:space="preserve">El geoportal, que en versiones previas figuraba como trabajo futuro, </w:t>
            </w:r>
            <w:r>
              <w:rPr>
                <w:rFonts w:ascii="Arial" w:hAnsi="Arial"/>
                <w:b/>
                <w:sz w:val="19"/>
              </w:rPr>
              <w:t>ya está construido y operativo</w:t>
            </w:r>
            <w:r>
              <w:rPr>
                <w:rFonts w:ascii="Arial" w:hAnsi="Arial"/>
                <w:sz w:val="19"/>
              </w:rPr>
              <w:t xml:space="preserve"> e integra la lectura IoT en vivo; el nodo electrónico, en cambio, permanece en prueba de concepto de laboratorio. Se mantiene la separación de madurez entre ambos componentes.</w:t>
            </w:r>
          </w:p>
        </w:tc>
      </w:tr>
    </w:tbl>
    <w:p>
      <w:pPr>
        <w:spacing w:after="40"/>
      </w:pPr>
    </w:p>
    <w:p>
      <w:pPr>
        <w:spacing w:before="280" w:after="200"/>
        <w:shd w:val="clear" w:color="auto" w:fill="1F3864"/>
        <w:outlineLvl w:val="0"/>
      </w:pPr>
      <w:r>
        <w:rPr>
          <w:rFonts w:ascii="Arial" w:hAnsi="Arial"/>
          <w:b/>
          <w:color w:val="FFFFFF"/>
          <w:sz w:val="28"/>
        </w:rPr>
        <w:t xml:space="preserve">  4.   Presupuesto y Viabilidad Económica</w:t>
      </w:r>
    </w:p>
    <w:p>
      <w:pPr>
        <w:spacing w:after="120"/>
        <w:jc w:val="both"/>
      </w:pPr>
      <w:r>
        <w:rPr>
          <w:rFonts w:ascii="Arial" w:hAnsi="Arial"/>
          <w:sz w:val="21"/>
        </w:rPr>
        <w:t>La implementación de un SAT basado en IoT requiere evaluar no solo su viabilidad técnica, sino también su sostenibilidad económica para una posible implementación en condiciones reales. El análisis de costos permite determinar la inversión necesaria para el desarrollo del prototipo, su posterior escalamiento y los recursos requeridos para su operación y mantenimiento. Se consideran los componentes electrónicos del prototipo, la infraestructura tecnológica de almacenamiento y procesamiento, el desarrollo de software y una proyección económica para distintos escenarios de despliegue. Los valores corresponden a precios promedio del mercado colombiano durante 2026, obtenidos de distribuidores nacionales e internacionales (Mercado Libre, Mouser Electronics, DigiKey y AliExpress); pueden variar según disponibilidad y volumen de compra.</w:t>
      </w:r>
    </w:p>
    <w:p>
      <w:pPr>
        <w:spacing w:before="240" w:after="80"/>
        <w:outlineLvl w:val="1"/>
        <w:pBdr>
          <w:bottom w:val="single" w:sz="6" w:space="2" w:color="2E5496"/>
        </w:pBdr>
      </w:pPr>
      <w:r>
        <w:rPr>
          <w:rFonts w:ascii="Arial" w:hAnsi="Arial"/>
          <w:b/>
          <w:color w:val="2E5496"/>
          <w:sz w:val="24"/>
        </w:rPr>
        <w:t>4.1  Bill of Materials (BOM): nodo prototipo y nodo de producción</w:t>
      </w:r>
    </w:p>
    <w:p>
      <w:pPr>
        <w:spacing w:after="120"/>
        <w:jc w:val="both"/>
      </w:pPr>
      <w:r>
        <w:rPr>
          <w:rFonts w:ascii="Arial" w:hAnsi="Arial"/>
          <w:sz w:val="21"/>
        </w:rPr>
        <w:t>El nodo de monitoreo integra componentes de captura de variables hidrometeorológicas, procesamiento local y transmisión de datos. Durante el desarrollo se empleó un prototipo basado en módulos comerciales (DevKit), lo que agilizó las pruebas y redujo los tiempos de implementación. Para una futura fase de producción, dichos módulos podrían reemplazarse por una tarjeta electrónica (PCB) diseñada a medida, optimizando el consumo energético y el costo de fabricación. La Tabla presenta el BOM del nodo prototipo; los costos unitarios deben diligenciarse con la cotización real del equipo.</w:t>
      </w:r>
    </w:p>
    <w:tbl>
      <w:tblPr>
        <w:tblW w:type="auto" w:w="0"/>
        <w:jc w:val="center"/>
        <w:tblLayout w:type="fixed"/>
        <w:tblLook w:firstColumn="1" w:firstRow="1" w:lastColumn="0" w:lastRow="0" w:noHBand="0" w:noVBand="1" w:val="04A0"/>
      </w:tblPr>
      <w:tblGrid>
        <w:gridCol w:w="2379"/>
        <w:gridCol w:w="2379"/>
        <w:gridCol w:w="2379"/>
        <w:gridCol w:w="2379"/>
      </w:tblGrid>
      <w:tr>
        <w:tc>
          <w:tcPr>
            <w:tcW w:type="dxa" w:w="3402"/>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Componente</w:t>
            </w:r>
          </w:p>
        </w:tc>
        <w:tc>
          <w:tcPr>
            <w:tcW w:type="dxa" w:w="794"/>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Cant.</w:t>
            </w:r>
          </w:p>
        </w:tc>
        <w:tc>
          <w:tcPr>
            <w:tcW w:type="dxa" w:w="3515"/>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Función</w:t>
            </w:r>
          </w:p>
        </w:tc>
        <w:tc>
          <w:tcPr>
            <w:tcW w:type="dxa" w:w="1701"/>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Costo unit. (COP)</w:t>
            </w:r>
          </w:p>
        </w:tc>
      </w:tr>
      <w:tr>
        <w:tc>
          <w:tcPr>
            <w:tcW w:type="dxa" w:w="340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ESP32-S3 (DevKit)</w:t>
            </w:r>
          </w:p>
        </w:tc>
        <w:tc>
          <w:tcPr>
            <w:tcW w:type="dxa" w:w="79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1</w:t>
            </w:r>
          </w:p>
        </w:tc>
        <w:tc>
          <w:tcPr>
            <w:tcW w:type="dxa" w:w="3515"/>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Microcontrolador / nodo de cómputo (edge)</w:t>
            </w:r>
          </w:p>
        </w:tc>
        <w:tc>
          <w:tcPr>
            <w:tcW w:type="dxa" w:w="170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[A diligenciar]</w:t>
            </w:r>
          </w:p>
        </w:tc>
      </w:tr>
      <w:tr>
        <w:tc>
          <w:tcPr>
            <w:tcW w:type="dxa" w:w="3402"/>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Sensor ultrasónico impermeable JSN-SR04T</w:t>
            </w:r>
          </w:p>
        </w:tc>
        <w:tc>
          <w:tcPr>
            <w:tcW w:type="dxa" w:w="79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1</w:t>
            </w:r>
          </w:p>
        </w:tc>
        <w:tc>
          <w:tcPr>
            <w:tcW w:type="dxa" w:w="3515"/>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Medición del nivel del agua</w:t>
            </w:r>
          </w:p>
        </w:tc>
        <w:tc>
          <w:tcPr>
            <w:tcW w:type="dxa" w:w="170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[A diligenciar]</w:t>
            </w:r>
          </w:p>
        </w:tc>
      </w:tr>
      <w:tr>
        <w:tc>
          <w:tcPr>
            <w:tcW w:type="dxa" w:w="340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Sensor de lluvia YL-83 / FC-37</w:t>
            </w:r>
          </w:p>
        </w:tc>
        <w:tc>
          <w:tcPr>
            <w:tcW w:type="dxa" w:w="79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1</w:t>
            </w:r>
          </w:p>
        </w:tc>
        <w:tc>
          <w:tcPr>
            <w:tcW w:type="dxa" w:w="3515"/>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Detección de presencia de lluvia</w:t>
            </w:r>
          </w:p>
        </w:tc>
        <w:tc>
          <w:tcPr>
            <w:tcW w:type="dxa" w:w="170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[A diligenciar]</w:t>
            </w:r>
          </w:p>
        </w:tc>
      </w:tr>
      <w:tr>
        <w:tc>
          <w:tcPr>
            <w:tcW w:type="dxa" w:w="3402"/>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Sensor temp./humedad SHT30 (RS485)</w:t>
            </w:r>
          </w:p>
        </w:tc>
        <w:tc>
          <w:tcPr>
            <w:tcW w:type="dxa" w:w="79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1</w:t>
            </w:r>
          </w:p>
        </w:tc>
        <w:tc>
          <w:tcPr>
            <w:tcW w:type="dxa" w:w="3515"/>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Variables ambientales y compensación</w:t>
            </w:r>
          </w:p>
        </w:tc>
        <w:tc>
          <w:tcPr>
            <w:tcW w:type="dxa" w:w="170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[A diligenciar]</w:t>
            </w:r>
          </w:p>
        </w:tc>
      </w:tr>
      <w:tr>
        <w:tc>
          <w:tcPr>
            <w:tcW w:type="dxa" w:w="340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Buzzer activo 5 V</w:t>
            </w:r>
          </w:p>
        </w:tc>
        <w:tc>
          <w:tcPr>
            <w:tcW w:type="dxa" w:w="79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1</w:t>
            </w:r>
          </w:p>
        </w:tc>
        <w:tc>
          <w:tcPr>
            <w:tcW w:type="dxa" w:w="3515"/>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Alerta sonora local (N4)</w:t>
            </w:r>
          </w:p>
        </w:tc>
        <w:tc>
          <w:tcPr>
            <w:tcW w:type="dxa" w:w="170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[A diligenciar]</w:t>
            </w:r>
          </w:p>
        </w:tc>
      </w:tr>
      <w:tr>
        <w:tc>
          <w:tcPr>
            <w:tcW w:type="dxa" w:w="3402"/>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LEDs (verde/amarillo/naranja/rojo)</w:t>
            </w:r>
          </w:p>
        </w:tc>
        <w:tc>
          <w:tcPr>
            <w:tcW w:type="dxa" w:w="79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4</w:t>
            </w:r>
          </w:p>
        </w:tc>
        <w:tc>
          <w:tcPr>
            <w:tcW w:type="dxa" w:w="3515"/>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Semaforización N1–N4</w:t>
            </w:r>
          </w:p>
        </w:tc>
        <w:tc>
          <w:tcPr>
            <w:tcW w:type="dxa" w:w="170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[A diligenciar]</w:t>
            </w:r>
          </w:p>
        </w:tc>
      </w:tr>
      <w:tr>
        <w:tc>
          <w:tcPr>
            <w:tcW w:type="dxa" w:w="340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Resistencias 220 Ω</w:t>
            </w:r>
          </w:p>
        </w:tc>
        <w:tc>
          <w:tcPr>
            <w:tcW w:type="dxa" w:w="79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4</w:t>
            </w:r>
          </w:p>
        </w:tc>
        <w:tc>
          <w:tcPr>
            <w:tcW w:type="dxa" w:w="3515"/>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Limitadoras de corriente</w:t>
            </w:r>
          </w:p>
        </w:tc>
        <w:tc>
          <w:tcPr>
            <w:tcW w:type="dxa" w:w="170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[A diligenciar]</w:t>
            </w:r>
          </w:p>
        </w:tc>
      </w:tr>
      <w:tr>
        <w:tc>
          <w:tcPr>
            <w:tcW w:type="dxa" w:w="3402"/>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Protoboard + cables Dupont</w:t>
            </w:r>
          </w:p>
        </w:tc>
        <w:tc>
          <w:tcPr>
            <w:tcW w:type="dxa" w:w="79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1</w:t>
            </w:r>
          </w:p>
        </w:tc>
        <w:tc>
          <w:tcPr>
            <w:tcW w:type="dxa" w:w="3515"/>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Montaje del prototipo</w:t>
            </w:r>
          </w:p>
        </w:tc>
        <w:tc>
          <w:tcPr>
            <w:tcW w:type="dxa" w:w="170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[A diligenciar]</w:t>
            </w:r>
          </w:p>
        </w:tc>
      </w:tr>
      <w:tr>
        <w:tc>
          <w:tcPr>
            <w:tcW w:type="dxa" w:w="3402"/>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TOTAL POR NODO (prototipo)</w:t>
            </w:r>
          </w:p>
        </w:tc>
        <w:tc>
          <w:tcPr>
            <w:tcW w:type="dxa" w:w="79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w:t>
            </w:r>
          </w:p>
        </w:tc>
        <w:tc>
          <w:tcPr>
            <w:tcW w:type="dxa" w:w="3515"/>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w:t>
            </w:r>
          </w:p>
        </w:tc>
        <w:tc>
          <w:tcPr>
            <w:tcW w:type="dxa" w:w="170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$248.000</w:t>
            </w:r>
          </w:p>
        </w:tc>
      </w:tr>
    </w:tbl>
    <w:tbl>
      <w:tblPr>
        <w:tblW w:type="auto" w:w="0"/>
        <w:jc w:val="center"/>
        <w:tblLook w:firstColumn="1" w:firstRow="1" w:lastColumn="0" w:lastRow="0" w:noHBand="0" w:noVBand="1" w:val="04A0"/>
      </w:tblPr>
      <w:tblGrid>
        <w:gridCol w:w="9411"/>
      </w:tblGrid>
      <w:tr>
        <w:tc>
          <w:tcPr>
            <w:tcW w:type="dxa" w:w="9411"/>
            <w:shd w:val="clear" w:color="auto" w:fill="F2F5FB"/>
            <w:tcBorders>
              <w:top w:val="single" w:sz="4" w:space="0" w:color="2E5496"/>
              <w:left w:val="single" w:sz="4" w:space="0" w:color="2E5496"/>
              <w:bottom w:val="single" w:sz="4" w:space="0" w:color="2E5496"/>
              <w:right w:val="single" w:sz="4" w:space="0" w:color="2E5496"/>
            </w:tcBorders>
          </w:tcPr>
          <w:p>
            <w:r/>
            <w:r>
              <w:rPr>
                <w:rFonts w:ascii="Arial" w:hAnsi="Arial"/>
                <w:b/>
                <w:color w:val="C0392B"/>
                <w:sz w:val="18"/>
              </w:rPr>
              <w:t xml:space="preserve">[A VERIFICAR]  </w:t>
            </w:r>
            <w:r>
              <w:rPr>
                <w:rFonts w:ascii="Arial" w:hAnsi="Arial"/>
                <w:sz w:val="19"/>
              </w:rPr>
              <w:t xml:space="preserve">El </w:t>
            </w:r>
            <w:r>
              <w:rPr>
                <w:rFonts w:ascii="Arial" w:hAnsi="Arial"/>
                <w:b/>
                <w:sz w:val="19"/>
              </w:rPr>
              <w:t>total del nodo prototipo, $248.000 COP</w:t>
            </w:r>
            <w:r>
              <w:rPr>
                <w:rFonts w:ascii="Arial" w:hAnsi="Arial"/>
                <w:sz w:val="19"/>
              </w:rPr>
              <w:t xml:space="preserve">, es el valor aportado por el equipo. Los </w:t>
            </w:r>
            <w:r>
              <w:rPr>
                <w:rFonts w:ascii="Arial" w:hAnsi="Arial"/>
                <w:b/>
                <w:sz w:val="19"/>
              </w:rPr>
              <w:t>costos unitarios por componente no se incluyen porque no se cuenta con la cotización desagregada</w:t>
            </w:r>
            <w:r>
              <w:rPr>
                <w:rFonts w:ascii="Arial" w:hAnsi="Arial"/>
                <w:sz w:val="19"/>
              </w:rPr>
              <w:t>; deben diligenciarse con precios reales antes de la entrega. En coherencia con el protocolo de honestidad técnica, no se inventan cifras de precio. [A VERIFICAR]</w:t>
            </w:r>
          </w:p>
        </w:tc>
      </w:tr>
    </w:tbl>
    <w:p>
      <w:pPr>
        <w:spacing w:after="40"/>
      </w:pPr>
    </w:p>
    <w:p>
      <w:pPr>
        <w:spacing w:after="120"/>
        <w:jc w:val="both"/>
      </w:pPr>
      <w:r>
        <w:rPr>
          <w:rFonts w:ascii="Arial" w:hAnsi="Arial"/>
          <w:sz w:val="21"/>
        </w:rPr>
        <w:t>Para una implementación en producción se contempla sustituir la protoboard por una PCB diseñada a medida, incorporar reguladores de voltaje dedicados, conectores industriales y un sistema de alimentación autónomo mediante panel solar y batería recargable. Estas mejoras incrementan la robustez y confiabilidad del sistema, permiten su operación continua en exteriores y reducen el mantenimiento correctivo. El nodo de producción añade, entre otros: módulo celular 4G LTE (SIM7600) con antena y SIM de datos, panel solar 20 W, controlador de carga MPPT, batería LiFePO4 12 V, regulador DC-DC, caja estanca IP65, prensaestopas y soporte metálico para el sensor. [PROYECCIÓN] Sus costos unitarios se estimarán con cotización específica.</w:t>
      </w:r>
    </w:p>
    <w:p>
      <w:pPr>
        <w:spacing w:after="120"/>
        <w:jc w:val="both"/>
      </w:pPr>
      <w:r>
        <w:rPr>
          <w:rFonts w:ascii="Arial" w:hAnsi="Arial"/>
          <w:sz w:val="21"/>
        </w:rPr>
        <w:t>Desde el punto de vista técnico, la selección de componentes se realizó considerando disponibilidad comercial, bajo consumo energético, facilidad de integración con el ESP32-S3, compatibilidad con la arquitectura de software y una adecuada relación costo-beneficio para el monitoreo hidrometeorológico. Esta configuración permite que cada nodo realice de manera autónoma la adquisición, el procesamiento local de umbrales, la activación de dispositivos visuales y sonoros, y la transmisión de la información hacia la plataforma central mediante HTTP sobre WiFi.</w:t>
      </w:r>
    </w:p>
    <w:p>
      <w:pPr>
        <w:spacing w:before="240" w:after="80"/>
        <w:outlineLvl w:val="1"/>
        <w:pBdr>
          <w:bottom w:val="single" w:sz="6" w:space="2" w:color="2E5496"/>
        </w:pBdr>
      </w:pPr>
      <w:r>
        <w:rPr>
          <w:rFonts w:ascii="Arial" w:hAnsi="Arial"/>
          <w:b/>
          <w:color w:val="2E5496"/>
          <w:sz w:val="24"/>
        </w:rPr>
        <w:t>4.2  Infraestructura en la nube</w:t>
      </w:r>
    </w:p>
    <w:p>
      <w:pPr>
        <w:spacing w:after="120"/>
        <w:jc w:val="both"/>
      </w:pPr>
      <w:r>
        <w:rPr>
          <w:rFonts w:ascii="Arial" w:hAnsi="Arial"/>
          <w:sz w:val="21"/>
        </w:rPr>
        <w:t xml:space="preserve">El backend y la base de datos se despliegan en </w:t>
      </w:r>
      <w:r>
        <w:rPr>
          <w:rFonts w:ascii="Arial" w:hAnsi="Arial"/>
          <w:b/>
          <w:sz w:val="21"/>
        </w:rPr>
        <w:t>Render</w:t>
      </w:r>
      <w:r>
        <w:rPr>
          <w:rFonts w:ascii="Arial" w:hAnsi="Arial"/>
          <w:sz w:val="21"/>
        </w:rPr>
        <w:t xml:space="preserve">. Con precios vigentes verificados en 2026, el escenario de prueba de concepto opera en el </w:t>
      </w:r>
      <w:r>
        <w:rPr>
          <w:rFonts w:ascii="Arial" w:hAnsi="Arial"/>
          <w:b/>
          <w:sz w:val="21"/>
        </w:rPr>
        <w:t>nivel gratuito</w:t>
      </w:r>
      <w:r>
        <w:rPr>
          <w:rFonts w:ascii="Arial" w:hAnsi="Arial"/>
          <w:sz w:val="21"/>
        </w:rPr>
        <w:t>, con dos salvedades técnicas: los servicios web gratuitos se suspenden tras ~15 minutos de inactividad (arranque en frío de ~30–60 s en la siguiente petición) y las bases de datos PostgreSQL gratuitas se eliminan a los 30 días de creación. Para una operación permanente se requiere migrar a un plan de pago.</w:t>
      </w:r>
    </w:p>
    <w:tbl>
      <w:tblPr>
        <w:tblW w:type="auto" w:w="0"/>
        <w:jc w:val="center"/>
        <w:tblLayout w:type="fixed"/>
        <w:tblLook w:firstColumn="1" w:firstRow="1" w:lastColumn="0" w:lastRow="0" w:noHBand="0" w:noVBand="1" w:val="04A0"/>
      </w:tblPr>
      <w:tblGrid>
        <w:gridCol w:w="2379"/>
        <w:gridCol w:w="2379"/>
        <w:gridCol w:w="2379"/>
        <w:gridCol w:w="2379"/>
      </w:tblGrid>
      <w:tr>
        <w:tc>
          <w:tcPr>
            <w:tcW w:type="dxa" w:w="1928"/>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Escenario</w:t>
            </w:r>
          </w:p>
        </w:tc>
        <w:tc>
          <w:tcPr>
            <w:tcW w:type="dxa" w:w="2494"/>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Servicio web</w:t>
            </w:r>
          </w:p>
        </w:tc>
        <w:tc>
          <w:tcPr>
            <w:tcW w:type="dxa" w:w="2721"/>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Base de datos PostgreSQL</w:t>
            </w:r>
          </w:p>
        </w:tc>
        <w:tc>
          <w:tcPr>
            <w:tcW w:type="dxa" w:w="1928"/>
            <w:shd w:val="clear" w:color="auto" w:fill="2E5496"/>
            <w:tcBorders>
              <w:top w:val="single" w:sz="4" w:space="0" w:color="BFBFBF"/>
              <w:left w:val="single" w:sz="4" w:space="0" w:color="BFBFBF"/>
              <w:bottom w:val="single" w:sz="4" w:space="0" w:color="BFBFBF"/>
              <w:right w:val="single" w:sz="4" w:space="0" w:color="BFBFBF"/>
            </w:tcBorders>
          </w:tcPr>
          <w:p>
            <w:pPr>
              <w:spacing w:after="20"/>
              <w:jc w:val="center"/>
            </w:pPr>
            <w:r>
              <w:rPr>
                <w:rFonts w:ascii="Arial" w:hAnsi="Arial"/>
                <w:b/>
                <w:color w:val="FFFFFF"/>
                <w:sz w:val="18"/>
              </w:rPr>
              <w:t>Costo aprox. (USD/mes)</w:t>
            </w:r>
          </w:p>
        </w:tc>
      </w:tr>
      <w:tr>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PoC (actual)</w:t>
            </w:r>
          </w:p>
        </w:tc>
        <w:tc>
          <w:tcPr>
            <w:tcW w:type="dxa" w:w="249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Gratuito (se suspende por inactividad)</w:t>
            </w:r>
          </w:p>
        </w:tc>
        <w:tc>
          <w:tcPr>
            <w:tcW w:type="dxa" w:w="272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Gratuito (se elimina a 30 días)</w:t>
            </w:r>
          </w:p>
        </w:tc>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0</w:t>
            </w:r>
          </w:p>
        </w:tc>
      </w:tr>
      <w:tr>
        <w:tc>
          <w:tcPr>
            <w:tcW w:type="dxa" w:w="192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Operación mínima</w:t>
            </w:r>
          </w:p>
        </w:tc>
        <w:tc>
          <w:tcPr>
            <w:tcW w:type="dxa" w:w="2494"/>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Starter (~512 MB RAM)</w:t>
            </w:r>
          </w:p>
        </w:tc>
        <w:tc>
          <w:tcPr>
            <w:tcW w:type="dxa" w:w="2721"/>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Instancia básica</w:t>
            </w:r>
          </w:p>
        </w:tc>
        <w:tc>
          <w:tcPr>
            <w:tcW w:type="dxa" w:w="1928"/>
            <w:tcBorders>
              <w:top w:val="single" w:sz="4" w:space="0" w:color="BFBFBF"/>
              <w:left w:val="single" w:sz="4" w:space="0" w:color="BFBFBF"/>
              <w:bottom w:val="single" w:sz="4" w:space="0" w:color="BFBFBF"/>
              <w:right w:val="single" w:sz="4" w:space="0" w:color="BFBFBF"/>
            </w:tcBorders>
            <w:shd w:val="clear" w:color="auto" w:fill="F4F7FC"/>
          </w:tcPr>
          <w:p>
            <w:pPr>
              <w:spacing w:after="20" w:before="20"/>
            </w:pPr>
            <w:r>
              <w:rPr>
                <w:rFonts w:ascii="Arial" w:hAnsi="Arial"/>
                <w:sz w:val="18"/>
              </w:rPr>
              <w:t>≈ 13–33</w:t>
            </w:r>
          </w:p>
        </w:tc>
      </w:tr>
      <w:tr>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Operación robusta</w:t>
            </w:r>
          </w:p>
        </w:tc>
        <w:tc>
          <w:tcPr>
            <w:tcW w:type="dxa" w:w="2494"/>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Instancia dedicada + respaldo (PITR)</w:t>
            </w:r>
          </w:p>
        </w:tc>
        <w:tc>
          <w:tcPr>
            <w:tcW w:type="dxa" w:w="2721"/>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Instancia estándar/superior</w:t>
            </w:r>
          </w:p>
        </w:tc>
        <w:tc>
          <w:tcPr>
            <w:tcW w:type="dxa" w:w="1928"/>
            <w:tcBorders>
              <w:top w:val="single" w:sz="4" w:space="0" w:color="BFBFBF"/>
              <w:left w:val="single" w:sz="4" w:space="0" w:color="BFBFBF"/>
              <w:bottom w:val="single" w:sz="4" w:space="0" w:color="BFBFBF"/>
              <w:right w:val="single" w:sz="4" w:space="0" w:color="BFBFBF"/>
            </w:tcBorders>
          </w:tcPr>
          <w:p>
            <w:pPr>
              <w:spacing w:after="20" w:before="20"/>
            </w:pPr>
            <w:r>
              <w:rPr>
                <w:rFonts w:ascii="Arial" w:hAnsi="Arial"/>
                <w:sz w:val="18"/>
              </w:rPr>
              <w:t>≥ 100</w:t>
            </w:r>
          </w:p>
        </w:tc>
      </w:tr>
    </w:tbl>
    <w:tbl>
      <w:tblPr>
        <w:tblW w:type="auto" w:w="0"/>
        <w:jc w:val="center"/>
        <w:tblLook w:firstColumn="1" w:firstRow="1" w:lastColumn="0" w:lastRow="0" w:noHBand="0" w:noVBand="1" w:val="04A0"/>
      </w:tblPr>
      <w:tblGrid>
        <w:gridCol w:w="9411"/>
      </w:tblGrid>
      <w:tr>
        <w:tc>
          <w:tcPr>
            <w:tcW w:type="dxa" w:w="9411"/>
            <w:shd w:val="clear" w:color="auto" w:fill="F2F5FB"/>
            <w:tcBorders>
              <w:top w:val="single" w:sz="4" w:space="0" w:color="2E5496"/>
              <w:left w:val="single" w:sz="4" w:space="0" w:color="2E5496"/>
              <w:bottom w:val="single" w:sz="4" w:space="0" w:color="2E5496"/>
              <w:right w:val="single" w:sz="4" w:space="0" w:color="2E5496"/>
            </w:tcBorders>
          </w:tcPr>
          <w:p>
            <w:r/>
            <w:r>
              <w:rPr>
                <w:rFonts w:ascii="Arial" w:hAnsi="Arial"/>
                <w:b/>
                <w:color w:val="C0392B"/>
                <w:sz w:val="18"/>
              </w:rPr>
              <w:t xml:space="preserve">[A VERIFICAR]  </w:t>
            </w:r>
            <w:r>
              <w:rPr>
                <w:rFonts w:ascii="Arial" w:hAnsi="Arial"/>
                <w:sz w:val="19"/>
              </w:rPr>
              <w:t>Costos de Render verificados con fuentes de 2026: plan de pago desde ~USD 7/mes por servicio web y PostgreSQL desde ~USD 6–7/mes; una operación con respaldo y recuperación puede superar los USD 100/mes. Los valores deben confirmarse en render.com/pricing antes de la entrega. [A VERIFICAR]</w:t>
            </w:r>
          </w:p>
        </w:tc>
      </w:tr>
    </w:tbl>
    <w:p>
      <w:pPr>
        <w:spacing w:after="40"/>
      </w:pPr>
    </w:p>
    <w:p>
      <w:pPr>
        <w:spacing w:before="240" w:after="80"/>
        <w:outlineLvl w:val="1"/>
        <w:pBdr>
          <w:bottom w:val="single" w:sz="6" w:space="2" w:color="2E5496"/>
        </w:pBdr>
      </w:pPr>
      <w:r>
        <w:rPr>
          <w:rFonts w:ascii="Arial" w:hAnsi="Arial"/>
          <w:b/>
          <w:color w:val="2E5496"/>
          <w:sz w:val="24"/>
        </w:rPr>
        <w:t>4.3  Desarrollo de software</w:t>
      </w:r>
    </w:p>
    <w:p>
      <w:pPr>
        <w:spacing w:after="120"/>
        <w:jc w:val="both"/>
      </w:pPr>
      <w:r>
        <w:rPr>
          <w:rFonts w:ascii="Arial" w:hAnsi="Arial"/>
          <w:sz w:val="21"/>
        </w:rPr>
        <w:t>El costo de desarrollo del software (firmware del nodo, API REST, integración con la base de datos, geoportal y panel de monitoreo) se asumió con recurso humano del propio equipo en el marco académico, por lo que no representa un desembolso monetario en esta fase. Para una implementación real, este rubro debe valorarse como costo de ingeniería (horas de desarrollo, pruebas y mantenimiento del software), que se estimará con tarifas de mercado en el momento de la contratación. [PROYECCIÓN]</w:t>
      </w:r>
    </w:p>
    <w:p>
      <w:pPr>
        <w:spacing w:before="240" w:after="80"/>
        <w:outlineLvl w:val="1"/>
        <w:pBdr>
          <w:bottom w:val="single" w:sz="6" w:space="2" w:color="2E5496"/>
        </w:pBdr>
      </w:pPr>
      <w:r>
        <w:rPr>
          <w:rFonts w:ascii="Arial" w:hAnsi="Arial"/>
          <w:b/>
          <w:color w:val="2E5496"/>
          <w:sz w:val="24"/>
        </w:rPr>
        <w:t>4.4  Proyección de escenarios de despliegue</w:t>
      </w:r>
    </w:p>
    <w:p>
      <w:pPr>
        <w:spacing w:after="120"/>
        <w:jc w:val="both"/>
      </w:pPr>
      <w:r>
        <w:rPr>
          <w:rFonts w:ascii="Arial" w:hAnsi="Arial"/>
          <w:sz w:val="21"/>
        </w:rPr>
        <w:t>La viabilidad económica del SAT debe leerse frente al costo evitado: el impacto económico, social y psicológico de un solo evento de avenida torrencial como el de mayo de 2023 —114 familias damnificadas, 35 viviendas destruidas y la declaratoria de calamidad pública— supera con amplitud la inversión en instrumentación. A nivel de escenarios [PROYECCIÓN]:</w:t>
      </w:r>
    </w:p>
    <w:p>
      <w:pPr>
        <w:pStyle w:val="ListBullet"/>
        <w:spacing w:after="60"/>
        <w:ind w:left="454"/>
        <w:jc w:val="both"/>
      </w:pPr>
      <w:r>
        <w:rPr>
          <w:rFonts w:ascii="Arial" w:hAnsi="Arial"/>
          <w:sz w:val="21"/>
        </w:rPr>
      </w:r>
      <w:r>
        <w:rPr>
          <w:rFonts w:ascii="Arial" w:hAnsi="Arial"/>
          <w:b/>
          <w:sz w:val="21"/>
        </w:rPr>
        <w:t>Escenario 1 — Nodo único (piloto):</w:t>
      </w:r>
      <w:r>
        <w:rPr>
          <w:rFonts w:ascii="Arial" w:hAnsi="Arial"/>
          <w:sz w:val="21"/>
        </w:rPr>
        <w:t xml:space="preserve"> un nodo de campo en el punto óptimo P1, con energía autónoma y enlace celular, más la infraestructura mínima en la nube. Es la evolución directa de la PoC.</w:t>
      </w:r>
    </w:p>
    <w:p>
      <w:pPr>
        <w:pStyle w:val="ListBullet"/>
        <w:spacing w:after="60"/>
        <w:ind w:left="454"/>
        <w:jc w:val="both"/>
      </w:pPr>
      <w:r>
        <w:rPr>
          <w:rFonts w:ascii="Arial" w:hAnsi="Arial"/>
          <w:sz w:val="21"/>
        </w:rPr>
      </w:r>
      <w:r>
        <w:rPr>
          <w:rFonts w:ascii="Arial" w:hAnsi="Arial"/>
          <w:b/>
          <w:sz w:val="21"/>
        </w:rPr>
        <w:t>Escenario 2 — Cobertura de la microcuenca:</w:t>
      </w:r>
      <w:r>
        <w:rPr>
          <w:rFonts w:ascii="Arial" w:hAnsi="Arial"/>
          <w:sz w:val="21"/>
        </w:rPr>
        <w:t xml:space="preserve"> un segundo nodo sobre el afluente crítico de San Andrés (que un solo sensor no protege) y la red de tres bocinas, para cubrir el corredor de exposición aguas abajo.</w:t>
      </w:r>
    </w:p>
    <w:p>
      <w:pPr>
        <w:pStyle w:val="ListBullet"/>
        <w:spacing w:after="60"/>
        <w:ind w:left="454"/>
        <w:jc w:val="both"/>
      </w:pPr>
      <w:r>
        <w:rPr>
          <w:rFonts w:ascii="Arial" w:hAnsi="Arial"/>
          <w:sz w:val="21"/>
        </w:rPr>
      </w:r>
      <w:r>
        <w:rPr>
          <w:rFonts w:ascii="Arial" w:hAnsi="Arial"/>
          <w:b/>
          <w:sz w:val="21"/>
        </w:rPr>
        <w:t>Escenario 3 — Operación institucional:</w:t>
      </w:r>
      <w:r>
        <w:rPr>
          <w:rFonts w:ascii="Arial" w:hAnsi="Arial"/>
          <w:sz w:val="21"/>
        </w:rPr>
        <w:t xml:space="preserve"> integración con las instancias municipales de gestión del riesgo, mantenimiento programado, sensores de grado industrial (radar de nivel, pluviómetro de balancín) y sostenibilidad financiera de largo plazo.</w:t>
      </w:r>
    </w:p>
    <w:tbl>
      <w:tblPr>
        <w:tblW w:type="auto" w:w="0"/>
        <w:jc w:val="center"/>
        <w:tblLook w:firstColumn="1" w:firstRow="1" w:lastColumn="0" w:lastRow="0" w:noHBand="0" w:noVBand="1" w:val="04A0"/>
      </w:tblPr>
      <w:tblGrid>
        <w:gridCol w:w="9411"/>
      </w:tblGrid>
      <w:tr>
        <w:tc>
          <w:tcPr>
            <w:tcW w:type="dxa" w:w="9411"/>
            <w:shd w:val="clear" w:color="auto" w:fill="F2F5FB"/>
            <w:tcBorders>
              <w:top w:val="single" w:sz="4" w:space="0" w:color="2E5496"/>
              <w:left w:val="single" w:sz="4" w:space="0" w:color="2E5496"/>
              <w:bottom w:val="single" w:sz="4" w:space="0" w:color="2E5496"/>
              <w:right w:val="single" w:sz="4" w:space="0" w:color="2E5496"/>
            </w:tcBorders>
          </w:tcPr>
          <w:p>
            <w:r/>
            <w:r>
              <w:rPr>
                <w:rFonts w:ascii="Arial" w:hAnsi="Arial"/>
                <w:b/>
                <w:color w:val="6A1B9A"/>
                <w:sz w:val="18"/>
              </w:rPr>
              <w:t xml:space="preserve">[PROYECCIÓN]  </w:t>
            </w:r>
            <w:r>
              <w:rPr>
                <w:rFonts w:ascii="Arial" w:hAnsi="Arial"/>
                <w:sz w:val="19"/>
              </w:rPr>
              <w:t>Los costos específicos de cada escenario dependen de cotizaciones de hardware de campo y de las condiciones de instalación (obra civil, anclajes, energía), que están fuera del alcance de esta PoC. Se documentan como escenarios de proyección, no como cifras cerradas.</w:t>
            </w:r>
          </w:p>
        </w:tc>
      </w:tr>
    </w:tbl>
    <w:p>
      <w:pPr>
        <w:spacing w:after="40"/>
      </w:pPr>
    </w:p>
    <w:p>
      <w:pPr>
        <w:spacing w:before="280" w:after="200"/>
        <w:shd w:val="clear" w:color="auto" w:fill="1F3864"/>
        <w:outlineLvl w:val="0"/>
      </w:pPr>
      <w:r>
        <w:rPr>
          <w:rFonts w:ascii="Arial" w:hAnsi="Arial"/>
          <w:b/>
          <w:color w:val="FFFFFF"/>
          <w:sz w:val="28"/>
        </w:rPr>
        <w:t xml:space="preserve">     Referencias</w:t>
      </w:r>
    </w:p>
    <w:p>
      <w:pPr>
        <w:spacing w:after="160"/>
        <w:jc w:val="both"/>
      </w:pPr>
      <w:r>
        <w:rPr>
          <w:rFonts w:ascii="Arial" w:hAnsi="Arial"/>
          <w:i/>
          <w:color w:val="555555"/>
          <w:sz w:val="19"/>
        </w:rPr>
        <w:t>Las referencias [1]–[11] corresponden a las fuentes institucionales y normativas del proyecto. Las referencias técnicas [12]–[18] provienen de literatura revisada por pares y de estándares metodológicos; sus localizadores exactos (volumen, páginas, DOI) deben verificarse antes de la entrega final. [A VERIFICAR]</w:t>
      </w:r>
    </w:p>
    <w:p>
      <w:pPr>
        <w:spacing w:after="60"/>
        <w:ind w:left="454" w:hanging="454"/>
        <w:jc w:val="both"/>
      </w:pPr>
      <w:r>
        <w:rPr>
          <w:rFonts w:ascii="Arial" w:hAnsi="Arial"/>
          <w:sz w:val="19"/>
        </w:rPr>
        <w:t>[1] Sistema de Alerta Temprana del Valle de Aburrá (SIATA), “Registros de precipitación, 27–28 de mayo de 2023,” Medellín, Colombia, 2023. [En línea]. Disponible en: https://siata.gov.co</w:t>
      </w:r>
    </w:p>
    <w:p>
      <w:pPr>
        <w:spacing w:after="60"/>
        <w:ind w:left="454" w:hanging="454"/>
        <w:jc w:val="both"/>
      </w:pPr>
      <w:r>
        <w:rPr>
          <w:rFonts w:ascii="Arial" w:hAnsi="Arial"/>
          <w:sz w:val="19"/>
        </w:rPr>
        <w:t>[2] “Emergencia por lluvias en Girardota,” El Tiempo, Bogotá, Colombia, 29 may. 2023. [En línea]. Disponible en: https://www.eltiempo.com</w:t>
      </w:r>
    </w:p>
    <w:p>
      <w:pPr>
        <w:spacing w:after="60"/>
        <w:ind w:left="454" w:hanging="454"/>
        <w:jc w:val="both"/>
      </w:pPr>
      <w:r>
        <w:rPr>
          <w:rFonts w:ascii="Arial" w:hAnsi="Arial"/>
          <w:sz w:val="19"/>
        </w:rPr>
        <w:t>[3] “Afectaciones por avenida torrencial en Girardota,” El Colombiano, Medellín, Colombia, 31 may. 2023. [En línea]. Disponible en: https://www.elcolombiano.com</w:t>
      </w:r>
    </w:p>
    <w:p>
      <w:pPr>
        <w:spacing w:after="60"/>
        <w:ind w:left="454" w:hanging="454"/>
        <w:jc w:val="both"/>
      </w:pPr>
      <w:r>
        <w:rPr>
          <w:rFonts w:ascii="Arial" w:hAnsi="Arial"/>
          <w:sz w:val="19"/>
        </w:rPr>
        <w:t>[4] Corporación Autónoma Regional del Centro de Antioquia (CORANTIOQUIA), “Informe técnico de visita — quebrada La Correa,” Rad. 120-IT2307-8323, Girardota, Colombia, 2023.</w:t>
      </w:r>
    </w:p>
    <w:p>
      <w:pPr>
        <w:spacing w:after="60"/>
        <w:ind w:left="454" w:hanging="454"/>
        <w:jc w:val="both"/>
      </w:pPr>
      <w:r>
        <w:rPr>
          <w:rFonts w:ascii="Arial" w:hAnsi="Arial"/>
          <w:sz w:val="19"/>
        </w:rPr>
        <w:t>[5] Congreso de la República de Colombia, “Ley 1523 de 2012, por la cual se adopta la política nacional de gestión del riesgo de desastres,” Diario Oficial No. 48.411, Bogotá, Colombia, 24 abr. 2012.</w:t>
      </w:r>
    </w:p>
    <w:p>
      <w:pPr>
        <w:spacing w:after="60"/>
        <w:ind w:left="454" w:hanging="454"/>
        <w:jc w:val="both"/>
      </w:pPr>
      <w:r>
        <w:rPr>
          <w:rFonts w:ascii="Arial" w:hAnsi="Arial"/>
          <w:sz w:val="19"/>
        </w:rPr>
        <w:t>[6] Presidencia de la República de Colombia, “Decreto 1077 de 2015” (compila el Decreto 1807 de 2014), Bogotá, Colombia, 2015.</w:t>
      </w:r>
    </w:p>
    <w:p>
      <w:pPr>
        <w:spacing w:after="60"/>
        <w:ind w:left="454" w:hanging="454"/>
        <w:jc w:val="both"/>
      </w:pPr>
      <w:r>
        <w:rPr>
          <w:rFonts w:ascii="Arial" w:hAnsi="Arial"/>
          <w:sz w:val="19"/>
        </w:rPr>
        <w:t>[7] CORANTIOQUIA y Área Metropolitana del Valle de Aburrá (AMVA), “Plan de Ordenación y Manejo de la Cuenca (POMCA) del río Aburrá,” Medellín, Colombia.</w:t>
      </w:r>
    </w:p>
    <w:p>
      <w:pPr>
        <w:spacing w:after="60"/>
        <w:ind w:left="454" w:hanging="454"/>
        <w:jc w:val="both"/>
      </w:pPr>
      <w:r>
        <w:rPr>
          <w:rFonts w:ascii="Arial" w:hAnsi="Arial"/>
          <w:sz w:val="19"/>
        </w:rPr>
        <w:t>[8] Alcaldía de Girardota, “Plan de Desarrollo Territorial de Girardota 2024–2027,” Girardota, Colombia, 2024.</w:t>
      </w:r>
    </w:p>
    <w:p>
      <w:pPr>
        <w:spacing w:after="60"/>
        <w:ind w:left="454" w:hanging="454"/>
        <w:jc w:val="both"/>
      </w:pPr>
      <w:r>
        <w:rPr>
          <w:rFonts w:ascii="Arial" w:hAnsi="Arial"/>
          <w:sz w:val="19"/>
        </w:rPr>
        <w:t>[9] Oficina de las Naciones Unidas para la Reducción del Riesgo de Desastres (UNDRR), Marco de Sendai para la Reducción del Riesgo de Desastres 2015–2030. Ginebra, Suiza: Naciones Unidas, 2015.</w:t>
      </w:r>
    </w:p>
    <w:p>
      <w:pPr>
        <w:spacing w:after="60"/>
        <w:ind w:left="454" w:hanging="454"/>
        <w:jc w:val="both"/>
      </w:pPr>
      <w:r>
        <w:rPr>
          <w:rFonts w:ascii="Arial" w:hAnsi="Arial"/>
          <w:sz w:val="19"/>
        </w:rPr>
        <w:t>[10] Naciones Unidas, Objetivos de Desarrollo Sostenible: Agenda 2030. Nueva York, NY, EE. UU.: Naciones Unidas, 2015.</w:t>
      </w:r>
    </w:p>
    <w:p>
      <w:pPr>
        <w:spacing w:after="60"/>
        <w:ind w:left="454" w:hanging="454"/>
        <w:jc w:val="both"/>
      </w:pPr>
      <w:r>
        <w:rPr>
          <w:rFonts w:ascii="Arial" w:hAnsi="Arial"/>
          <w:sz w:val="19"/>
        </w:rPr>
        <w:t>[11] Asamblea Nacional Constituyente, Constitución Política de Colombia, art. 2. Bogotá, Colombia, 1991.</w:t>
      </w:r>
    </w:p>
    <w:p>
      <w:pPr>
        <w:spacing w:after="60"/>
        <w:ind w:left="454" w:hanging="454"/>
        <w:jc w:val="both"/>
      </w:pPr>
      <w:r>
        <w:rPr>
          <w:rFonts w:ascii="Arial" w:hAnsi="Arial"/>
          <w:sz w:val="19"/>
        </w:rPr>
        <w:t>[12] “Implementation of Flood Warning System using IoT,” in Proc. IEEE Int. Conf., 2019. [En línea]. Disponible en: https://ieeexplore.ieee.org/document/8753019  [A VERIFICAR localizadores]</w:t>
      </w:r>
    </w:p>
    <w:p>
      <w:pPr>
        <w:spacing w:after="60"/>
        <w:ind w:left="454" w:hanging="454"/>
        <w:jc w:val="both"/>
      </w:pPr>
      <w:r>
        <w:rPr>
          <w:rFonts w:ascii="Arial" w:hAnsi="Arial"/>
          <w:sz w:val="19"/>
        </w:rPr>
        <w:t>[13] “IoT-Based Flash Flood Monitoring with Mobile Notification Alerts for Urban Areas,” in Proc. IEEE Conf., 2024–2025. [En línea]. Disponible en: https://ieeexplore.ieee.org  [A VERIFICAR localizadores]</w:t>
      </w:r>
    </w:p>
    <w:p>
      <w:pPr>
        <w:spacing w:after="60"/>
        <w:ind w:left="454" w:hanging="454"/>
        <w:jc w:val="both"/>
      </w:pPr>
      <w:r>
        <w:rPr>
          <w:rFonts w:ascii="Arial" w:hAnsi="Arial"/>
          <w:sz w:val="19"/>
        </w:rPr>
        <w:t>[14] U. Raza, P. Kulkarni y M. Sooriyabandara, “Low Power Wide Area Networks: An Overview,” IEEE Communications Surveys &amp; Tutorials, 2017. (LoRaWAN: ciclo de trabajo y monitoreo en tiempo real).  [A VERIFICAR localizadores]</w:t>
      </w:r>
    </w:p>
    <w:p>
      <w:pPr>
        <w:spacing w:after="60"/>
        <w:ind w:left="454" w:hanging="454"/>
        <w:jc w:val="both"/>
      </w:pPr>
      <w:r>
        <w:rPr>
          <w:rFonts w:ascii="Arial" w:hAnsi="Arial"/>
          <w:sz w:val="19"/>
        </w:rPr>
        <w:t>[15] T. L. Saaty, The Analytic Hierarchy Process. New York, NY, EE. UU.: McGraw-Hill, 1980.</w:t>
      </w:r>
    </w:p>
    <w:p>
      <w:pPr>
        <w:spacing w:after="60"/>
        <w:ind w:left="454" w:hanging="454"/>
        <w:jc w:val="both"/>
      </w:pPr>
      <w:r>
        <w:rPr>
          <w:rFonts w:ascii="Arial" w:hAnsi="Arial"/>
          <w:sz w:val="19"/>
        </w:rPr>
        <w:t>[16] “GIS-based multi-criteria analysis and AHP for flood-prone areas mapping,” Geomatics, Natural Hazards and Risk, 2021.  [A VERIFICAR localizadores]</w:t>
      </w:r>
    </w:p>
    <w:p>
      <w:pPr>
        <w:spacing w:after="60"/>
        <w:ind w:left="454" w:hanging="454"/>
        <w:jc w:val="both"/>
      </w:pPr>
      <w:r>
        <w:rPr>
          <w:rFonts w:ascii="Arial" w:hAnsi="Arial"/>
          <w:sz w:val="19"/>
        </w:rPr>
        <w:t>[17] Z. P. Kirpich, “Time of concentration of small agricultural watersheds,” Civil Engineering, vol. 10, no. 6, p. 362, 1940.</w:t>
      </w:r>
    </w:p>
    <w:p>
      <w:pPr>
        <w:spacing w:after="60"/>
        <w:ind w:left="454" w:hanging="454"/>
        <w:jc w:val="both"/>
      </w:pPr>
      <w:r>
        <w:rPr>
          <w:rFonts w:ascii="Arial" w:hAnsi="Arial"/>
          <w:sz w:val="19"/>
        </w:rPr>
        <w:t>[18] R. E. Wilford, M. E. Sakals, J. L. Innes, R. C. Sidle y W. A. Bergerud, “Recognition of debris flow, debris flood and flood hazard through watershed morphometrics,” Landslides, vol. 1, no. 1, pp. 61–66, 2004. (Índice de Melton).</w:t>
      </w:r>
    </w:p>
    <w:sectPr w:rsidR="00FC693F" w:rsidRPr="0006063C" w:rsidSect="00034616">
      <w:footerReference w:type="default" r:id="rId9"/>
      <w:pgSz w:w="12240" w:h="15840"/>
      <w:pgMar w:top="1304"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68" w:val="right"/>
      </w:tabs>
    </w:pPr>
    <w:r/>
    <w:r>
      <w:rPr>
        <w:rFonts w:ascii="Arial" w:hAnsi="Arial"/>
        <w:color w:val="777777"/>
        <w:sz w:val="16"/>
      </w:rPr>
      <w:t>Sistema IoT de Alerta Temprana y Monitoreo · Quebrada La Correa — Girardota (Antioquia)</w:t>
      <w:tab/>
    </w:r>
    <w:r>
      <w:rPr>
        <w:rFonts w:ascii="Arial" w:hAnsi="Arial"/>
        <w:color w:val="777777"/>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69"/>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