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Félix Partnerships Strategy</w:t>
      </w:r>
    </w:p>
    <w:p>
      <w:pPr>
        <w:jc w:val="center"/>
      </w:pPr>
      <w:r>
        <w:rPr>
          <w:b/>
          <w:sz w:val="26"/>
        </w:rPr>
        <w:t>AI / Codex Handoff — consolidated from this chat</w:t>
      </w:r>
    </w:p>
    <w:p>
      <w:pPr>
        <w:jc w:val="center"/>
      </w:pPr>
      <w:r>
        <w:t>Cut-off: 15 October 2026</w:t>
      </w:r>
    </w:p>
    <w:p>
      <w:pPr>
        <w:jc w:val="center"/>
      </w:pPr>
      <w:r>
        <w:rPr>
          <w:b/>
          <w:color w:val="C00000"/>
        </w:rPr>
        <w:t>CONFIDENTIAL — contains internal commercial partnership terms</w:t>
      </w:r>
    </w:p>
    <w:p>
      <w:r>
        <w:br w:type="page"/>
      </w:r>
    </w:p>
    <w:p>
      <w:pPr>
        <w:pStyle w:val="Heading1"/>
      </w:pPr>
      <w:r>
        <w:t>0. Instruction for the next AI</w:t>
      </w:r>
    </w:p>
    <w:p>
      <w:pPr>
        <w:spacing w:after="80"/>
      </w:pPr>
      <w:r>
        <w:t>This document is the current source of truth for the sender-side partnerships workstream. Do not change the 10 ACCESS types or create combined archetypes unless you explicitly present the change as a proposal and Alejandra approves it. Keep ACCESS, INTEGRATION and OBJECTIVE independent. Recipient-side/request-to-remittance is out of scope. Main objective: Acquisition with Frequency as a condition — new senders who repeat, not just registrations.</w:t>
      </w:r>
    </w:p>
    <w:p>
      <w:pPr>
        <w:pStyle w:val="Heading1"/>
      </w:pPr>
      <w:r>
        <w:t>1. Project purpose</w:t>
      </w:r>
    </w:p>
    <w:p>
      <w:pPr>
        <w:spacing w:after="80"/>
      </w:pPr>
      <w:r>
        <w:t>ROLE: Senior Strategy, Consumer Insights &amp; Partnerships Research Agent para Félix, fintech de remesas US→LatAm. Foco inicial original: Guatemala, El Salvador, Honduras, Nicaragua, Perú y Ecuador; scope operacional posterior confirmado: GT, SV, HN, NI, EC, PE y BR. Objetivo: entender cómo viven las diásporas en EE. UU. y, sobre todo, qué compañías/plataformas/organizaciones tienen acceso, confianza, distribución o data que Félix necesitaría construir por sí solo. Nunca tratar “US Latinos” como homogéneo. Analizar por nacionalidad y segmentar solo cuando cambie comportamiento o implicación de partnership. Investigación debe cubrir demographics/geography; employment/income; financial behavior; remittances; digital/social; physical ecosystem; commerce; media/culture/trust; migrant infrastructure; life events. La transformación central es Behavior → Touchpoint → Ecosystem → Company → Partnership → Félix growth lever. Distinguir FACT / SIGNAL / HYPOTHESIS. Priorizar fuentes oficiales/recientes y descubrir players no obvios: staffing, payroll, ethnic retail, community orgs, local media, migrant infrastructure, niche fintechs, etc.</w:t>
      </w:r>
    </w:p>
    <w:p>
      <w:pPr>
        <w:pStyle w:val="Heading1"/>
      </w:pPr>
      <w:r>
        <w:t>2. Canonical framework — do not modify without explicit decision</w:t>
      </w:r>
    </w:p>
    <w:p>
      <w:pPr>
        <w:spacing w:after="60"/>
      </w:pPr>
      <w:r>
        <w:rPr>
          <w:b/>
        </w:rPr>
        <w:t>1. Work &amp; Income</w:t>
      </w:r>
      <w:r>
        <w:t xml:space="preserve"> — Relación mediante la cual el sender consigue trabajo, genera ingresos o recibe su pago. Ejemplos de entidades: employers, staffing agencies, recruiters, labor contractors, gig platforms, payroll/HCM, paycards, worker-benefit platforms.</w:t>
      </w:r>
    </w:p>
    <w:p>
      <w:pPr>
        <w:spacing w:after="60"/>
      </w:pPr>
      <w:r>
        <w:rPr>
          <w:b/>
        </w:rPr>
        <w:t>2. Money Management</w:t>
      </w:r>
      <w:r>
        <w:t xml:space="preserve"> — Relación mediante la cual el sender guarda, recibe, mueve, financia o administra dinero. Ejemplos: banks, credit unions, neobanks, wallets, P2P, prepaid/paycards, credit builders, lenders, SMB finance.</w:t>
      </w:r>
    </w:p>
    <w:p>
      <w:pPr>
        <w:spacing w:after="60"/>
      </w:pPr>
      <w:r>
        <w:rPr>
          <w:b/>
        </w:rPr>
        <w:t>3. Connectivity</w:t>
      </w:r>
      <w:r>
        <w:t xml:space="preserve"> — Relación recurrente alrededor del teléfono, internet o comunicación. Ejemplos: carriers, MVNOs, wireless retailers, international calling, mobile top-up.</w:t>
      </w:r>
    </w:p>
    <w:p>
      <w:pPr>
        <w:spacing w:after="60"/>
      </w:pPr>
      <w:r>
        <w:rPr>
          <w:b/>
        </w:rPr>
        <w:t>4. Transnational Life</w:t>
      </w:r>
      <w:r>
        <w:t xml:space="preserve"> — Relación que revela que la vida económica/familiar del sender cruza EE. UU. y el país de origen. Ejemplos: cross-border gifting/e-commerce, couriers, shipping, travel, international top-up/calling cuando el componente cross-border es central.</w:t>
      </w:r>
    </w:p>
    <w:p>
      <w:pPr>
        <w:spacing w:after="60"/>
      </w:pPr>
      <w:r>
        <w:rPr>
          <w:b/>
        </w:rPr>
        <w:t>5. Everyday Commerce</w:t>
      </w:r>
      <w:r>
        <w:t xml:space="preserve"> — Relación repetida de consumo cotidiano. Ejemplos: grocery, ethnic retail, convenience, restaurants/QSR, pharmacy, salons, laundromats, gas, retail.</w:t>
      </w:r>
    </w:p>
    <w:p>
      <w:pPr>
        <w:spacing w:after="60"/>
      </w:pPr>
      <w:r>
        <w:rPr>
          <w:b/>
        </w:rPr>
        <w:t>6. Migrant Journey</w:t>
      </w:r>
      <w:r>
        <w:t xml:space="preserve"> — Relación específica de establecimiento y navegación de la vida migrante. Ejemplos: immigration/legal services, ITIN/document services, consular/document ecosystems, translation, newcomer organizations.</w:t>
      </w:r>
    </w:p>
    <w:p>
      <w:pPr>
        <w:spacing w:after="60"/>
      </w:pPr>
      <w:r>
        <w:rPr>
          <w:b/>
        </w:rPr>
        <w:t>7. Community &amp; Identity</w:t>
      </w:r>
      <w:r>
        <w:t xml:space="preserve"> — Relación de confianza, pertenencia o identidad. Ejemplos: churches, hometown associations, diaspora orgs, nonprofits, cultural centers, community leaders, soccer/community leagues.</w:t>
      </w:r>
    </w:p>
    <w:p>
      <w:pPr>
        <w:spacing w:after="60"/>
      </w:pPr>
      <w:r>
        <w:rPr>
          <w:b/>
        </w:rPr>
        <w:t>8. Digital Attention / Discovery</w:t>
      </w:r>
      <w:r>
        <w:t xml:space="preserve"> — Relación con la atención y el descubrimiento digital. Ejemplos: country-specific media, local Spanish media, creators, Facebook/WhatsApp communities, TikTok/YouTube, classifieds, marketplaces, job boards.</w:t>
      </w:r>
    </w:p>
    <w:p>
      <w:pPr>
        <w:spacing w:after="60"/>
      </w:pPr>
      <w:r>
        <w:rPr>
          <w:b/>
        </w:rPr>
        <w:t>9. Mobility &amp; Local Life</w:t>
      </w:r>
      <w:r>
        <w:t xml:space="preserve"> — Relación alrededor de movilidad y vida local. Ejemplos: auto, auto finance, insurance, repair, transportation, housing-adjacent services, local services.</w:t>
      </w:r>
    </w:p>
    <w:p>
      <w:pPr>
        <w:spacing w:after="60"/>
      </w:pPr>
      <w:r>
        <w:rPr>
          <w:b/>
        </w:rPr>
        <w:t>10. Life-stage / Household</w:t>
      </w:r>
      <w:r>
        <w:t xml:space="preserve"> — Relación alrededor de etapas de vida y necesidades del hogar. Ejemplos: education/upskilling, childcare, family services, healthcare, household formation and services.</w:t>
      </w:r>
    </w:p>
    <w:p>
      <w:pPr>
        <w:pStyle w:val="Heading2"/>
      </w:pPr>
      <w:r>
        <w:t>Dimension 2 · INTEGRATION</w:t>
      </w:r>
    </w:p>
    <w:p>
      <w:pPr>
        <w:pStyle w:val="ListBullet"/>
        <w:spacing w:after="40"/>
      </w:pPr>
      <w:r>
        <w:t>Low: access/traffic/referral.</w:t>
      </w:r>
    </w:p>
    <w:p>
      <w:pPr>
        <w:pStyle w:val="ListBullet"/>
        <w:spacing w:after="40"/>
      </w:pPr>
      <w:r>
        <w:t>Medium: Félix is inside the partner journey or CRM.</w:t>
      </w:r>
    </w:p>
    <w:p>
      <w:pPr>
        <w:pStyle w:val="ListBullet"/>
        <w:spacing w:after="40"/>
      </w:pPr>
      <w:r>
        <w:t>High: Félix is part of the product (embedded/API/native).</w:t>
      </w:r>
    </w:p>
    <w:p>
      <w:pPr>
        <w:pStyle w:val="Heading2"/>
      </w:pPr>
      <w:r>
        <w:t>Dimension 3 · OBJECTIVE</w:t>
      </w:r>
    </w:p>
    <w:p>
      <w:pPr>
        <w:spacing w:after="80"/>
      </w:pPr>
      <w:r>
        <w:t>Acquisition, Activation, Frequency, Retention, Monetization, Product adoption, Market access, Trust.</w:t>
      </w:r>
    </w:p>
    <w:p>
      <w:pPr>
        <w:pStyle w:val="Heading2"/>
      </w:pPr>
      <w:r>
        <w:t>Non-negotiable decisions</w:t>
      </w:r>
    </w:p>
    <w:p>
      <w:pPr>
        <w:pStyle w:val="ListBullet"/>
        <w:spacing w:after="40"/>
      </w:pPr>
      <w:r>
        <w:t>Sender-side partnerships only in this workstream.</w:t>
      </w:r>
    </w:p>
    <w:p>
      <w:pPr>
        <w:pStyle w:val="ListBullet"/>
        <w:spacing w:after="40"/>
      </w:pPr>
      <w:r>
        <w:t>Recipient-side/request-to-remittance is owned elsewhere and is out of scope.</w:t>
      </w:r>
    </w:p>
    <w:p>
      <w:pPr>
        <w:pStyle w:val="ListBullet"/>
        <w:spacing w:after="40"/>
      </w:pPr>
      <w:r>
        <w:t>Industry or partner size does not define ACCESS.</w:t>
      </w:r>
    </w:p>
    <w:p>
      <w:pPr>
        <w:pStyle w:val="ListBullet"/>
        <w:spacing w:after="40"/>
      </w:pPr>
      <w:r>
        <w:t>A partner may have primary and secondary access, but there are no combined archetypes.</w:t>
      </w:r>
    </w:p>
    <w:p>
      <w:pPr>
        <w:pStyle w:val="ListBullet"/>
        <w:spacing w:after="40"/>
      </w:pPr>
      <w:r>
        <w:t>Integration materially changes Frequency potential; do not rank access while ignoring integration.</w:t>
      </w:r>
    </w:p>
    <w:p>
      <w:pPr>
        <w:pStyle w:val="ListBullet"/>
        <w:spacing w:after="40"/>
      </w:pPr>
      <w:r>
        <w:t>Corridor scope: GT, SV, HN, NI, EC, PE, BR.</w:t>
      </w:r>
    </w:p>
    <w:p>
      <w:pPr>
        <w:pStyle w:val="ListBullet"/>
        <w:spacing w:after="40"/>
      </w:pPr>
      <w:r>
        <w:t>If evidence is insufficient, write “sin base” rather than inventing a score.</w:t>
      </w:r>
    </w:p>
    <w:p>
      <w:pPr>
        <w:pStyle w:val="Heading1"/>
      </w:pPr>
      <w:r>
        <w:t>3. Central strategic question</w:t>
      </w:r>
    </w:p>
    <w:p>
      <w:pPr>
        <w:jc w:val="center"/>
      </w:pPr>
      <w:r>
        <w:rPr>
          <w:b/>
          <w:sz w:val="24"/>
        </w:rPr>
        <w:t>“¿Qué partner tiene remitentes potenciales Y una relación que se repite al ritmo al que queremos que transaccionen?”</w:t>
      </w:r>
    </w:p>
    <w:p>
      <w:pPr>
        <w:spacing w:after="80"/>
      </w:pPr>
      <w:r>
        <w:t>Keep three strategic intuitions: Transnational Life is often strongest for sender intent / first transactions; Work &amp; Income can be strongest for Frequency when integration is medium/high; Money Management can be strongest for scale/frequency but carries more sender-density and competitive-conflict risk. These are judgments about objectives, not redefinitions of ACCESS.</w:t>
      </w:r>
    </w:p>
    <w:p>
      <w:pPr>
        <w:pStyle w:val="Heading1"/>
      </w:pPr>
      <w:r>
        <w:t>4. Mateo Guerrero pipeline — full consolidated view</w:t>
      </w:r>
    </w:p>
    <w:p>
      <w:pPr>
        <w:spacing w:after="80"/>
      </w:pPr>
      <w:r>
        <w:t>Internal source: Opportunity Review Universe / BD Opp Reviews. Standard phase-1 model: tracked partner link/button → Félix landing → Felix Chat → Félix KYC → successful transaction → partner fee/revenue share. Dash is the major exception because it targets a high/embedded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Partner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Status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Primary ACCESS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Secondary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Scale / key data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Economics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Integration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OKY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Done; launched late May 2026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Transnational Life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Everyday Commerce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Ficha: 200K base total; 15K–20K MAU. Reunión 24 Sep: Mateo mencionó ~130K activos, 60% Guatemala y 20% México; inconsistencia pendiente de reconciliar.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US$1.00 por transacción exitosa; US$1.15 desde la 5,001 del mes; aplica durante 3 años para usuarios referidos elegibles.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 actualmente: banners in-app, emails y social → landing Félix → Felix Chat; campaign ID.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MandaFacil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Done; launched 20 May 2026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Transnational Life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Everyday Commerce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35K usuarios; unos cientos activos.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US$0.65 por cada transacción exitosa de usuario referido durante toda la duración del contrato.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Baja: referral link/campaign ID, banners, email, social.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BlxckPay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Done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 &amp; Income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Money Management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4K–6K remittance users en temporada baja; proyectaba 10K–12K con cosecha.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US$0.75 por transacción exitosa.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 actualmente: referral button/app + emails + print; campaign ID.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Finanta Credit Union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Done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Money Management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Overview 1.5K usuarios; otra sección ~1,000; inconsistencia.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US$0.25 por transacción exitosa. Definición distinta: paga incluso por miembros que ya eran usuarios de Félix.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Baja: app/email/print referral.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Streann / DTVC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Done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Digital Attention / Discovery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Community &amp; Identity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~50K usuarios activos en EE. UU.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Revenue share escalonado: US$1.00 (1–500), US$1.25 (501–1,000), US$1.50 (1,001+), activado desde 100 TX/mes; crédito inicial/rotativo de US$2K.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Baja: in-app banner/link + push + social → landing Félix.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Aprende Institute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 progress / launched around week of 24 Sep 2026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Life-stage / Household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Digital Attention / Discovery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~35K estudiantes activos/mes; 35K–40K leads/mes; ~9K graduados/año; &gt;400K históricos; &gt;1M followers; ~1M organic visits/mes; reunión mencionó 2M users (no en ficha).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US$0.75 por transacción exitosa durante el contrato; usuarios existentes excluidos.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Baja: digital placement → landing → Felix Chat.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Luca (Inmediato LLC)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 progress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Money Management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 &amp; Income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~1.5K PyMEs latinas.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 Luca→Félix: fee/revenue share (ficha dice “0.75 cents”, probablemente US$0.75, pendiente). De Félix→Luca: Félix gana 6% del primer crédito/MCA; impacto estimado US$200–US$600 por referido.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 inicialmente: emails/CTA/co-branded landing.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Kikoff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 progress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Money Management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—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&gt;1M usuarios activos; &gt;4M históricos.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 negociación: US$1 por TX exitosa o US$25 CPA único.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Baja: in-app/email/social referral.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Dash Solutions / Felix Send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 progress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 &amp; Income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Money Management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&gt;1M users; estimación interna de 200K potenciales remitters solo en agricultura.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50 bps por transacción, antes de promociones/fees.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Alta propuesta: Félix Send embedded directamente en la plataforma; send-from-balance.</w:t>
            </w:r>
          </w:p>
        </w:tc>
      </w:tr>
    </w:tbl>
    <w:p/>
    <w:p>
      <w:pPr>
        <w:pStyle w:val="Heading2"/>
      </w:pPr>
      <w:r>
        <w:t>OKY</w:t>
      </w:r>
    </w:p>
    <w:p>
      <w:pPr>
        <w:spacing w:after="40"/>
      </w:pPr>
      <w:r>
        <w:rPr>
          <w:b/>
        </w:rPr>
        <w:t xml:space="preserve">Status: </w:t>
      </w:r>
      <w:r>
        <w:t>Done; launched late May 2026</w:t>
      </w:r>
    </w:p>
    <w:p>
      <w:pPr>
        <w:spacing w:after="40"/>
      </w:pPr>
      <w:r>
        <w:rPr>
          <w:b/>
        </w:rPr>
        <w:t xml:space="preserve">Primary ACCESS: </w:t>
      </w:r>
      <w:r>
        <w:t>Transnational Life</w:t>
      </w:r>
    </w:p>
    <w:p>
      <w:pPr>
        <w:spacing w:after="40"/>
      </w:pPr>
      <w:r>
        <w:rPr>
          <w:b/>
        </w:rPr>
        <w:t xml:space="preserve">Secondary ACCESS: </w:t>
      </w:r>
      <w:r>
        <w:t>Everyday Commerce</w:t>
      </w:r>
    </w:p>
    <w:p>
      <w:pPr>
        <w:spacing w:after="40"/>
      </w:pPr>
      <w:r>
        <w:rPr>
          <w:b/>
        </w:rPr>
        <w:t xml:space="preserve">Access relationship: </w:t>
      </w:r>
      <w:r>
        <w:t>Plataforma para que latinos en EE. UU. envíen vouchers prepagados a LatAm para construcción, restaurantes, farmacias, salud, supermercado, recargas y otros usos. Guatemala es su corredor principal; opera en los 9 mercados de Félix.</w:t>
      </w:r>
    </w:p>
    <w:p>
      <w:pPr>
        <w:spacing w:after="40"/>
      </w:pPr>
      <w:r>
        <w:rPr>
          <w:b/>
        </w:rPr>
        <w:t xml:space="preserve">Scale / data: </w:t>
      </w:r>
      <w:r>
        <w:t>Ficha: 200K base total; 15K–20K MAU. Reunión 24 Sep: Mateo mencionó ~130K activos, 60% Guatemala y 20% México; inconsistencia pendiente de reconciliar.</w:t>
      </w:r>
    </w:p>
    <w:p>
      <w:pPr>
        <w:spacing w:after="40"/>
      </w:pPr>
      <w:r>
        <w:rPr>
          <w:b/>
        </w:rPr>
        <w:t xml:space="preserve">Goals: </w:t>
      </w:r>
      <w:r>
        <w:t>5K–7K signups esperados; 2,500 FTX en corto plazo; CAC objetivo ~US$8.</w:t>
      </w:r>
    </w:p>
    <w:p>
      <w:pPr>
        <w:spacing w:after="40"/>
      </w:pPr>
      <w:r>
        <w:rPr>
          <w:b/>
        </w:rPr>
        <w:t xml:space="preserve">Economics: </w:t>
      </w:r>
      <w:r>
        <w:t>US$1.00 por transacción exitosa; US$1.15 desde la 5,001 del mes; aplica durante 3 años para usuarios referidos elegibles.</w:t>
      </w:r>
    </w:p>
    <w:p>
      <w:pPr>
        <w:spacing w:after="40"/>
      </w:pPr>
      <w:r>
        <w:rPr>
          <w:b/>
        </w:rPr>
        <w:t xml:space="preserve">Integration: </w:t>
      </w:r>
      <w:r>
        <w:t>Baja actualmente: banners in-app, emails y social → landing Félix → Felix Chat; campaign ID.</w:t>
      </w:r>
    </w:p>
    <w:p>
      <w:pPr>
        <w:spacing w:after="40"/>
      </w:pPr>
      <w:r>
        <w:rPr>
          <w:b/>
        </w:rPr>
        <w:t xml:space="preserve">Performance: </w:t>
      </w:r>
      <w:r>
        <w:t>A sep 2026: ~1,300 usuarios nuevos y ~6K transacciones. Serie mencionada en reunión: TX mensuales 202, 826, 1,047, 2,000, 1,098 (última probablemente parcial); FTX 140, 293, 333, 364.</w:t>
      </w:r>
    </w:p>
    <w:p>
      <w:pPr>
        <w:spacing w:after="40"/>
      </w:pPr>
      <w:r>
        <w:rPr>
          <w:b/>
        </w:rPr>
        <w:t xml:space="preserve">Notes: </w:t>
      </w:r>
      <w:r>
        <w:t>Relación recíproca: Félix también refiere tráfico a OKY. Excelente proof point interno de acceso basado en comportamiento transnacional.</w:t>
      </w:r>
    </w:p>
    <w:p>
      <w:pPr>
        <w:pStyle w:val="Heading2"/>
      </w:pPr>
      <w:r>
        <w:t>MandaFacil</w:t>
      </w:r>
    </w:p>
    <w:p>
      <w:pPr>
        <w:spacing w:after="40"/>
      </w:pPr>
      <w:r>
        <w:rPr>
          <w:b/>
        </w:rPr>
        <w:t xml:space="preserve">Status: </w:t>
      </w:r>
      <w:r>
        <w:t>Done; launched 20 May 2026</w:t>
      </w:r>
    </w:p>
    <w:p>
      <w:pPr>
        <w:spacing w:after="40"/>
      </w:pPr>
      <w:r>
        <w:rPr>
          <w:b/>
        </w:rPr>
        <w:t xml:space="preserve">Primary ACCESS: </w:t>
      </w:r>
      <w:r>
        <w:t>Transnational Life</w:t>
      </w:r>
    </w:p>
    <w:p>
      <w:pPr>
        <w:spacing w:after="40"/>
      </w:pPr>
      <w:r>
        <w:rPr>
          <w:b/>
        </w:rPr>
        <w:t xml:space="preserve">Secondary ACCESS: </w:t>
      </w:r>
      <w:r>
        <w:t>Everyday Commerce</w:t>
      </w:r>
    </w:p>
    <w:p>
      <w:pPr>
        <w:spacing w:after="40"/>
      </w:pPr>
      <w:r>
        <w:rPr>
          <w:b/>
        </w:rPr>
        <w:t xml:space="preserve">Access relationship: </w:t>
      </w:r>
      <w:r>
        <w:t>E-commerce conversacional por WhatsApp para que latinos en EE. UU. compren productos en comercios mexicanos (Walmart, Coppel, Costco, Whirlpool, Mabe) y se entreguen a familia en México.</w:t>
      </w:r>
    </w:p>
    <w:p>
      <w:pPr>
        <w:spacing w:after="40"/>
      </w:pPr>
      <w:r>
        <w:rPr>
          <w:b/>
        </w:rPr>
        <w:t xml:space="preserve">Scale / data: </w:t>
      </w:r>
      <w:r>
        <w:t>35K usuarios; unos cientos activos.</w:t>
      </w:r>
    </w:p>
    <w:p>
      <w:pPr>
        <w:spacing w:after="40"/>
      </w:pPr>
      <w:r>
        <w:rPr>
          <w:b/>
        </w:rPr>
        <w:t xml:space="preserve">Goals: </w:t>
      </w:r>
      <w:r>
        <w:t>500–1,000 signups; CAC objetivo ~US$8.</w:t>
      </w:r>
    </w:p>
    <w:p>
      <w:pPr>
        <w:spacing w:after="40"/>
      </w:pPr>
      <w:r>
        <w:rPr>
          <w:b/>
        </w:rPr>
        <w:t xml:space="preserve">Economics: </w:t>
      </w:r>
      <w:r>
        <w:t>US$0.65 por cada transacción exitosa de usuario referido durante toda la duración del contrato.</w:t>
      </w:r>
    </w:p>
    <w:p>
      <w:pPr>
        <w:spacing w:after="40"/>
      </w:pPr>
      <w:r>
        <w:rPr>
          <w:b/>
        </w:rPr>
        <w:t xml:space="preserve">Integration: </w:t>
      </w:r>
      <w:r>
        <w:t>Baja: referral link/campaign ID, banners, email, social.</w:t>
      </w:r>
    </w:p>
    <w:p>
      <w:pPr>
        <w:spacing w:after="40"/>
      </w:pPr>
      <w:r>
        <w:rPr>
          <w:b/>
        </w:rPr>
        <w:t xml:space="preserve">Performance: </w:t>
      </w:r>
      <w:r>
        <w:t>Sin performance consolidado incluido en el chat.</w:t>
      </w:r>
    </w:p>
    <w:p>
      <w:pPr>
        <w:spacing w:after="40"/>
      </w:pPr>
      <w:r>
        <w:rPr>
          <w:b/>
        </w:rPr>
        <w:t xml:space="preserve">Notes: </w:t>
      </w:r>
      <w:r>
        <w:t>Prueba cross-border commerce como access source; economics perpetuos deben evaluarse contra CM/LTV incremental.</w:t>
      </w:r>
    </w:p>
    <w:p>
      <w:pPr>
        <w:pStyle w:val="Heading2"/>
      </w:pPr>
      <w:r>
        <w:t>BlxckPay</w:t>
      </w:r>
    </w:p>
    <w:p>
      <w:pPr>
        <w:spacing w:after="40"/>
      </w:pPr>
      <w:r>
        <w:rPr>
          <w:b/>
        </w:rPr>
        <w:t xml:space="preserve">Status: </w:t>
      </w:r>
      <w:r>
        <w:t>Done</w:t>
      </w:r>
    </w:p>
    <w:p>
      <w:pPr>
        <w:spacing w:after="40"/>
      </w:pPr>
      <w:r>
        <w:rPr>
          <w:b/>
        </w:rPr>
        <w:t xml:space="preserve">Primary ACCESS: </w:t>
      </w:r>
      <w:r>
        <w:t>Work &amp; Income</w:t>
      </w:r>
    </w:p>
    <w:p>
      <w:pPr>
        <w:spacing w:after="40"/>
      </w:pPr>
      <w:r>
        <w:rPr>
          <w:b/>
        </w:rPr>
        <w:t xml:space="preserve">Secondary ACCESS: </w:t>
      </w:r>
      <w:r>
        <w:t>Money Management</w:t>
      </w:r>
    </w:p>
    <w:p>
      <w:pPr>
        <w:spacing w:after="40"/>
      </w:pPr>
      <w:r>
        <w:rPr>
          <w:b/>
        </w:rPr>
        <w:t xml:space="preserve">Access relationship: </w:t>
      </w:r>
      <w:r>
        <w:t>Servicios bancarios para trabajadores H-2A mexicanos en agricultura; el differentiated access es la relación con trabajadores agrícolas temporales y su ingreso.</w:t>
      </w:r>
    </w:p>
    <w:p>
      <w:pPr>
        <w:spacing w:after="40"/>
      </w:pPr>
      <w:r>
        <w:rPr>
          <w:b/>
        </w:rPr>
        <w:t xml:space="preserve">Scale / data: </w:t>
      </w:r>
      <w:r>
        <w:t>4K–6K remittance users en temporada baja; proyectaba 10K–12K con cosecha.</w:t>
      </w:r>
    </w:p>
    <w:p>
      <w:pPr>
        <w:spacing w:after="40"/>
      </w:pPr>
      <w:r>
        <w:rPr>
          <w:b/>
        </w:rPr>
        <w:t xml:space="preserve">Goals: </w:t>
      </w:r>
      <w:r>
        <w:t>3,000 signups; 1,500 FTX; CAC objetivo ~US$8.</w:t>
      </w:r>
    </w:p>
    <w:p>
      <w:pPr>
        <w:spacing w:after="40"/>
      </w:pPr>
      <w:r>
        <w:rPr>
          <w:b/>
        </w:rPr>
        <w:t xml:space="preserve">Economics: </w:t>
      </w:r>
      <w:r>
        <w:t>US$0.75 por transacción exitosa.</w:t>
      </w:r>
    </w:p>
    <w:p>
      <w:pPr>
        <w:spacing w:after="40"/>
      </w:pPr>
      <w:r>
        <w:rPr>
          <w:b/>
        </w:rPr>
        <w:t xml:space="preserve">Integration: </w:t>
      </w:r>
      <w:r>
        <w:t>Baja actualmente: referral button/app + emails + print; campaign ID.</w:t>
      </w:r>
    </w:p>
    <w:p>
      <w:pPr>
        <w:spacing w:after="40"/>
      </w:pPr>
      <w:r>
        <w:rPr>
          <w:b/>
        </w:rPr>
        <w:t xml:space="preserve">Performance: </w:t>
      </w:r>
      <w:r>
        <w:t>Ficha describe patrón esperado/observado a monitorear: US$300–US$600 por transacción, ~4 veces/mes desde granjas.</w:t>
      </w:r>
    </w:p>
    <w:p>
      <w:pPr>
        <w:spacing w:after="40"/>
      </w:pPr>
      <w:r>
        <w:rPr>
          <w:b/>
        </w:rPr>
        <w:t xml:space="preserve">Notes: </w:t>
      </w:r>
      <w:r>
        <w:t>Riesgo compliance moderado por shared IP/location y falta de US ID en H-2A; buen test de Work &amp; Income con secondary Money Management.</w:t>
      </w:r>
    </w:p>
    <w:p>
      <w:pPr>
        <w:pStyle w:val="Heading2"/>
      </w:pPr>
      <w:r>
        <w:t>Finanta Credit Union</w:t>
      </w:r>
    </w:p>
    <w:p>
      <w:pPr>
        <w:spacing w:after="40"/>
      </w:pPr>
      <w:r>
        <w:rPr>
          <w:b/>
        </w:rPr>
        <w:t xml:space="preserve">Status: </w:t>
      </w:r>
      <w:r>
        <w:t>Done</w:t>
      </w:r>
    </w:p>
    <w:p>
      <w:pPr>
        <w:spacing w:after="40"/>
      </w:pPr>
      <w:r>
        <w:rPr>
          <w:b/>
        </w:rPr>
        <w:t xml:space="preserve">Primary ACCESS: </w:t>
      </w:r>
      <w:r>
        <w:t>Money Management</w:t>
      </w:r>
    </w:p>
    <w:p>
      <w:pPr>
        <w:spacing w:after="40"/>
      </w:pPr>
      <w:r>
        <w:rPr>
          <w:b/>
        </w:rPr>
        <w:t xml:space="preserve">Secondary ACCESS: </w:t>
      </w:r>
      <w:r>
        <w:t>—</w:t>
      </w:r>
    </w:p>
    <w:p>
      <w:pPr>
        <w:spacing w:after="40"/>
      </w:pPr>
      <w:r>
        <w:rPr>
          <w:b/>
        </w:rPr>
        <w:t xml:space="preserve">Access relationship: </w:t>
      </w:r>
      <w:r>
        <w:t>Credit union de Pennsylvania con base mayoritariamente hispana; acceso por relación financiera/member relationship.</w:t>
      </w:r>
    </w:p>
    <w:p>
      <w:pPr>
        <w:spacing w:after="40"/>
      </w:pPr>
      <w:r>
        <w:rPr>
          <w:b/>
        </w:rPr>
        <w:t xml:space="preserve">Scale / data: </w:t>
      </w:r>
      <w:r>
        <w:t>Overview 1.5K usuarios; otra sección ~1,000; inconsistencia.</w:t>
      </w:r>
    </w:p>
    <w:p>
      <w:pPr>
        <w:spacing w:after="40"/>
      </w:pPr>
      <w:r>
        <w:rPr>
          <w:b/>
        </w:rPr>
        <w:t xml:space="preserve">Goals: </w:t>
      </w:r>
      <w:r>
        <w:t>300–400 signups; 150 FTX; CAC ~US$8.</w:t>
      </w:r>
    </w:p>
    <w:p>
      <w:pPr>
        <w:spacing w:after="40"/>
      </w:pPr>
      <w:r>
        <w:rPr>
          <w:b/>
        </w:rPr>
        <w:t xml:space="preserve">Economics: </w:t>
      </w:r>
      <w:r>
        <w:t>US$0.25 por transacción exitosa. Definición distinta: paga incluso por miembros que ya eran usuarios de Félix.</w:t>
      </w:r>
    </w:p>
    <w:p>
      <w:pPr>
        <w:spacing w:after="40"/>
      </w:pPr>
      <w:r>
        <w:rPr>
          <w:b/>
        </w:rPr>
        <w:t xml:space="preserve">Integration: </w:t>
      </w:r>
      <w:r>
        <w:t>Baja: app/email/print referral.</w:t>
      </w:r>
    </w:p>
    <w:p>
      <w:pPr>
        <w:spacing w:after="40"/>
      </w:pPr>
      <w:r>
        <w:rPr>
          <w:b/>
        </w:rPr>
        <w:t xml:space="preserve">Performance: </w:t>
      </w:r>
      <w:r>
        <w:t>Sin performance consolidado incluido.</w:t>
      </w:r>
    </w:p>
    <w:p>
      <w:pPr>
        <w:spacing w:after="40"/>
      </w:pPr>
      <w:r>
        <w:rPr>
          <w:b/>
        </w:rPr>
        <w:t xml:space="preserve">Notes: </w:t>
      </w:r>
      <w:r>
        <w:t>Existing users deberían separarse de Acquisition economics; potencialmente Activation/Frequency si se decide explícitamente.</w:t>
      </w:r>
    </w:p>
    <w:p>
      <w:pPr>
        <w:pStyle w:val="Heading2"/>
      </w:pPr>
      <w:r>
        <w:t>Streann / DTVC</w:t>
      </w:r>
    </w:p>
    <w:p>
      <w:pPr>
        <w:spacing w:after="40"/>
      </w:pPr>
      <w:r>
        <w:rPr>
          <w:b/>
        </w:rPr>
        <w:t xml:space="preserve">Status: </w:t>
      </w:r>
      <w:r>
        <w:t>Done</w:t>
      </w:r>
    </w:p>
    <w:p>
      <w:pPr>
        <w:spacing w:after="40"/>
      </w:pPr>
      <w:r>
        <w:rPr>
          <w:b/>
        </w:rPr>
        <w:t xml:space="preserve">Primary ACCESS: </w:t>
      </w:r>
      <w:r>
        <w:t>Digital Attention / Discovery</w:t>
      </w:r>
    </w:p>
    <w:p>
      <w:pPr>
        <w:spacing w:after="40"/>
      </w:pPr>
      <w:r>
        <w:rPr>
          <w:b/>
        </w:rPr>
        <w:t xml:space="preserve">Secondary ACCESS: </w:t>
      </w:r>
      <w:r>
        <w:t>Community &amp; Identity</w:t>
      </w:r>
    </w:p>
    <w:p>
      <w:pPr>
        <w:spacing w:after="40"/>
      </w:pPr>
      <w:r>
        <w:rPr>
          <w:b/>
        </w:rPr>
        <w:t xml:space="preserve">Access relationship: </w:t>
      </w:r>
      <w:r>
        <w:t>Streaming deportivo hondureño enfocado en diáspora en EE. UU.; posee nationality-qualified attention mediante deportes/identidad.</w:t>
      </w:r>
    </w:p>
    <w:p>
      <w:pPr>
        <w:spacing w:after="40"/>
      </w:pPr>
      <w:r>
        <w:rPr>
          <w:b/>
        </w:rPr>
        <w:t xml:space="preserve">Scale / data: </w:t>
      </w:r>
      <w:r>
        <w:t>~50K usuarios activos en EE. UU.</w:t>
      </w:r>
    </w:p>
    <w:p>
      <w:pPr>
        <w:spacing w:after="40"/>
      </w:pPr>
      <w:r>
        <w:rPr>
          <w:b/>
        </w:rPr>
        <w:t xml:space="preserve">Goals: </w:t>
      </w:r>
      <w:r>
        <w:t>~2K signups; CAC objetivo ~US$6; 100 TX/mes en 2 meses; piloto 6 meses.</w:t>
      </w:r>
    </w:p>
    <w:p>
      <w:pPr>
        <w:spacing w:after="40"/>
      </w:pPr>
      <w:r>
        <w:rPr>
          <w:b/>
        </w:rPr>
        <w:t xml:space="preserve">Economics: </w:t>
      </w:r>
      <w:r>
        <w:t>Revenue share escalonado: US$1.00 (1–500), US$1.25 (501–1,000), US$1.50 (1,001+), activado desde 100 TX/mes; crédito inicial/rotativo de US$2K.</w:t>
      </w:r>
    </w:p>
    <w:p>
      <w:pPr>
        <w:spacing w:after="40"/>
      </w:pPr>
      <w:r>
        <w:rPr>
          <w:b/>
        </w:rPr>
        <w:t xml:space="preserve">Integration: </w:t>
      </w:r>
      <w:r>
        <w:t>Baja: in-app banner/link + push + social → landing Félix.</w:t>
      </w:r>
    </w:p>
    <w:p>
      <w:pPr>
        <w:spacing w:after="40"/>
      </w:pPr>
      <w:r>
        <w:rPr>
          <w:b/>
        </w:rPr>
        <w:t xml:space="preserve">Performance: </w:t>
      </w:r>
      <w:r>
        <w:t>Piloto diseñado para medir si affinity/cultural media produce adopción real de remesas.</w:t>
      </w:r>
    </w:p>
    <w:p>
      <w:pPr>
        <w:spacing w:after="40"/>
      </w:pPr>
      <w:r>
        <w:rPr>
          <w:b/>
        </w:rPr>
        <w:t xml:space="preserve">Notes: </w:t>
      </w:r>
      <w:r>
        <w:t>Primer partner no financiero; riesgo principal es menor financial intent vs fintech/work/transnational partners.</w:t>
      </w:r>
    </w:p>
    <w:p>
      <w:pPr>
        <w:pStyle w:val="Heading2"/>
      </w:pPr>
      <w:r>
        <w:t>Aprende Institute</w:t>
      </w:r>
    </w:p>
    <w:p>
      <w:pPr>
        <w:spacing w:after="40"/>
      </w:pPr>
      <w:r>
        <w:rPr>
          <w:b/>
        </w:rPr>
        <w:t xml:space="preserve">Status: </w:t>
      </w:r>
      <w:r>
        <w:t>In progress / launched around week of 24 Sep 2026</w:t>
      </w:r>
    </w:p>
    <w:p>
      <w:pPr>
        <w:spacing w:after="40"/>
      </w:pPr>
      <w:r>
        <w:rPr>
          <w:b/>
        </w:rPr>
        <w:t xml:space="preserve">Primary ACCESS: </w:t>
      </w:r>
      <w:r>
        <w:t>Life-stage / Household</w:t>
      </w:r>
    </w:p>
    <w:p>
      <w:pPr>
        <w:spacing w:after="40"/>
      </w:pPr>
      <w:r>
        <w:rPr>
          <w:b/>
        </w:rPr>
        <w:t xml:space="preserve">Secondary ACCESS: </w:t>
      </w:r>
      <w:r>
        <w:t>Digital Attention / Discovery</w:t>
      </w:r>
    </w:p>
    <w:p>
      <w:pPr>
        <w:spacing w:after="40"/>
      </w:pPr>
      <w:r>
        <w:rPr>
          <w:b/>
        </w:rPr>
        <w:t xml:space="preserve">Access relationship: </w:t>
      </w:r>
      <w:r>
        <w:t>Educación vocacional y emprendimiento para hispanohablantes; relación con upskilling/economic advancement. Dentro del marco actual cae en Life-stage / Household, aunque es un fit imperfecto.</w:t>
      </w:r>
    </w:p>
    <w:p>
      <w:pPr>
        <w:spacing w:after="40"/>
      </w:pPr>
      <w:r>
        <w:rPr>
          <w:b/>
        </w:rPr>
        <w:t xml:space="preserve">Scale / data: </w:t>
      </w:r>
      <w:r>
        <w:t>~35K estudiantes activos/mes; 35K–40K leads/mes; ~9K graduados/año; &gt;400K históricos; &gt;1M followers; ~1M organic visits/mes; reunión mencionó 2M users (no en ficha).</w:t>
      </w:r>
    </w:p>
    <w:p>
      <w:pPr>
        <w:spacing w:after="40"/>
      </w:pPr>
      <w:r>
        <w:rPr>
          <w:b/>
        </w:rPr>
        <w:t xml:space="preserve">Goals: </w:t>
      </w:r>
      <w:r>
        <w:t>Probar educación/upskilling como canal de adquisición; medir signups, FTX, repeat, CAC.</w:t>
      </w:r>
    </w:p>
    <w:p>
      <w:pPr>
        <w:spacing w:after="40"/>
      </w:pPr>
      <w:r>
        <w:rPr>
          <w:b/>
        </w:rPr>
        <w:t xml:space="preserve">Economics: </w:t>
      </w:r>
      <w:r>
        <w:t>US$0.75 por transacción exitosa durante el contrato; usuarios existentes excluidos.</w:t>
      </w:r>
    </w:p>
    <w:p>
      <w:pPr>
        <w:spacing w:after="40"/>
      </w:pPr>
      <w:r>
        <w:rPr>
          <w:b/>
        </w:rPr>
        <w:t xml:space="preserve">Integration: </w:t>
      </w:r>
      <w:r>
        <w:t>Baja: digital placement → landing → Felix Chat.</w:t>
      </w:r>
    </w:p>
    <w:p>
      <w:pPr>
        <w:spacing w:after="40"/>
      </w:pPr>
      <w:r>
        <w:rPr>
          <w:b/>
        </w:rPr>
        <w:t xml:space="preserve">Performance: </w:t>
      </w:r>
      <w:r>
        <w:t>Sin performance consolidado incluido.</w:t>
      </w:r>
    </w:p>
    <w:p>
      <w:pPr>
        <w:spacing w:after="40"/>
      </w:pPr>
      <w:r>
        <w:rPr>
          <w:b/>
        </w:rPr>
        <w:t xml:space="preserve">Notes: </w:t>
      </w:r>
      <w:r>
        <w:t>La ficha ya advierte evaluar CAC incremental, retained volume, contribution margin y canibalización; buen ejemplo de por qué per-TX perpetuo puede desalinearse si partner solo origina lead.</w:t>
      </w:r>
    </w:p>
    <w:p>
      <w:pPr>
        <w:pStyle w:val="Heading2"/>
      </w:pPr>
      <w:r>
        <w:t>Luca (Inmediato LLC)</w:t>
      </w:r>
    </w:p>
    <w:p>
      <w:pPr>
        <w:spacing w:after="40"/>
      </w:pPr>
      <w:r>
        <w:rPr>
          <w:b/>
        </w:rPr>
        <w:t xml:space="preserve">Status: </w:t>
      </w:r>
      <w:r>
        <w:t>In progress</w:t>
      </w:r>
    </w:p>
    <w:p>
      <w:pPr>
        <w:spacing w:after="40"/>
      </w:pPr>
      <w:r>
        <w:rPr>
          <w:b/>
        </w:rPr>
        <w:t xml:space="preserve">Primary ACCESS: </w:t>
      </w:r>
      <w:r>
        <w:t>Money Management</w:t>
      </w:r>
    </w:p>
    <w:p>
      <w:pPr>
        <w:spacing w:after="40"/>
      </w:pPr>
      <w:r>
        <w:rPr>
          <w:b/>
        </w:rPr>
        <w:t xml:space="preserve">Secondary ACCESS: </w:t>
      </w:r>
      <w:r>
        <w:t>Work &amp; Income</w:t>
      </w:r>
    </w:p>
    <w:p>
      <w:pPr>
        <w:spacing w:after="40"/>
      </w:pPr>
      <w:r>
        <w:rPr>
          <w:b/>
        </w:rPr>
        <w:t xml:space="preserve">Access relationship: </w:t>
      </w:r>
      <w:r>
        <w:t>Financiamiento/MCA para PyMEs latinas en Miami. Primary: relación financiera con business owners; secondary: toca su fuente de ingreso/actividad económica.</w:t>
      </w:r>
    </w:p>
    <w:p>
      <w:pPr>
        <w:spacing w:after="40"/>
      </w:pPr>
      <w:r>
        <w:rPr>
          <w:b/>
        </w:rPr>
        <w:t xml:space="preserve">Scale / data: </w:t>
      </w:r>
      <w:r>
        <w:t>~1.5K PyMEs latinas.</w:t>
      </w:r>
    </w:p>
    <w:p>
      <w:pPr>
        <w:spacing w:after="40"/>
      </w:pPr>
      <w:r>
        <w:rPr>
          <w:b/>
        </w:rPr>
        <w:t xml:space="preserve">Goals: </w:t>
      </w:r>
      <w:r>
        <w:t>Adquisición bidireccional; probar cross-sell de remesas y SMB finance.</w:t>
      </w:r>
    </w:p>
    <w:p>
      <w:pPr>
        <w:spacing w:after="40"/>
      </w:pPr>
      <w:r>
        <w:rPr>
          <w:b/>
        </w:rPr>
        <w:t xml:space="preserve">Economics: </w:t>
      </w:r>
      <w:r>
        <w:t>De Luca→Félix: fee/revenue share (ficha dice “0.75 cents”, probablemente US$0.75, pendiente). De Félix→Luca: Félix gana 6% del primer crédito/MCA; impacto estimado US$200–US$600 por referido.</w:t>
      </w:r>
    </w:p>
    <w:p>
      <w:pPr>
        <w:spacing w:after="40"/>
      </w:pPr>
      <w:r>
        <w:rPr>
          <w:b/>
        </w:rPr>
        <w:t xml:space="preserve">Integration: </w:t>
      </w:r>
      <w:r>
        <w:t>Baja inicialmente: emails/CTA/co-branded landing.</w:t>
      </w:r>
    </w:p>
    <w:p>
      <w:pPr>
        <w:spacing w:after="40"/>
      </w:pPr>
      <w:r>
        <w:rPr>
          <w:b/>
        </w:rPr>
        <w:t xml:space="preserve">Performance: </w:t>
      </w:r>
      <w:r>
        <w:t>Tráfico de referidos de Luca apenas arrancando.</w:t>
      </w:r>
    </w:p>
    <w:p>
      <w:pPr>
        <w:spacing w:after="40"/>
      </w:pPr>
      <w:r>
        <w:rPr>
          <w:b/>
        </w:rPr>
        <w:t xml:space="preserve">Notes: </w:t>
      </w:r>
      <w:r>
        <w:t>Producto MCA con factor 1.30; riesgo reputacional/categoría debe vigilarse. Bidirectional partnership y receipt banner ya firmado.</w:t>
      </w:r>
    </w:p>
    <w:p>
      <w:pPr>
        <w:pStyle w:val="Heading2"/>
      </w:pPr>
      <w:r>
        <w:t>Kikoff</w:t>
      </w:r>
    </w:p>
    <w:p>
      <w:pPr>
        <w:spacing w:after="40"/>
      </w:pPr>
      <w:r>
        <w:rPr>
          <w:b/>
        </w:rPr>
        <w:t xml:space="preserve">Status: </w:t>
      </w:r>
      <w:r>
        <w:t>In progress</w:t>
      </w:r>
    </w:p>
    <w:p>
      <w:pPr>
        <w:spacing w:after="40"/>
      </w:pPr>
      <w:r>
        <w:rPr>
          <w:b/>
        </w:rPr>
        <w:t xml:space="preserve">Primary ACCESS: </w:t>
      </w:r>
      <w:r>
        <w:t>Money Management</w:t>
      </w:r>
    </w:p>
    <w:p>
      <w:pPr>
        <w:spacing w:after="40"/>
      </w:pPr>
      <w:r>
        <w:rPr>
          <w:b/>
        </w:rPr>
        <w:t xml:space="preserve">Secondary ACCESS: </w:t>
      </w:r>
      <w:r>
        <w:t>—</w:t>
      </w:r>
    </w:p>
    <w:p>
      <w:pPr>
        <w:spacing w:after="40"/>
      </w:pPr>
      <w:r>
        <w:rPr>
          <w:b/>
        </w:rPr>
        <w:t xml:space="preserve">Access relationship: </w:t>
      </w:r>
      <w:r>
        <w:t>Credit-building fintech para consumers con poco/mal/no historial; relación con construcción de la vida financiera en EE. UU.</w:t>
      </w:r>
    </w:p>
    <w:p>
      <w:pPr>
        <w:spacing w:after="40"/>
      </w:pPr>
      <w:r>
        <w:rPr>
          <w:b/>
        </w:rPr>
        <w:t xml:space="preserve">Scale / data: </w:t>
      </w:r>
      <w:r>
        <w:t>&gt;1M usuarios activos; &gt;4M históricos.</w:t>
      </w:r>
    </w:p>
    <w:p>
      <w:pPr>
        <w:spacing w:after="40"/>
      </w:pPr>
      <w:r>
        <w:rPr>
          <w:b/>
        </w:rPr>
        <w:t xml:space="preserve">Goals: </w:t>
      </w:r>
      <w:r>
        <w:t>10K–25K signups; CAC ~US$8.</w:t>
      </w:r>
    </w:p>
    <w:p>
      <w:pPr>
        <w:spacing w:after="40"/>
      </w:pPr>
      <w:r>
        <w:rPr>
          <w:b/>
        </w:rPr>
        <w:t xml:space="preserve">Economics: </w:t>
      </w:r>
      <w:r>
        <w:t>En negociación: US$1 por TX exitosa o US$25 CPA único.</w:t>
      </w:r>
    </w:p>
    <w:p>
      <w:pPr>
        <w:spacing w:after="40"/>
      </w:pPr>
      <w:r>
        <w:rPr>
          <w:b/>
        </w:rPr>
        <w:t xml:space="preserve">Integration: </w:t>
      </w:r>
      <w:r>
        <w:t>Baja: in-app/email/social referral.</w:t>
      </w:r>
    </w:p>
    <w:p>
      <w:pPr>
        <w:spacing w:after="40"/>
      </w:pPr>
      <w:r>
        <w:rPr>
          <w:b/>
        </w:rPr>
        <w:t xml:space="preserve">Performance: </w:t>
      </w:r>
      <w:r>
        <w:t>Sin performance consolidado incluido.</w:t>
      </w:r>
    </w:p>
    <w:p>
      <w:pPr>
        <w:spacing w:after="40"/>
      </w:pPr>
      <w:r>
        <w:rPr>
          <w:b/>
        </w:rPr>
        <w:t xml:space="preserve">Notes: </w:t>
      </w:r>
      <w:r>
        <w:t>Caso útil para comparar per-TX perpetuo vs CPA; sender density no está implícita en credit-building.</w:t>
      </w:r>
    </w:p>
    <w:p>
      <w:pPr>
        <w:pStyle w:val="Heading2"/>
      </w:pPr>
      <w:r>
        <w:t>Dash Solutions / Felix Send</w:t>
      </w:r>
    </w:p>
    <w:p>
      <w:pPr>
        <w:spacing w:after="40"/>
      </w:pPr>
      <w:r>
        <w:rPr>
          <w:b/>
        </w:rPr>
        <w:t xml:space="preserve">Status: </w:t>
      </w:r>
      <w:r>
        <w:t>In progress</w:t>
      </w:r>
    </w:p>
    <w:p>
      <w:pPr>
        <w:spacing w:after="40"/>
      </w:pPr>
      <w:r>
        <w:rPr>
          <w:b/>
        </w:rPr>
        <w:t xml:space="preserve">Primary ACCESS: </w:t>
      </w:r>
      <w:r>
        <w:t>Work &amp; Income</w:t>
      </w:r>
    </w:p>
    <w:p>
      <w:pPr>
        <w:spacing w:after="40"/>
      </w:pPr>
      <w:r>
        <w:rPr>
          <w:b/>
        </w:rPr>
        <w:t xml:space="preserve">Secondary ACCESS: </w:t>
      </w:r>
      <w:r>
        <w:t>Money Management</w:t>
      </w:r>
    </w:p>
    <w:p>
      <w:pPr>
        <w:spacing w:after="40"/>
      </w:pPr>
      <w:r>
        <w:rPr>
          <w:b/>
        </w:rPr>
        <w:t xml:space="preserve">Access relationship: </w:t>
      </w:r>
      <w:r>
        <w:t>Infraestructura de payroll cards, prepaid accounts y corporate disbursements; fuerte presencia en agricultura, construcción y hospitalidad. Accede al trabajador en el momento del pago y administra el saldo.</w:t>
      </w:r>
    </w:p>
    <w:p>
      <w:pPr>
        <w:spacing w:after="40"/>
      </w:pPr>
      <w:r>
        <w:rPr>
          <w:b/>
        </w:rPr>
        <w:t xml:space="preserve">Scale / data: </w:t>
      </w:r>
      <w:r>
        <w:t>&gt;1M users; estimación interna de 200K potenciales remitters solo en agricultura.</w:t>
      </w:r>
    </w:p>
    <w:p>
      <w:pPr>
        <w:spacing w:after="40"/>
      </w:pPr>
      <w:r>
        <w:rPr>
          <w:b/>
        </w:rPr>
        <w:t xml:space="preserve">Goals: </w:t>
      </w:r>
      <w:r>
        <w:t>10K–20K signups; 2,500 FTX corto plazo; CAC ~US$8 en ficha, aunque thesis dice CAC casi cero por embedded distribution.</w:t>
      </w:r>
    </w:p>
    <w:p>
      <w:pPr>
        <w:spacing w:after="40"/>
      </w:pPr>
      <w:r>
        <w:rPr>
          <w:b/>
        </w:rPr>
        <w:t xml:space="preserve">Economics: </w:t>
      </w:r>
      <w:r>
        <w:t>50 bps por transacción, antes de promociones/fees.</w:t>
      </w:r>
    </w:p>
    <w:p>
      <w:pPr>
        <w:spacing w:after="40"/>
      </w:pPr>
      <w:r>
        <w:rPr>
          <w:b/>
        </w:rPr>
        <w:t xml:space="preserve">Integration: </w:t>
      </w:r>
      <w:r>
        <w:t>Alta propuesta: Félix Send embedded directamente en la plataforma; send-from-balance.</w:t>
      </w:r>
    </w:p>
    <w:p>
      <w:pPr>
        <w:spacing w:after="40"/>
      </w:pPr>
      <w:r>
        <w:rPr>
          <w:b/>
        </w:rPr>
        <w:t xml:space="preserve">Performance: </w:t>
      </w:r>
      <w:r>
        <w:t>No lanzado/performance no incluida.</w:t>
      </w:r>
    </w:p>
    <w:p>
      <w:pPr>
        <w:spacing w:after="40"/>
      </w:pPr>
      <w:r>
        <w:rPr>
          <w:b/>
        </w:rPr>
        <w:t xml:space="preserve">Notes: </w:t>
      </w:r>
      <w:r>
        <w:t>Caso más claro de cómo integración alta cambia el potencial de Frequency. Dash reemplaza a Brightwell y prioriza UX sobre revenue share superior.</w:t>
      </w:r>
    </w:p>
    <w:p>
      <w:pPr>
        <w:pStyle w:val="Heading2"/>
      </w:pPr>
      <w:r>
        <w:t>Receipt Banner Monetization — project, not a new partner or access type</w:t>
      </w:r>
    </w:p>
    <w:p>
      <w:pPr>
        <w:pStyle w:val="ListBullet"/>
        <w:spacing w:after="40"/>
      </w:pPr>
      <w:r>
        <w:t>Turns Félix post-transaction email receipt into a partner distribution surface for OKY and Luca.</w:t>
      </w:r>
    </w:p>
    <w:p>
      <w:pPr>
        <w:pStyle w:val="ListBullet"/>
        <w:spacing w:after="40"/>
      </w:pPr>
      <w:r>
        <w:t>Classification: integration/distribution surface + reciprocity mechanism; NOT an Access Archetype.</w:t>
      </w:r>
    </w:p>
    <w:p>
      <w:pPr>
        <w:pStyle w:val="ListBullet"/>
        <w:spacing w:after="40"/>
      </w:pPr>
      <w:r>
        <w:t>OKY monetization: Félix earns a fee per partner transaction; estimated impact US$10–US$15 per referred user.</w:t>
      </w:r>
    </w:p>
    <w:p>
      <w:pPr>
        <w:pStyle w:val="ListBullet"/>
        <w:spacing w:after="40"/>
      </w:pPr>
      <w:r>
        <w:t>Luca monetization: Félix earns 6% of first MCA/credit originated; estimated impact US$200–US$600 per referred user.</w:t>
      </w:r>
    </w:p>
    <w:p>
      <w:pPr>
        <w:pStyle w:val="ListBullet"/>
        <w:spacing w:after="40"/>
      </w:pPr>
      <w:r>
        <w:t>Phase 1 uses a test cohort; Payments owns engagement/conversion tracking; Compliance reviews third-party financial promotion in transactional email.</w:t>
      </w:r>
    </w:p>
    <w:p>
      <w:pPr>
        <w:pStyle w:val="Heading1"/>
      </w:pPr>
      <w:r>
        <w:t>5. Pipeline classification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Partner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Primary ACCESS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Secondary ACCESS</w:t>
            </w:r>
          </w:p>
        </w:tc>
        <w:tc>
          <w:tcPr>
            <w:tcW w:type="dxa" w:w="53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Interpretation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OKY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Transnational Life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Everyday Commerce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Relación recíproca: Félix también refiere tráfico a OKY. Excelente proof point interno de acceso basado en comportamiento transnacional.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MandaFacil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Transnational Life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Everyday Commerce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Prueba cross-border commerce como access source; economics perpetuos deben evaluarse contra CM/LTV incremental.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BlxckPay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 &amp; Income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Money Management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Riesgo compliance moderado por shared IP/location y falta de US ID en H-2A; buen test de Work &amp; Income con secondary Money Management.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Finanta Credit Union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Money Management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users deberían separarse de Acquisition economics; potencialmente Activation/Frequency si se decide explícitamente.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Streann / DTVC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Digital Attention / Discovery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Community &amp; Identity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Primer partner no financiero; riesgo principal es menor financial intent vs fintech/work/transnational partners.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Aprende Institute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Life-stage / Household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Digital Attention / Discovery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 ficha ya advierte evaluar CAC incremental, retained volume, contribution margin y canibalización; buen ejemplo de por qué per-TX perpetuo puede desalinearse si partner solo origina lead.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Luca (Inmediato LLC)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Money Management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 &amp; Income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Producto MCA con factor 1.30; riesgo reputacional/categoría debe vigilarse. Bidirectional partnership y receipt banner ya firmado.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Kikoff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Money Management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Caso útil para comparar per-TX perpetuo vs CPA; sender density no está implícita en credit-building.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Dash Solutions / Felix Send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 &amp; Income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Money Management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Caso más claro de cómo integración alta cambia el potencial de Frequency. Dash reemplaza a Brightwell y prioriza UX sobre revenue share superior.</w:t>
            </w:r>
          </w:p>
        </w:tc>
      </w:tr>
    </w:tbl>
    <w:p/>
    <w:p>
      <w:pPr>
        <w:pStyle w:val="Heading1"/>
      </w:pPr>
      <w:r>
        <w:t>6. Council perspective on current pipeline</w:t>
      </w:r>
    </w:p>
    <w:p>
      <w:pPr>
        <w:pStyle w:val="ListBullet"/>
        <w:spacing w:after="40"/>
      </w:pPr>
      <w:r>
        <w:t>The current pipeline is a good laboratory of access hypotheses with real variety.</w:t>
      </w:r>
    </w:p>
    <w:p>
      <w:pPr>
        <w:pStyle w:val="ListBullet"/>
        <w:spacing w:after="40"/>
      </w:pPr>
      <w:r>
        <w:t>It is still biased toward referral partnerships that are easy to launch; it does not yet exhaustively test the most structural access relationships.</w:t>
      </w:r>
    </w:p>
    <w:p>
      <w:pPr>
        <w:pStyle w:val="ListBullet"/>
        <w:spacing w:after="40"/>
      </w:pPr>
      <w:r>
        <w:t>Dash, OKY and BlxckPay stand out conceptually because there is a structural reason their user should be a remittance sender: payroll/income, explicit transnational support behavior, or a worker segment naturally tied to remittances.</w:t>
      </w:r>
    </w:p>
    <w:p>
      <w:pPr>
        <w:pStyle w:val="ListBullet"/>
        <w:spacing w:after="40"/>
      </w:pPr>
      <w:r>
        <w:t>DTVC, Aprende and Kikoff may work, but they are closer to audience-overlap tests; remittance propensity is less directly implied by their relationship.</w:t>
      </w:r>
    </w:p>
    <w:p>
      <w:pPr>
        <w:pStyle w:val="ListBullet"/>
        <w:spacing w:after="40"/>
      </w:pPr>
      <w:r>
        <w:t>Whitespace: Connectivity, Migrant Journey, Everyday Commerce, Community &amp; Identity, Mobility &amp; Local Life and Life-stage / Household are less or not yet tested as primary access.</w:t>
      </w:r>
    </w:p>
    <w:p>
      <w:pPr>
        <w:pStyle w:val="Heading1"/>
      </w:pPr>
      <w:r>
        <w:t>7. Power of the 10 ACCESS types for Acquisition + Frequency</w:t>
      </w:r>
    </w:p>
    <w:p>
      <w:pPr>
        <w:spacing w:after="80"/>
      </w:pPr>
      <w:r>
        <w:t>All ratings below are [JUICIO] strategic judgments, not observed performance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6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ACCESS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Acq.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Freq low integ.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Freq med/high integ.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Scale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Conflict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Rationale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1. Work &amp; Income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Puede tocar al sender alrededor del ingreso. Con referral/booth aislado no crea hábito; con payroll/paycard/employee journey puede alinearse con cada ciclo de pago.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2. Money Management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Alta frecuencia de contacto y enorme distribución, pero manejar dinero no implica remitir; además es un espacio con incumbents/productos propios.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3. Connectivity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Generic telecom da reach; international connectivity puede revelar relación transnacional. Conflicto sube cuando el player ya ofrece remesas.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4. Transnational Life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Mejor señal de que la persona ya sostiene una relación económica/familiar con LatAm. Puede convertir incluso con referral simple, pero el ecosistema es fragmentado y competitivo.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5. Everyday Commerce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Frecuencia comercial alta pero remittance propensity débil salvo alta sender density o integración que conecte el commerce journey con Félix.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6. Migrant Journey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Medio-bajo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Alta precisión para newcomers/migrants y potencial de trust, pero touchpoints episódicos más útiles para acquisition que para frecuencia.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7. Community &amp; Identity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Entrega nationality density y trust, pero no necesariamente observa liquidez ni intención de remesa.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8. Digital Attention / Discovery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Muy alto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Gran reach y segmentación, pero atención no equivale a remittance intent; fácil de replicar vía affiliate/creator programs.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9. Mobility &amp; Local Life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Relaciones recurrentes pero, en abstracto, predicen débilmente quién remite; puede haber niches fuertes por corredor.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10. Life-stage / Household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Medio [JUICIO]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Alto [JUICIO]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Bajo [JUICIO]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Puede capturar life events importantes, pero la cadencia no suele parecerse a la remesa recurrente.</w:t>
            </w:r>
          </w:p>
        </w:tc>
      </w:tr>
    </w:tbl>
    <w:p/>
    <w:p>
      <w:pPr>
        <w:pStyle w:val="Heading1"/>
      </w:pPr>
      <w:r>
        <w:t>8. ACCESS × corridor matrix</w:t>
      </w:r>
    </w:p>
    <w:p>
      <w:pPr>
        <w:spacing w:after="80"/>
      </w:pPr>
      <w:r>
        <w:t>100% HIPÓTESIS. MA(H)=muy alta; A(H)=alta; M(H)=media; B(H)=baja; “Sin base” means evidence in this chat is insufficient.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ACCESS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GT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SV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HN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NI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PE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Work &amp; Income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2. Money Management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3. Connectivity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4. Transnational Life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5. Everyday Commerce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6. Migrant Journey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7. Community &amp; Identity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8. Digital Attention / Discovery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M(H)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A(H)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9. Mobility &amp; Local Life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10. Life-stage / Household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 base</w:t>
            </w:r>
          </w:p>
        </w:tc>
      </w:tr>
    </w:tbl>
    <w:p/>
    <w:p>
      <w:pPr>
        <w:pStyle w:val="Heading2"/>
      </w:pPr>
      <w:r>
        <w:t>Corridor reading discussed in chat</w:t>
      </w:r>
    </w:p>
    <w:p>
      <w:pPr>
        <w:pStyle w:val="ListBullet"/>
        <w:spacing w:after="40"/>
      </w:pPr>
      <w:r>
        <w:t>GT: Work &amp; Income + Transnational Life are leading hypotheses; OKY is an internal proof point for Transnational Life.</w:t>
      </w:r>
    </w:p>
    <w:p>
      <w:pPr>
        <w:pStyle w:val="ListBullet"/>
        <w:spacing w:after="40"/>
      </w:pPr>
      <w:r>
        <w:t>SV: Work &amp; Income + Transnational Life + Money Management; some occupational evidence used in chat is old and needs revalidation.</w:t>
      </w:r>
    </w:p>
    <w:p>
      <w:pPr>
        <w:pStyle w:val="ListBullet"/>
        <w:spacing w:after="40"/>
      </w:pPr>
      <w:r>
        <w:t>HN: Work &amp; Income + Transnational Life + Money Management; DTVC directly tests Digital Attention / Discovery.</w:t>
      </w:r>
    </w:p>
    <w:p>
      <w:pPr>
        <w:pStyle w:val="ListBullet"/>
        <w:spacing w:after="40"/>
      </w:pPr>
      <w:r>
        <w:t>NI: “Density beats scale” — prioritize high-density Nicaraguan pockets rather than huge national platforms with diluted target density.</w:t>
      </w:r>
    </w:p>
    <w:p>
      <w:pPr>
        <w:pStyle w:val="ListBullet"/>
        <w:spacing w:after="40"/>
      </w:pPr>
      <w:r>
        <w:t>EC: hypothesis — Transnational Life + Community &amp; Identity + Money Management.</w:t>
      </w:r>
    </w:p>
    <w:p>
      <w:pPr>
        <w:pStyle w:val="ListBullet"/>
        <w:spacing w:after="40"/>
      </w:pPr>
      <w:r>
        <w:t>PE: hypothesis — Money Management + Transnational Life; U.S. share in remittances is relevant but lower than Central America.</w:t>
      </w:r>
    </w:p>
    <w:p>
      <w:pPr>
        <w:pStyle w:val="ListBullet"/>
        <w:spacing w:after="40"/>
      </w:pPr>
      <w:r>
        <w:t>BR: hypothesis — Work &amp; Income + Money Management; do not assume Central American playbook. Transnational Life remains “sin base” in this chat.</w:t>
      </w:r>
    </w:p>
    <w:p>
      <w:pPr>
        <w:pStyle w:val="Heading1"/>
      </w:pPr>
      <w:r>
        <w:t>9. Why integration changes the answer</w:t>
      </w:r>
    </w:p>
    <w:p>
      <w:pPr>
        <w:pStyle w:val="ListBullet"/>
        <w:spacing w:after="40"/>
      </w:pPr>
      <w:r>
        <w:t>Work &amp; Income + low integration: a booth/referral does not create habit.</w:t>
      </w:r>
    </w:p>
    <w:p>
      <w:pPr>
        <w:pStyle w:val="ListBullet"/>
        <w:spacing w:after="40"/>
      </w:pPr>
      <w:r>
        <w:t>Work &amp; Income + medium/high integration: payroll/paycard/employee journey can touch the sender at the cadence of income.</w:t>
      </w:r>
    </w:p>
    <w:p>
      <w:pPr>
        <w:pStyle w:val="ListBullet"/>
        <w:spacing w:after="40"/>
      </w:pPr>
      <w:r>
        <w:t>Transnational Life + low integration can still convert because cross-border intent already exists.</w:t>
      </w:r>
    </w:p>
    <w:p>
      <w:pPr>
        <w:pStyle w:val="ListBullet"/>
        <w:spacing w:after="40"/>
      </w:pPr>
      <w:r>
        <w:t>Money Management + medium/high integration can create high frequency/scale, but competitive conflict is usually higher.</w:t>
      </w:r>
    </w:p>
    <w:p>
      <w:pPr>
        <w:pStyle w:val="ListBullet"/>
        <w:spacing w:after="40"/>
      </w:pPr>
      <w:r>
        <w:t>Dash illustrates the rule: Primary = Work &amp; Income; Secondary = Money Management; Integration = High. Its power comes from independent dimensions, not a combined archetype.</w:t>
      </w:r>
    </w:p>
    <w:p>
      <w:pPr>
        <w:pStyle w:val="Heading1"/>
      </w:pPr>
      <w:r>
        <w:t>10. Competition — required overlay, not a new access type</w:t>
      </w:r>
    </w:p>
    <w:p>
      <w:pPr>
        <w:pStyle w:val="ListBullet"/>
        <w:spacing w:after="40"/>
      </w:pPr>
      <w:r>
        <w:t>High-intent access points attract incumbents.</w:t>
      </w:r>
    </w:p>
    <w:p>
      <w:pPr>
        <w:pStyle w:val="ListBullet"/>
        <w:spacing w:after="40"/>
      </w:pPr>
      <w:r>
        <w:t>Some Central American couriers already provide remittances.</w:t>
      </w:r>
    </w:p>
    <w:p>
      <w:pPr>
        <w:pStyle w:val="ListBullet"/>
        <w:spacing w:after="40"/>
      </w:pPr>
      <w:r>
        <w:t>International top-up/calling players may already offer money transfer (e.g., BOSS Revolution).</w:t>
      </w:r>
    </w:p>
    <w:p>
      <w:pPr>
        <w:pStyle w:val="ListBullet"/>
        <w:spacing w:after="40"/>
      </w:pPr>
      <w:r>
        <w:t>Money Management partners can have proprietary products or embedded incumbent partners.</w:t>
      </w:r>
    </w:p>
    <w:p>
      <w:pPr>
        <w:pStyle w:val="ListBullet"/>
        <w:spacing w:after="40"/>
      </w:pPr>
      <w:r>
        <w:t>Digital Attention / Community channels are easy to replicate through affiliate/creator programs; Remitly already competes here.</w:t>
      </w:r>
    </w:p>
    <w:p>
      <w:pPr>
        <w:pStyle w:val="ListBullet"/>
        <w:spacing w:after="40"/>
      </w:pPr>
      <w:r>
        <w:t>Every opportunity should therefore score competitive conflict and exclusivity/replaceability separately from ACCESS.</w:t>
      </w:r>
    </w:p>
    <w:p>
      <w:pPr>
        <w:pStyle w:val="Heading1"/>
      </w:pPr>
      <w:r>
        <w:t>11. Economics / payment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Integration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Preferred structure</w:t>
            </w:r>
          </w:p>
        </w:tc>
        <w:tc>
          <w:tcPr>
            <w:tcW w:type="dxa" w:w="57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FTX CPA + repeat-quality bonus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Partner originates the user once; compensate acquisition quality rather than granting perpetual rent on LTV.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CPA + cohort quality/frequency bonus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Partner remains in journey/CRM and can influence repeat behavior.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bps or per-TX revenue share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Partner genuinely participates in each transaction/rail/product experience.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Tiers based on incremental quality/volume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Reward useful scale, not traffic or raw signups.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Acquisition objective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 users only by default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Avoid paying acquisition economics for users Félix already owns.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Frequency objective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Defined window or milestones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Avoid indefinite payment for recurrence generated by Félix lifecycle.</w:t>
            </w:r>
          </w:p>
        </w:tc>
      </w:tr>
    </w:tbl>
    <w:p/>
    <w:p>
      <w:pPr>
        <w:pStyle w:val="Heading2"/>
      </w:pPr>
      <w:r>
        <w:t>Implications for current deals</w:t>
      </w:r>
    </w:p>
    <w:p>
      <w:pPr>
        <w:pStyle w:val="ListBullet"/>
        <w:spacing w:after="40"/>
      </w:pPr>
      <w:r>
        <w:t>OKY: US$1–1.15/TX for 3 years. Evaluate against incremental CM/LTV and whether OKY keeps contributing after acquisition.</w:t>
      </w:r>
    </w:p>
    <w:p>
      <w:pPr>
        <w:pStyle w:val="ListBullet"/>
        <w:spacing w:after="40"/>
      </w:pPr>
      <w:r>
        <w:t>Aprende: US$0.75/TX during agreement; the internal review already flags the need to monitor frequency, contribution margin, retention and cannibalization.</w:t>
      </w:r>
    </w:p>
    <w:p>
      <w:pPr>
        <w:pStyle w:val="ListBullet"/>
        <w:spacing w:after="40"/>
      </w:pPr>
      <w:r>
        <w:t>MandaFacil: US$0.65/TX during agreement; same alignment question.</w:t>
      </w:r>
    </w:p>
    <w:p>
      <w:pPr>
        <w:pStyle w:val="ListBullet"/>
        <w:spacing w:after="40"/>
      </w:pPr>
      <w:r>
        <w:t>Dash: 50bps/TX is conceptually more coherent because Dash remains embedded in the transaction experience.</w:t>
      </w:r>
    </w:p>
    <w:p>
      <w:pPr>
        <w:pStyle w:val="ListBullet"/>
        <w:spacing w:after="40"/>
      </w:pPr>
      <w:r>
        <w:t>Kikoff: current choice between US$1/TX and US$25 CPA is directly relevant to this framework.</w:t>
      </w:r>
    </w:p>
    <w:p>
      <w:pPr>
        <w:pStyle w:val="ListBullet"/>
        <w:spacing w:after="40"/>
      </w:pPr>
      <w:r>
        <w:t>Finanta: existing Félix users are compensable under current definition; separate Activation/Frequency economics from Acquisition economics if kept.</w:t>
      </w:r>
    </w:p>
    <w:p>
      <w:pPr>
        <w:pStyle w:val="Heading1"/>
      </w:pPr>
      <w:r>
        <w:t>12. Guatemala research already discussed</w:t>
      </w:r>
    </w:p>
    <w:p>
      <w:pPr>
        <w:pStyle w:val="ListBullet"/>
        <w:spacing w:after="40"/>
      </w:pPr>
      <w:r>
        <w:t>Initial research described a large, highly working-age/first-generation diaspora with concentrations in Los Angeles, New York, Washington DC, Miami and Houston.</w:t>
      </w:r>
    </w:p>
    <w:p>
      <w:pPr>
        <w:pStyle w:val="ListBullet"/>
        <w:spacing w:after="40"/>
      </w:pPr>
      <w:r>
        <w:t>Employment ecosystems discussed: construction/day labor, poultry/food processing, garment in Los Angeles, gig/delivery and worker centers.</w:t>
      </w:r>
    </w:p>
    <w:p>
      <w:pPr>
        <w:pStyle w:val="ListBullet"/>
        <w:spacing w:after="40"/>
      </w:pPr>
      <w:r>
        <w:t>Organizations/partners explored: El Sol, Guatemalan-Maya Center, Garment Worker Center, Workers Justice Project/Los Deliveristas Unidos, Festival Chapín, Pollo Campero, consular/mobile consular infrastructure, diaspora couriers (VíaGuate, Verapaz Express, King Express, Nardex), telecom/prepaid hypotheses, tax/ITIN and Avianca.</w:t>
      </w:r>
    </w:p>
    <w:p>
      <w:pPr>
        <w:pStyle w:val="ListBullet"/>
        <w:spacing w:after="40"/>
      </w:pPr>
      <w:r>
        <w:t>Couriers/cross-border family support were identified as interesting because they reveal transnational intent, but must be tested for scale, frequency and competitive conflict.</w:t>
      </w:r>
    </w:p>
    <w:p>
      <w:pPr>
        <w:pStyle w:val="ListBullet"/>
        <w:spacing w:after="40"/>
      </w:pPr>
      <w:r>
        <w:t>Cultural affinity (Campero/festivals) is not equivalent to growth power; it still requires sender density, attribution, incremental CAC and a repeat mechanism.</w:t>
      </w:r>
    </w:p>
    <w:p>
      <w:pPr>
        <w:pStyle w:val="ListBullet"/>
        <w:spacing w:after="40"/>
      </w:pPr>
      <w:r>
        <w:t>Community organizations can be excellent for trust, assisted onboarding and learning, but are not automatically scalable transaction engines.</w:t>
      </w:r>
    </w:p>
    <w:p>
      <w:pPr>
        <w:pStyle w:val="ListBullet"/>
        <w:spacing w:after="40"/>
      </w:pPr>
      <w:r>
        <w:t>Later council review corrected an early bias toward cultural relevance and emphasized distribution economics and integration.</w:t>
      </w:r>
    </w:p>
    <w:p>
      <w:pPr>
        <w:pStyle w:val="Heading1"/>
      </w:pPr>
      <w:r>
        <w:t>13. Superseded / out-of-scope ideas</w:t>
      </w:r>
    </w:p>
    <w:p>
      <w:pPr>
        <w:pStyle w:val="ListBullet"/>
        <w:spacing w:after="40"/>
      </w:pPr>
      <w:r>
        <w:t>Recipient-side / request-to-remittance: explicitly out of scope for this workstream.</w:t>
      </w:r>
    </w:p>
    <w:p>
      <w:pPr>
        <w:pStyle w:val="ListBullet"/>
        <w:spacing w:after="40"/>
      </w:pPr>
      <w:r>
        <w:t>The assistant’s exploratory 14-archetype taxonomy is superseded. The valid framework has exactly the 10 ACCESS types in Section 2.</w:t>
      </w:r>
    </w:p>
    <w:p>
      <w:pPr>
        <w:pStyle w:val="ListBullet"/>
        <w:spacing w:after="40"/>
      </w:pPr>
      <w:r>
        <w:t>Do not use renamed types such as “Work &amp; Earnings”, “Financial Operating System” or category “Education / SMB / other niches”.</w:t>
      </w:r>
    </w:p>
    <w:p>
      <w:pPr>
        <w:pStyle w:val="ListBullet"/>
        <w:spacing w:after="40"/>
      </w:pPr>
      <w:r>
        <w:t>Do not merge Community &amp; Identity with Digital Attention / Discovery.</w:t>
      </w:r>
    </w:p>
    <w:p>
      <w:pPr>
        <w:pStyle w:val="ListBullet"/>
        <w:spacing w:after="40"/>
      </w:pPr>
      <w:r>
        <w:t>Do not rank ACCESS as if it were the whole partnership; always condition on objective and integration.</w:t>
      </w:r>
    </w:p>
    <w:p>
      <w:pPr>
        <w:pStyle w:val="ListBullet"/>
        <w:spacing w:after="40"/>
      </w:pPr>
      <w:r>
        <w:t>No hybrid archetypes. Use primary + secondary access only.</w:t>
      </w:r>
    </w:p>
    <w:p>
      <w:pPr>
        <w:pStyle w:val="Heading1"/>
      </w:pPr>
      <w:r>
        <w:t>14. Rules for future research / Codex execution</w:t>
      </w:r>
    </w:p>
    <w:p>
      <w:pPr>
        <w:pStyle w:val="ListBullet"/>
        <w:spacing w:after="40"/>
      </w:pPr>
      <w:r>
        <w:t>Do not invent partners, figures, penetration, rankings or country scores.</w:t>
      </w:r>
    </w:p>
    <w:p>
      <w:pPr>
        <w:pStyle w:val="ListBullet"/>
        <w:spacing w:after="40"/>
      </w:pPr>
      <w:r>
        <w:t>Separate FACT / SIGNAL / HYPOTHESIS.</w:t>
      </w:r>
    </w:p>
    <w:p>
      <w:pPr>
        <w:pStyle w:val="ListBullet"/>
        <w:spacing w:after="40"/>
      </w:pPr>
      <w:r>
        <w:t>Mark judgment in the same line/cell as [JUICIO].</w:t>
      </w:r>
    </w:p>
    <w:p>
      <w:pPr>
        <w:pStyle w:val="ListBullet"/>
        <w:spacing w:after="40"/>
      </w:pPr>
      <w:r>
        <w:t>Mark corridor hypotheses explicitly with (H).</w:t>
      </w:r>
    </w:p>
    <w:p>
      <w:pPr>
        <w:pStyle w:val="ListBullet"/>
        <w:spacing w:after="40"/>
      </w:pPr>
      <w:r>
        <w:t>Use “sin base” where evidence is insufficient.</w:t>
      </w:r>
    </w:p>
    <w:p>
      <w:pPr>
        <w:pStyle w:val="ListBullet"/>
        <w:spacing w:after="40"/>
      </w:pPr>
      <w:r>
        <w:t>For external data, include a verifiable link and the year/date of the evidence.</w:t>
      </w:r>
    </w:p>
    <w:p>
      <w:pPr>
        <w:pStyle w:val="ListBullet"/>
        <w:spacing w:after="40"/>
      </w:pPr>
      <w:r>
        <w:t>Do not extrapolate Mexico or generic U.S. Hispanic behavior to GT/SV/HN/NI/EC/PE/BR without declaring it as a proxy.</w:t>
      </w:r>
    </w:p>
    <w:p>
      <w:pPr>
        <w:pStyle w:val="ListBullet"/>
        <w:spacing w:after="40"/>
      </w:pPr>
      <w:r>
        <w:t>Discovery unit = access relationship, not industry. Search “who controls this relationship?” and then identify companies.</w:t>
      </w:r>
    </w:p>
    <w:p>
      <w:pPr>
        <w:pStyle w:val="ListBullet"/>
        <w:spacing w:after="40"/>
      </w:pPr>
      <w:r>
        <w:t>Banner, email, push, referral link, receipt, WhatsApp and booth are integration/distribution surfaces, not access archetypes.</w:t>
      </w:r>
    </w:p>
    <w:p>
      <w:pPr>
        <w:pStyle w:val="ListBullet"/>
        <w:spacing w:after="40"/>
      </w:pPr>
      <w:r>
        <w:t>Separate partner attractiveness from taxonomy. Score attributes such as target sender penetration, scale, frequency, intent, trust, data richness, geography, exclusivity, conflict, integration feasibility, unit economics and proven conversion.</w:t>
      </w:r>
    </w:p>
    <w:p>
      <w:pPr>
        <w:pStyle w:val="ListBullet"/>
        <w:spacing w:after="40"/>
      </w:pPr>
      <w:r>
        <w:t>Measure partnerships through incremental new senders, FTX, repeat, contribution margin/LTV and incremental CAC — not just clicks/signups.</w:t>
      </w:r>
    </w:p>
    <w:p>
      <w:pPr>
        <w:pStyle w:val="Heading1"/>
      </w:pPr>
      <w:r>
        <w:t>15. Potential framework changes discussed — NOT applied</w:t>
      </w:r>
    </w:p>
    <w:p>
      <w:pPr>
        <w:pStyle w:val="ListBullet"/>
        <w:spacing w:after="40"/>
      </w:pPr>
      <w:r>
        <w:t>Clarify Money Management to explicitly include credit building, consumer lending and SMB finance in addition to bank/wallet/card. No rename needed.</w:t>
      </w:r>
    </w:p>
    <w:p>
      <w:pPr>
        <w:pStyle w:val="ListBullet"/>
        <w:spacing w:after="40"/>
      </w:pPr>
      <w:r>
        <w:t>Life-stage / Household is ambiguous for education/upskilling. Aprende is the test case. Possible future “Economic Advancement” type was discussed but NOT adopted.</w:t>
      </w:r>
    </w:p>
    <w:p>
      <w:pPr>
        <w:pStyle w:val="ListBullet"/>
        <w:spacing w:after="40"/>
      </w:pPr>
      <w:r>
        <w:t>Connectivity vs Transnational Life boundary: carrier/SIM/internet = Connectivity; a relationship whose central behavior is already cross-border can use Transnational Life as secondary. Do not merge.</w:t>
      </w:r>
    </w:p>
    <w:p>
      <w:pPr>
        <w:pStyle w:val="Heading1"/>
      </w:pPr>
      <w:r>
        <w:t>16. Next logical workstream steps</w:t>
      </w:r>
    </w:p>
    <w:p>
      <w:pPr>
        <w:pStyle w:val="ListBullet"/>
        <w:spacing w:after="40"/>
      </w:pPr>
      <w:r>
        <w:t>Complete whitespace discovery across the 10 ACCESS types for GT/SV/HN/NI/EC/PE/BR without jumping to solutions.</w:t>
      </w:r>
    </w:p>
    <w:p>
      <w:pPr>
        <w:pStyle w:val="ListBullet"/>
        <w:spacing w:after="40"/>
      </w:pPr>
      <w:r>
        <w:t>Within each corridor, identify where sender density is unusually high inside each access type.</w:t>
      </w:r>
    </w:p>
    <w:p>
      <w:pPr>
        <w:pStyle w:val="ListBullet"/>
        <w:spacing w:after="40"/>
      </w:pPr>
      <w:r>
        <w:t>Map incumbent/competitor occupation of the strongest access points.</w:t>
      </w:r>
    </w:p>
    <w:p>
      <w:pPr>
        <w:pStyle w:val="ListBullet"/>
        <w:spacing w:after="40"/>
      </w:pPr>
      <w:r>
        <w:t>Build a partner attractiveness scorecard separate from the taxonomy.</w:t>
      </w:r>
    </w:p>
    <w:p>
      <w:pPr>
        <w:pStyle w:val="ListBullet"/>
        <w:spacing w:after="40"/>
      </w:pPr>
      <w:r>
        <w:t>Analyze actual pipeline cohorts: source → signup → FTX → TX/user → retention → contribution margin → incremental CAC.</w:t>
      </w:r>
    </w:p>
    <w:p>
      <w:pPr>
        <w:pStyle w:val="ListBullet"/>
        <w:spacing w:after="40"/>
      </w:pPr>
      <w:r>
        <w:t>Reconcile internal inconsistencies in OKY, Aprende, Finanta and template-copy artifacts.</w:t>
      </w:r>
    </w:p>
    <w:p>
      <w:pPr>
        <w:pStyle w:val="ListBullet"/>
        <w:spacing w:after="40"/>
      </w:pPr>
      <w:r>
        <w:t>Review perpetual/per-TX economics against incremental contribution margin and the partner’s continuing value after acquisition.</w:t>
      </w:r>
    </w:p>
    <w:p>
      <w:pPr>
        <w:pStyle w:val="Heading1"/>
      </w:pPr>
      <w:r>
        <w:t>17. External sources cited in the chat — verify before reuse</w:t>
      </w:r>
    </w:p>
    <w:p>
      <w:pPr>
        <w:spacing w:after="60"/>
      </w:pPr>
      <w:r>
        <w:rPr>
          <w:b/>
        </w:rPr>
        <w:t xml:space="preserve">Migration Policy Institute – Guatemalan immigrants in the United States: </w:t>
      </w:r>
      <w:r>
        <w:t>https://www.migrationpolicy.org/journal/spotlight/guatemalan-immigrants-united-states — Usado en chat para tamaño/composición, labor-force participation y occupational mix de Guatemala.</w:t>
      </w:r>
    </w:p>
    <w:p>
      <w:pPr>
        <w:spacing w:after="60"/>
      </w:pPr>
      <w:r>
        <w:rPr>
          <w:b/>
        </w:rPr>
        <w:t xml:space="preserve">Migration Policy Institute – Central American immigrants in the United States: </w:t>
      </w:r>
      <w:r>
        <w:t>https://www.migrationpolicy.org/journal/spotlight/central-american-immigrants-united-states — Usado para tamaños y crecimiento de SV/HN/NI.</w:t>
      </w:r>
    </w:p>
    <w:p>
      <w:pPr>
        <w:spacing w:after="60"/>
      </w:pPr>
      <w:r>
        <w:rPr>
          <w:b/>
        </w:rPr>
        <w:t xml:space="preserve">BCR El Salvador – conferencia/encuesta remitentes (2018; antigua): </w:t>
      </w:r>
      <w:r>
        <w:t>https://redibacen.bcr.gob.sv/conferencia.php?cod=1185 — Usada como señal de ocupaciones; debe revalidarse antes de asumir comportamiento 2026.</w:t>
      </w:r>
    </w:p>
    <w:p>
      <w:pPr>
        <w:spacing w:after="60"/>
      </w:pPr>
      <w:r>
        <w:rPr>
          <w:b/>
        </w:rPr>
        <w:t xml:space="preserve">BCR El Salvador – frecuencia/remittances conference page: </w:t>
      </w:r>
      <w:r>
        <w:t>https://redibacen.bcr.gob.sv/conferencia.php?cod=388 — Usada en chat para señal de comportamiento mensual/quincenal.</w:t>
      </w:r>
    </w:p>
    <w:p>
      <w:pPr>
        <w:spacing w:after="60"/>
      </w:pPr>
      <w:r>
        <w:rPr>
          <w:b/>
        </w:rPr>
        <w:t xml:space="preserve">Banco Central de Honduras – Revisión Programa Monetario 2025–2026: </w:t>
      </w:r>
      <w:r>
        <w:t>https://www.bch.hn/estadisticos/AM/LIBPROGRAMA%20MONETARIO/Revisi%C3%B3n%20Programa%20Monetario%202025-2026.pdf — Usada para origen estadounidense de remesas y ocupaciones de remitentes.</w:t>
      </w:r>
    </w:p>
    <w:p>
      <w:pPr>
        <w:spacing w:after="60"/>
      </w:pPr>
      <w:r>
        <w:rPr>
          <w:b/>
        </w:rPr>
        <w:t xml:space="preserve">Banco Central de Nicaragua – Remesas I trimestre 2025: </w:t>
      </w:r>
      <w:r>
        <w:t>https://www.bcn.gob.ni/publicaciones/informe-de-remesas-i-trimestre-2025 — Usada para share de remesas originadas en EE. UU.</w:t>
      </w:r>
    </w:p>
    <w:p>
      <w:pPr>
        <w:spacing w:after="60"/>
      </w:pPr>
      <w:r>
        <w:rPr>
          <w:b/>
        </w:rPr>
        <w:t xml:space="preserve">Banco Central del Ecuador – Remesas 2025: </w:t>
      </w:r>
      <w:r>
        <w:t>https://contenido.bce.fin.ec/documentos/Estadisticas/SectorExterno/BalanzaPagos/Remesas/eren2025anual.pdf — Usada para peso de EE. UU. como origen de remesas a Ecuador.</w:t>
      </w:r>
    </w:p>
    <w:p>
      <w:pPr>
        <w:spacing w:after="60"/>
      </w:pPr>
      <w:r>
        <w:rPr>
          <w:b/>
        </w:rPr>
        <w:t xml:space="preserve">Pew – Ecuadorian-origin Hispanics in the U.S.: </w:t>
      </w:r>
      <w:r>
        <w:t>https://www.pewresearch.org/race-and-ethnicity/fact-sheet/us-hispanics-facts-on-ecuadorian-origin-latinos/ — Usada para concentración geográfica; validar año/base antes de reutilizar.</w:t>
      </w:r>
    </w:p>
    <w:p>
      <w:pPr>
        <w:spacing w:after="60"/>
      </w:pPr>
      <w:r>
        <w:rPr>
          <w:b/>
        </w:rPr>
        <w:t xml:space="preserve">BCRP – Memoria 2025: </w:t>
      </w:r>
      <w:r>
        <w:t>https://www.bcrp.gob.pe/docs/Publicaciones/Memoria/2025/memoria-bcrp-2025-2.pdf — Usada para share de EE. UU. en remesas a Perú.</w:t>
      </w:r>
    </w:p>
    <w:p>
      <w:pPr>
        <w:spacing w:after="60"/>
      </w:pPr>
      <w:r>
        <w:rPr>
          <w:b/>
        </w:rPr>
        <w:t xml:space="preserve">Pew – Peruvian-origin Latinos in the U.S.: </w:t>
      </w:r>
      <w:r>
        <w:t>https://www.pewresearch.org/race-ethnicity/fact-sheet/us-hispanics-facts-on-peruvian-origin-latinos/ — Usada para tamaño/composición/geografía de peruanos; dato base 2021.</w:t>
      </w:r>
    </w:p>
    <w:p>
      <w:pPr>
        <w:spacing w:after="60"/>
      </w:pPr>
      <w:r>
        <w:rPr>
          <w:b/>
        </w:rPr>
        <w:t xml:space="preserve">MPI – Brazilian immigrants in the United States: </w:t>
      </w:r>
      <w:r>
        <w:t>https://www.migrationpolicy.org/journal/spotlight/brazilian-immigrants-united-states — Usada para población, labor-force participation y educación de brasileños.</w:t>
      </w:r>
    </w:p>
    <w:p>
      <w:pPr>
        <w:spacing w:after="60"/>
      </w:pPr>
      <w:r>
        <w:rPr>
          <w:b/>
        </w:rPr>
        <w:t xml:space="preserve">Remitly Partner Program: </w:t>
      </w:r>
      <w:r>
        <w:t>https://www.remitly.com/us/en/landing/partner-program — Usado para benchmark de employers, communities/faith, publishers/creators y economics de qualifying new customer.</w:t>
      </w:r>
    </w:p>
    <w:p>
      <w:pPr>
        <w:spacing w:after="60"/>
      </w:pPr>
      <w:r>
        <w:rPr>
          <w:b/>
        </w:rPr>
        <w:t xml:space="preserve">Remitly – Send with WhatsApp: </w:t>
      </w:r>
      <w:r>
        <w:t>https://news.remitly.com/company-and-product-news/remitly-send-with-whatsapp/ — Citado en chat como evidencia de competencia en WhatsApp para GT/SV/HN/NI.</w:t>
      </w:r>
    </w:p>
    <w:p>
      <w:pPr>
        <w:spacing w:after="60"/>
      </w:pPr>
      <w:r>
        <w:rPr>
          <w:b/>
        </w:rPr>
        <w:t xml:space="preserve">BOSS Revolution – Money Transfer: </w:t>
      </w:r>
      <w:r>
        <w:t>https://www.bossrevolution.com/es-us/services/money-transfer — Usado como ejemplo de conflicto competitivo dentro de Connectivity/Transnational Life.</w:t>
      </w:r>
    </w:p>
    <w:p>
      <w:pPr>
        <w:spacing w:after="60"/>
      </w:pPr>
      <w:r>
        <w:rPr>
          <w:b/>
        </w:rPr>
        <w:t xml:space="preserve">IRS – Remittance transfer tax proposed regulations: </w:t>
      </w:r>
      <w:r>
        <w:t>https://www.irs.gov/newsroom/treasury-irs-issue-proposed-regulations-on-the-new-remittance-transfer-tax-established-under-the-one-big-beautiful-bill — Citado en research anterior sobre 1% excise tax a ciertos remittance funding methods desde 2026.</w:t>
      </w:r>
    </w:p>
    <w:p>
      <w:pPr>
        <w:spacing w:after="60"/>
      </w:pPr>
      <w:r>
        <w:rPr>
          <w:b/>
        </w:rPr>
        <w:t xml:space="preserve">FDIC 2023 Household Survey: </w:t>
      </w:r>
      <w:r>
        <w:t>https://www.fdic.gov/household-survey/2023-fdic-national-survey-unbanked-and-underbanked-households-executive-summary — Usado como proxy broad-Hispanic para banked/underbanked; NO Guatemala-specific.</w:t>
      </w:r>
    </w:p>
    <w:p>
      <w:pPr>
        <w:pStyle w:val="Heading1"/>
      </w:pPr>
      <w:r>
        <w:t>18. Internal inconsistencies / facts to preserve</w:t>
      </w:r>
    </w:p>
    <w:p>
      <w:pPr>
        <w:pStyle w:val="ListBullet"/>
        <w:spacing w:after="40"/>
      </w:pPr>
      <w:r>
        <w:t>OKY: internal sheet says 200K base / 15–20K active monthly; Sep 24 meeting says ~130K active, 60% GT, 20% MX.</w:t>
      </w:r>
    </w:p>
    <w:p>
      <w:pPr>
        <w:pStyle w:val="ListBullet"/>
        <w:spacing w:after="40"/>
      </w:pPr>
      <w:r>
        <w:t>Aprende: sheet says 35K active, 400K historical, ~1M visits; meeting says 2M users.</w:t>
      </w:r>
    </w:p>
    <w:p>
      <w:pPr>
        <w:pStyle w:val="ListBullet"/>
        <w:spacing w:after="40"/>
      </w:pPr>
      <w:r>
        <w:t>Finanta: 1.5K in overview vs ~1K in strategic value.</w:t>
      </w:r>
    </w:p>
    <w:p>
      <w:pPr>
        <w:pStyle w:val="ListBullet"/>
        <w:spacing w:after="40"/>
      </w:pPr>
      <w:r>
        <w:t>Template artifacts: OKY, MandaFacil and Kikoff repeat the credit-union KYC concern copied from Finanta.</w:t>
      </w:r>
    </w:p>
    <w:p>
      <w:pPr>
        <w:pStyle w:val="ListBullet"/>
        <w:spacing w:after="40"/>
      </w:pPr>
      <w:r>
        <w:t>Eligibility differs: Finanta compensates existing Félix users; Aprende explicitly excludes them.</w:t>
      </w:r>
    </w:p>
    <w:p>
      <w:pPr>
        <w:pStyle w:val="ListBullet"/>
        <w:spacing w:after="40"/>
      </w:pPr>
      <w:r>
        <w:t>Economics differ: MandaFacil/Kikoff/Aprende per-TX during contract; OKY per-TX for 3 years; DTVC tiered 6-month pilot; Dash 50bps; Kikoff still choosing per-TX vs CPA.</w:t>
      </w:r>
    </w:p>
    <w:p>
      <w:pPr>
        <w:pStyle w:val="Heading1"/>
      </w:pPr>
      <w:r>
        <w:t>19. One-page start state for a new AI session</w:t>
      </w:r>
    </w:p>
    <w:p>
      <w:pPr>
        <w:spacing w:after="80"/>
      </w:pPr>
      <w:r>
        <w:t>Objective: discover sender-side partnerships for Félix that acquire new remitters and produce repeat TX. Fixed framework: 10 ACCESS types + INTEGRATION (low/medium/high) + OBJECTIVE. Do not rename categories. Current Mateo pipeline covers Work &amp; Income (Dash, BlxckPay), Money Management (Finanta, Kikoff, Luca), Transnational Life (OKY, MandaFacil), Digital Attention / Discovery (DTVC), and Life-stage / Household (Aprende). Receipt Banner is a distribution surface, not an access type. Strategic hypothesis: Transnational Life is strong for sender intent; Work &amp; Income for Frequency when integration is medium/high; Money Management for scale/frequency but with higher competitive conflict. Economics should follow integration: low-integration referral → CPA + repeat bonus; embedded → bps/per-TX. Next work: whitespace mapping across GT/SV/HN/NI/EC/PE/BR and a separate partner-attractiveness scorecard.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Confidential — internal use only | Cut-off: 15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4"/>
      </w:rPr>
      <w:t>FÉLIX PARTNERSHIPS STRATEGY — INTERNAL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