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6C3FC8"/>
          <w:sz w:val="56"/>
          <w:szCs w:val="56"/>
        </w:rPr>
        <w:t xml:space="preserve">💪 INFINITE COACH</w:t>
      </w:r>
    </w:p>
    <w:p>
      <w:pPr>
        <w:spacing w:after="400"/>
        <w:jc w:val="center"/>
      </w:pPr>
      <w:r>
        <w:rPr>
          <w:rFonts w:ascii="Calibri" w:cs="Calibri" w:eastAsia="Calibri" w:hAnsi="Calibri"/>
          <w:b/>
          <w:bCs/>
          <w:color w:val="555555"/>
          <w:sz w:val="32"/>
          <w:szCs w:val="32"/>
        </w:rPr>
        <w:t xml:space="preserve">RESUMEN DE ARQUITECTURA TÉCNICA Y ESTRUCTURA INTERNA</w:t>
      </w:r>
    </w:p>
    <w:p>
      <w:pPr>
        <w:spacing w:after="1200"/>
        <w:jc w:val="center"/>
      </w:pPr>
      <w:r>
        <w:rPr>
          <w:rFonts w:ascii="Calibri" w:cs="Calibri" w:eastAsia="Calibri" w:hAnsi="Calibri"/>
          <w:i/>
          <w:iCs/>
          <w:color w:val="555555"/>
          <w:sz w:val="22"/>
          <w:szCs w:val="22"/>
        </w:rPr>
        <w:t xml:space="preserve">Una guía completa sobre las plataformas externas, APIs, bases de datos y estructura de dependencias de Infinite Coach SaaS.</w:t>
      </w:r>
    </w:p>
    <w:p>
      <w:pPr>
        <w:spacing w:after="100"/>
        <w:jc w:val="center"/>
      </w:pPr>
      <w:r>
        <w:rPr>
          <w:rFonts w:ascii="Calibri" w:cs="Calibri" w:eastAsia="Calibri" w:hAnsi="Calibri"/>
          <w:b/>
          <w:bCs/>
          <w:color w:val="1A1A1A"/>
          <w:sz w:val="21"/>
          <w:szCs w:val="21"/>
        </w:rPr>
        <w:t xml:space="preserve">Desarrollador: </w:t>
      </w:r>
      <w:r>
        <w:rPr>
          <w:rFonts w:ascii="Calibri" w:cs="Calibri" w:eastAsia="Calibri" w:hAnsi="Calibri"/>
          <w:color w:val="1A1A1A"/>
          <w:sz w:val="21"/>
          <w:szCs w:val="21"/>
        </w:rPr>
        <w:t xml:space="preserve">Ingenia IA / Infinite Coach Team</w:t>
      </w:r>
    </w:p>
    <w:p>
      <w:pPr>
        <w:spacing w:after="100"/>
        <w:jc w:val="center"/>
      </w:pPr>
      <w:r>
        <w:rPr>
          <w:rFonts w:ascii="Calibri" w:cs="Calibri" w:eastAsia="Calibri" w:hAnsi="Calibri"/>
          <w:b/>
          <w:bCs/>
          <w:color w:val="1A1A1A"/>
          <w:sz w:val="21"/>
          <w:szCs w:val="21"/>
        </w:rPr>
        <w:t xml:space="preserve">Fecha de publicación: </w:t>
      </w:r>
      <w:r>
        <w:rPr>
          <w:rFonts w:ascii="Calibri" w:cs="Calibri" w:eastAsia="Calibri" w:hAnsi="Calibri"/>
          <w:color w:val="1A1A1A"/>
          <w:sz w:val="21"/>
          <w:szCs w:val="21"/>
        </w:rPr>
        <w:t xml:space="preserve">Junio de 2026</w:t>
      </w:r>
    </w:p>
    <w:p>
      <w:pPr>
        <w:jc w:val="center"/>
      </w:pPr>
      <w:r>
        <w:rPr>
          <w:rFonts w:ascii="Calibri" w:cs="Calibri" w:eastAsia="Calibri" w:hAnsi="Calibri"/>
          <w:b/>
          <w:bCs/>
          <w:color w:val="1A1A1A"/>
          <w:sz w:val="21"/>
          <w:szCs w:val="21"/>
        </w:rPr>
        <w:t xml:space="preserve">Estado: </w:t>
      </w:r>
      <w:r>
        <w:rPr>
          <w:rFonts w:ascii="Calibri" w:cs="Calibri" w:eastAsia="Calibri" w:hAnsi="Calibri"/>
          <w:color w:val="1A1A1A"/>
          <w:sz w:val="21"/>
          <w:szCs w:val="21"/>
        </w:rPr>
        <w:t xml:space="preserve">Producción Activa</w:t>
      </w:r>
    </w:p>
    <w:p>
      <w:r>
        <w:br w:type="page"/>
      </w:r>
    </w:p>
    <w:p>
      <w:pPr>
        <w:spacing w:after="120" w:before="280"/>
      </w:pPr>
      <w:r>
        <w:rPr>
          <w:rFonts w:ascii="Calibri" w:cs="Calibri" w:eastAsia="Calibri" w:hAnsi="Calibri"/>
          <w:b/>
          <w:bCs/>
          <w:color w:val="6C3FC8"/>
          <w:sz w:val="36"/>
          <w:szCs w:val="36"/>
        </w:rPr>
        <w:t xml:space="preserve">1. Flujo de Datos y Conectividad</w:t>
      </w:r>
    </w:p>
    <w:p>
      <w:pPr>
        <w:spacing w:after="60" w:before="40"/>
        <w:jc w:val="left"/>
      </w:pPr>
      <w:r>
        <w:rPr>
          <w:rFonts w:ascii="Calibri" w:cs="Calibri" w:eastAsia="Calibri" w:hAnsi="Calibri"/>
          <w:b w:val="false"/>
          <w:bCs w:val="false"/>
          <w:i w:val="false"/>
          <w:iCs w:val="false"/>
          <w:color w:val="1A1A1A"/>
          <w:sz w:val="21"/>
          <w:szCs w:val="21"/>
        </w:rPr>
        <w:t xml:space="preserve">La arquitectura de Infinite Coach es híbrida y desacoplada, utilizando Next.js Serverless hosteado en Vercel como el portal de cara al usuario, interactuando en caliente con bases de datos como servicio (BaaS). El flujo se describe de la siguiente forma:</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Next.js recibe las peticiones y compila el contenido del entrenador y del cliente de forma modular.</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Supabase y Firebase sincronizan bidireccionalmente los perfiles del entrenador en tiempo real usando JSONB.</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Las pasarelas como Stripe procesan las suscripciones devolviendo eventos para actualizar la base de datos automáticamente.</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Resend procesa los emails y formularios de lead provenientes del cliente.</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Google Drive API y Google Sheets API almacenan recursos multimedia directamente en la nube del entrenador para evitar costes adicionales de hosting de imágenes.</w:t>
      </w:r>
    </w:p>
    <w:p>
      <w:pPr>
        <w:spacing w:after="120" w:before="280"/>
      </w:pPr>
      <w:r>
        <w:rPr>
          <w:rFonts w:ascii="Calibri" w:cs="Calibri" w:eastAsia="Calibri" w:hAnsi="Calibri"/>
          <w:b/>
          <w:bCs/>
          <w:color w:val="6C3FC8"/>
          <w:sz w:val="36"/>
          <w:szCs w:val="36"/>
        </w:rPr>
        <w:t xml:space="preserve">2. Desglose de Plataformas Externas e Infraestructura</w:t>
      </w:r>
    </w:p>
    <w:p>
      <w:pPr>
        <w:spacing w:after="60" w:before="40"/>
        <w:jc w:val="left"/>
      </w:pPr>
      <w:r>
        <w:rPr>
          <w:rFonts w:ascii="Calibri" w:cs="Calibri" w:eastAsia="Calibri" w:hAnsi="Calibri"/>
          <w:b w:val="false"/>
          <w:bCs w:val="false"/>
          <w:i w:val="false"/>
          <w:iCs w:val="false"/>
          <w:color w:val="1A1A1A"/>
          <w:sz w:val="21"/>
          <w:szCs w:val="21"/>
        </w:rPr>
        <w:t xml:space="preserve">A continuación se presenta la tabla detallada de infraestructura e integraciones externas: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Proveedor / Plataforma</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Área Funcional</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Descripción Técnica</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Coste Inicial</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Coste Escala</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Vercel</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Hosting &amp; Serverless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Alojamiento del frontend Next.js. Maneja la regeneración estática de páginas y funciones API serverless.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(Hobby Plan)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$20/mes (Pro Plan por miembro)</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Supabase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Base de Datos Principal</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PostgreSQL en la nube. Guarda la tabla trainer_profiles (con esquemas JSONB completos), configuración SaaS global y buckets de storage.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$25/mes (Pro Plan - Activo actualmente)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$25/mes + extras de uso de disco</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Stripe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Pasarela de Pagos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Gestión de pasarelas de pago seguro para el cobro de suscripciones de clientes de entrenadores e inscripciones automáticas.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(Sin cuota mensual fija)</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1.4% + 0.25€ por transacción (tarjetas europeas)</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GoDaddy</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Registro de Dominio</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Registro de dominios y gestión de DNS/redirecciones rápidas (infinitecoach.es, licencias.ingeniaia.es).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12€ - 20€/año (Según tipo de dominio y renovación)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12€ - 20€/año</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Resend</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Correo Transaccional</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Plataforma de emails para el envío de notificaciones automáticas, leads de clientes y códigos de acceso.</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(Plan Free: 3,000 emails/mes, 100/día)</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$20/mes (Para volumen superior a 50k correos/mes)</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Gemini Advanced / Ultra</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Inteligencia Artificial</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Generador inteligente cognitivo para plantillas de entrenamiento, recetas avanzadas y codesarrollo de la aplicación.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~100.00€/mes (Licencia API Vertex / Enterprise)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Pago por uso / Cuota mensual fija</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Pollinations AI</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Generador de Imágenes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API externa gratuita/Premium configurada en backend para la generación fluida de imágenes realistas de platos, recetas y entrenos.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(Consumo de API por Token)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 Pago por uso</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Google Drive API (GAPI)</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Almacenamiento Entrenador</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Integración cliente para subir fotos directamente a la cuenta de Google Drive del entrenador en una carpeta compartida (App Fitness Media).</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(Usa los 15GB de cuota del Gmail del entrenador)</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(Ampliable vía Google One)</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Google Sheets API</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Sincronización Fallback</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Permite escribir en hojas de cálculo externas las altas de clientes como método de almacenamiento físico plano o puente.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(Google Cloud Platform Console)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Firebase (Firestore/Storage)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Base de Datos Legacy</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Utilizada en versiones anteriores y conservada como sistema puente de backup/sincronización redundante de perfiles.</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(Spark Plan)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Gratis (Pago por uso si excede 50k lecturas/día)</w:t>
            </w:r>
          </w:p>
        </w:tc>
      </w:tr>
    </w:tbl>
    <w:p>
      <w:pPr>
        <w:spacing w:after="60" w:before="40"/>
        <w:jc w:val="left"/>
      </w:pPr>
      <w:r>
        <w:rPr>
          <w:rFonts w:ascii="Calibri" w:cs="Calibri" w:eastAsia="Calibri" w:hAnsi="Calibri"/>
          <w:b w:val="false"/>
          <w:bCs w:val="false"/>
          <w:i w:val="false"/>
          <w:iCs w:val="false"/>
          <w:color w:val="1A1A1A"/>
          <w:sz w:val="21"/>
          <w:szCs w:val="21"/>
        </w:rPr>
        <w:t xml:space="preserve"/>
      </w:r>
    </w:p>
    <w:p>
      <w:pPr>
        <w:spacing w:after="120" w:before="280"/>
      </w:pPr>
      <w:r>
        <w:rPr>
          <w:rFonts w:ascii="Calibri" w:cs="Calibri" w:eastAsia="Calibri" w:hAnsi="Calibri"/>
          <w:b/>
          <w:bCs/>
          <w:color w:val="6C3FC8"/>
          <w:sz w:val="36"/>
          <w:szCs w:val="36"/>
        </w:rPr>
        <w:t xml:space="preserve">3. Desglose de Librerías Core y Dependencias</w:t>
      </w:r>
    </w:p>
    <w:p>
      <w:pPr>
        <w:spacing w:after="60" w:before="40"/>
        <w:jc w:val="left"/>
      </w:pPr>
      <w:r>
        <w:rPr>
          <w:rFonts w:ascii="Calibri" w:cs="Calibri" w:eastAsia="Calibri" w:hAnsi="Calibri"/>
          <w:b w:val="false"/>
          <w:bCs w:val="false"/>
          <w:i w:val="false"/>
          <w:iCs w:val="false"/>
          <w:color w:val="1A1A1A"/>
          <w:sz w:val="21"/>
          <w:szCs w:val="21"/>
        </w:rPr>
        <w:t xml:space="preserve">La aplicación se ejecuta sobre el ecosistema Next.js utilizando las siguientes dependencias clave:</w:t>
      </w:r>
    </w:p>
    <w:p>
      <w:pPr>
        <w:spacing w:after="80" w:before="200"/>
      </w:pPr>
      <w:r>
        <w:rPr>
          <w:rFonts w:ascii="Calibri" w:cs="Calibri" w:eastAsia="Calibri" w:hAnsi="Calibri"/>
          <w:b/>
          <w:bCs/>
          <w:color w:val="6C3FC8"/>
          <w:sz w:val="26"/>
          <w:szCs w:val="26"/>
        </w:rPr>
        <w:t xml:space="preserve">A. Framework y Estructura</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Next.js (v16.2.2) y React/React-DOM (v19.2.4) para el portal interactivo.</w:t>
      </w:r>
    </w:p>
    <w:p>
      <w:pPr>
        <w:spacing w:after="80" w:before="200"/>
      </w:pPr>
      <w:r>
        <w:rPr>
          <w:rFonts w:ascii="Calibri" w:cs="Calibri" w:eastAsia="Calibri" w:hAnsi="Calibri"/>
          <w:b/>
          <w:bCs/>
          <w:color w:val="6C3FC8"/>
          <w:sz w:val="26"/>
          <w:szCs w:val="26"/>
        </w:rPr>
        <w:t xml:space="preserve">B. Diseño y Visuales</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TailwindCSS (v4.0.0) y @tailwindcss/postcss para estilos utilitarios modernos.</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Vanilla CSS para hojas de estilo de marca blanca con colores de branding dinámicos por entrenador.</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Lucide React para los iconos interactivos de la aplicación.</w:t>
      </w:r>
    </w:p>
    <w:p>
      <w:pPr>
        <w:spacing w:after="80" w:before="200"/>
      </w:pPr>
      <w:r>
        <w:rPr>
          <w:rFonts w:ascii="Calibri" w:cs="Calibri" w:eastAsia="Calibri" w:hAnsi="Calibri"/>
          <w:b/>
          <w:bCs/>
          <w:color w:val="6C3FC8"/>
          <w:sz w:val="26"/>
          <w:szCs w:val="26"/>
        </w:rPr>
        <w:t xml:space="preserve">C. Utilidades de Negocio</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docx (v9.7.1) para generar de forma nativa manuales y reportes en formato Microsoft Word desde Node.</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Nodemailer para componer y direccionar correos SMTP a través de Resend o Gmail.</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NextAuth.js para validación segura de tokens y sesión del administrador.</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date-fns para formatear y calcular duraciones de citas y calendarios.</w:t>
      </w:r>
    </w:p>
    <w:p>
      <w:pPr>
        <w:spacing w:after="120" w:before="280"/>
      </w:pPr>
      <w:r>
        <w:rPr>
          <w:rFonts w:ascii="Calibri" w:cs="Calibri" w:eastAsia="Calibri" w:hAnsi="Calibri"/>
          <w:b/>
          <w:bCs/>
          <w:color w:val="6C3FC8"/>
          <w:sz w:val="36"/>
          <w:szCs w:val="36"/>
        </w:rPr>
        <w:t xml:space="preserve">4. Estructura de Datos (Supabase JSONB)</w:t>
      </w:r>
    </w:p>
    <w:p>
      <w:pPr>
        <w:spacing w:after="60" w:before="40"/>
        <w:jc w:val="left"/>
      </w:pPr>
      <w:r>
        <w:rPr>
          <w:rFonts w:ascii="Calibri" w:cs="Calibri" w:eastAsia="Calibri" w:hAnsi="Calibri"/>
          <w:b w:val="false"/>
          <w:bCs w:val="false"/>
          <w:i w:val="false"/>
          <w:iCs w:val="false"/>
          <w:color w:val="1A1A1A"/>
          <w:sz w:val="21"/>
          <w:szCs w:val="21"/>
        </w:rPr>
        <w:t xml:space="preserve">Los perfiles se guardan bajo la tabla trainer_profiles, donde la columna full_data contiene el esquema JSONB relacional completo del entrenador:</w:t>
      </w:r>
    </w:p>
    <w:p>
      <w:pPr>
        <w:spacing w:after="40" w:before="30"/>
        <w:ind w:left="360"/>
      </w:pPr>
      <w:r>
        <w:rPr>
          <w:rFonts w:ascii="Calibri" w:cs="Calibri" w:eastAsia="Calibri" w:hAnsi="Calibri"/>
          <w:b/>
          <w:bCs/>
          <w:color w:val="6C3FC8"/>
          <w:sz w:val="21"/>
          <w:szCs w:val="21"/>
        </w:rPr>
        <w:t xml:space="preserve">1. </w:t>
      </w:r>
      <w:r>
        <w:rPr>
          <w:rFonts w:ascii="Calibri" w:cs="Calibri" w:eastAsia="Calibri" w:hAnsi="Calibri"/>
          <w:b w:val="false"/>
          <w:bCs w:val="false"/>
          <w:i w:val="false"/>
          <w:iCs w:val="false"/>
          <w:color w:val="1A1A1A"/>
          <w:sz w:val="21"/>
          <w:szCs w:val="21"/>
        </w:rPr>
        <w:t xml:space="preserve">brand: Colores del logo, branding, teléfonos y configuración Stripe.</w:t>
      </w:r>
    </w:p>
    <w:p>
      <w:pPr>
        <w:spacing w:after="40" w:before="30"/>
        <w:ind w:left="360"/>
      </w:pPr>
      <w:r>
        <w:rPr>
          <w:rFonts w:ascii="Calibri" w:cs="Calibri" w:eastAsia="Calibri" w:hAnsi="Calibri"/>
          <w:b/>
          <w:bCs/>
          <w:color w:val="6C3FC8"/>
          <w:sz w:val="21"/>
          <w:szCs w:val="21"/>
        </w:rPr>
        <w:t xml:space="preserve">2. </w:t>
      </w:r>
      <w:r>
        <w:rPr>
          <w:rFonts w:ascii="Calibri" w:cs="Calibri" w:eastAsia="Calibri" w:hAnsi="Calibri"/>
          <w:b w:val="false"/>
          <w:bCs w:val="false"/>
          <w:i w:val="false"/>
          <w:iCs w:val="false"/>
          <w:color w:val="1A1A1A"/>
          <w:sz w:val="21"/>
          <w:szCs w:val="21"/>
        </w:rPr>
        <w:t xml:space="preserve">clients: Listado de alumnos con calorías de dieta activa, vigencia y tarifas.</w:t>
      </w:r>
    </w:p>
    <w:p>
      <w:pPr>
        <w:spacing w:after="40" w:before="30"/>
        <w:ind w:left="360"/>
      </w:pPr>
      <w:r>
        <w:rPr>
          <w:rFonts w:ascii="Calibri" w:cs="Calibri" w:eastAsia="Calibri" w:hAnsi="Calibri"/>
          <w:b/>
          <w:bCs/>
          <w:color w:val="6C3FC8"/>
          <w:sz w:val="21"/>
          <w:szCs w:val="21"/>
        </w:rPr>
        <w:t xml:space="preserve">3. </w:t>
      </w:r>
      <w:r>
        <w:rPr>
          <w:rFonts w:ascii="Calibri" w:cs="Calibri" w:eastAsia="Calibri" w:hAnsi="Calibri"/>
          <w:b w:val="false"/>
          <w:bCs w:val="false"/>
          <w:i w:val="false"/>
          <w:iCs w:val="false"/>
          <w:color w:val="1A1A1A"/>
          <w:sz w:val="21"/>
          <w:szCs w:val="21"/>
        </w:rPr>
        <w:t xml:space="preserve">diets: Plantillas alimenticias y dietas personalizadas.</w:t>
      </w:r>
    </w:p>
    <w:p>
      <w:pPr>
        <w:spacing w:after="40" w:before="30"/>
        <w:ind w:left="360"/>
      </w:pPr>
      <w:r>
        <w:rPr>
          <w:rFonts w:ascii="Calibri" w:cs="Calibri" w:eastAsia="Calibri" w:hAnsi="Calibri"/>
          <w:b/>
          <w:bCs/>
          <w:color w:val="6C3FC8"/>
          <w:sz w:val="21"/>
          <w:szCs w:val="21"/>
        </w:rPr>
        <w:t xml:space="preserve">4. </w:t>
      </w:r>
      <w:r>
        <w:rPr>
          <w:rFonts w:ascii="Calibri" w:cs="Calibri" w:eastAsia="Calibri" w:hAnsi="Calibri"/>
          <w:b w:val="false"/>
          <w:bCs w:val="false"/>
          <w:i w:val="false"/>
          <w:iCs w:val="false"/>
          <w:color w:val="1A1A1A"/>
          <w:sz w:val="21"/>
          <w:szCs w:val="21"/>
        </w:rPr>
        <w:t xml:space="preserve">routines: Pautas, bloques de ejercicio semanales y plantillas.</w:t>
      </w:r>
    </w:p>
    <w:p>
      <w:pPr>
        <w:spacing w:after="40" w:before="30"/>
        <w:ind w:left="360"/>
      </w:pPr>
      <w:r>
        <w:rPr>
          <w:rFonts w:ascii="Calibri" w:cs="Calibri" w:eastAsia="Calibri" w:hAnsi="Calibri"/>
          <w:b/>
          <w:bCs/>
          <w:color w:val="6C3FC8"/>
          <w:sz w:val="21"/>
          <w:szCs w:val="21"/>
        </w:rPr>
        <w:t xml:space="preserve">5. </w:t>
      </w:r>
      <w:r>
        <w:rPr>
          <w:rFonts w:ascii="Calibri" w:cs="Calibri" w:eastAsia="Calibri" w:hAnsi="Calibri"/>
          <w:b w:val="false"/>
          <w:bCs w:val="false"/>
          <w:i w:val="false"/>
          <w:iCs w:val="false"/>
          <w:color w:val="1A1A1A"/>
          <w:sz w:val="21"/>
          <w:szCs w:val="21"/>
        </w:rPr>
        <w:t xml:space="preserve">feedbacks: Historial de revisiones de alumnos.</w:t>
      </w:r>
    </w:p>
    <w:p>
      <w:pPr>
        <w:spacing w:after="40" w:before="30"/>
        <w:ind w:left="360"/>
      </w:pPr>
      <w:r>
        <w:rPr>
          <w:rFonts w:ascii="Calibri" w:cs="Calibri" w:eastAsia="Calibri" w:hAnsi="Calibri"/>
          <w:b/>
          <w:bCs/>
          <w:color w:val="6C3FC8"/>
          <w:sz w:val="21"/>
          <w:szCs w:val="21"/>
        </w:rPr>
        <w:t xml:space="preserve">6. </w:t>
      </w:r>
      <w:r>
        <w:rPr>
          <w:rFonts w:ascii="Calibri" w:cs="Calibri" w:eastAsia="Calibri" w:hAnsi="Calibri"/>
          <w:b w:val="false"/>
          <w:bCs w:val="false"/>
          <w:i w:val="false"/>
          <w:iCs w:val="false"/>
          <w:color w:val="1A1A1A"/>
          <w:sz w:val="21"/>
          <w:szCs w:val="21"/>
        </w:rPr>
        <w:t xml:space="preserve">appointments: Agenda y llamadas programadas.</w:t>
      </w:r>
    </w:p>
    <w:p>
      <w:pPr>
        <w:spacing w:after="40" w:before="30"/>
        <w:ind w:left="360"/>
      </w:pPr>
      <w:r>
        <w:rPr>
          <w:rFonts w:ascii="Calibri" w:cs="Calibri" w:eastAsia="Calibri" w:hAnsi="Calibri"/>
          <w:b/>
          <w:bCs/>
          <w:color w:val="6C3FC8"/>
          <w:sz w:val="21"/>
          <w:szCs w:val="21"/>
        </w:rPr>
        <w:t xml:space="preserve">7. </w:t>
      </w:r>
      <w:r>
        <w:rPr>
          <w:rFonts w:ascii="Calibri" w:cs="Calibri" w:eastAsia="Calibri" w:hAnsi="Calibri"/>
          <w:b w:val="false"/>
          <w:bCs w:val="false"/>
          <w:i w:val="false"/>
          <w:iCs w:val="false"/>
          <w:color w:val="1A1A1A"/>
          <w:sz w:val="21"/>
          <w:szCs w:val="21"/>
        </w:rPr>
        <w:t xml:space="preserve">invoices: Facturas emitidas con validez fiscal.</w:t>
      </w:r>
    </w:p>
    <w:p>
      <w:pPr>
        <w:spacing w:after="120" w:before="280"/>
      </w:pPr>
      <w:r>
        <w:rPr>
          <w:rFonts w:ascii="Calibri" w:cs="Calibri" w:eastAsia="Calibri" w:hAnsi="Calibri"/>
          <w:b/>
          <w:bCs/>
          <w:color w:val="6C3FC8"/>
          <w:sz w:val="36"/>
          <w:szCs w:val="36"/>
        </w:rPr>
        <w:t xml:space="preserve">5. Cortafuegos y Seguridad Activa</w:t>
      </w:r>
    </w:p>
    <w:p>
      <w:pPr>
        <w:spacing w:after="60" w:before="40"/>
        <w:jc w:val="left"/>
      </w:pPr>
      <w:r>
        <w:rPr>
          <w:rFonts w:ascii="Calibri" w:cs="Calibri" w:eastAsia="Calibri" w:hAnsi="Calibri"/>
          <w:b w:val="false"/>
          <w:bCs w:val="false"/>
          <w:i w:val="false"/>
          <w:iCs w:val="false"/>
          <w:color w:val="1A1A1A"/>
          <w:sz w:val="21"/>
          <w:szCs w:val="21"/>
        </w:rPr>
        <w:t xml:space="preserve">La aplicación cuenta con mecanismos integrados de blindaje para asegurar que los datos no se destruyan ni se mezclen:</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Cortafuegos ASTeam: Evita que los perfiles reales se contaminen con clientes de prueba sanitizando el JSON antes de enviarlo a Supabase.</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Blindaje de Datos Vacíos: Si el almacenamiento local falla o devuelve datos vacíos, el sistema aborta el guardado en Supabase para evitar sobrescribir la nube.</w:t>
      </w:r>
    </w:p>
    <w:p>
      <w:pPr>
        <w:spacing w:after="40" w:before="30"/>
        <w:ind w:left="360"/>
      </w:pPr>
      <w:r>
        <w:rPr>
          <w:rFonts w:ascii="Calibri" w:cs="Calibri" w:eastAsia="Calibri" w:hAnsi="Calibri"/>
          <w:b/>
          <w:bCs/>
          <w:color w:val="6C3FC8"/>
          <w:sz w:val="21"/>
          <w:szCs w:val="21"/>
        </w:rPr>
        <w:t xml:space="preserve">• </w:t>
      </w:r>
      <w:r>
        <w:rPr>
          <w:rFonts w:ascii="Calibri" w:cs="Calibri" w:eastAsia="Calibri" w:hAnsi="Calibri"/>
          <w:b w:val="false"/>
          <w:bCs w:val="false"/>
          <w:i w:val="false"/>
          <w:iCs w:val="false"/>
          <w:color w:val="1A1A1A"/>
          <w:sz w:val="21"/>
          <w:szCs w:val="21"/>
        </w:rPr>
        <w:t xml:space="preserve">Aislamiento Multi-inquilino: Previene el uso del mismo código de acceso para diferentes clientes de distintos entrenadores.</w:t>
      </w:r>
    </w:p>
    <w:p>
      <w:pPr>
        <w:spacing w:after="120" w:before="280"/>
      </w:pPr>
      <w:r>
        <w:rPr>
          <w:rFonts w:ascii="Calibri" w:cs="Calibri" w:eastAsia="Calibri" w:hAnsi="Calibri"/>
          <w:b/>
          <w:bCs/>
          <w:color w:val="6C3FC8"/>
          <w:sz w:val="36"/>
          <w:szCs w:val="36"/>
        </w:rPr>
        <w:t xml:space="preserve">6. Estructura de Coste Mensual Real</w:t>
      </w:r>
    </w:p>
    <w:p>
      <w:pPr>
        <w:spacing w:after="60" w:before="40"/>
        <w:jc w:val="left"/>
      </w:pPr>
      <w:r>
        <w:rPr>
          <w:rFonts w:ascii="Calibri" w:cs="Calibri" w:eastAsia="Calibri" w:hAnsi="Calibri"/>
          <w:b w:val="false"/>
          <w:bCs w:val="false"/>
          <w:i w:val="false"/>
          <w:iCs w:val="false"/>
          <w:color w:val="1A1A1A"/>
          <w:sz w:val="21"/>
          <w:szCs w:val="21"/>
        </w:rPr>
        <w:t xml:space="preserve">Presupuesto detallado para el mantenimiento de la aplicación: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Servicio</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Plan de Pago</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Coste Mensual</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Notas</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Supabase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Pro Plan</w:t>
            </w:r>
          </w:p>
        </w:tc>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23.50€ ($25.00)</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Base de datos e imágenes en almacenamiento redundante.</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Vercel</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Hobby Plan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Alojamiento Next.js gratuito.</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Resend</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Free Plan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Hasta 3.000 correos/mes de forma gratuita.</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GoDaddy</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Registro anual</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~1.25€</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Amortización de 15€/año del dominio principal.</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Gemini Advanced / Ultra</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Suscripción IA</w:t>
            </w:r>
          </w:p>
        </w:tc>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100.00€</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Para co-creación de recetas, dietas estructuradas y copiloto de código.</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Google Cloud Workspace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Cuota de Cuenta</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Llamadas de API Drive/Sheets gratis mediante cuenta personal.</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Firebase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Spark Plan</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Backup legacy.</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Pollinations AI</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Consumo Directo</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Consumo gratuito.</w:t>
            </w:r>
          </w:p>
        </w:tc>
      </w:tr>
      <w:tr>
        <w:tc>
          <w:tcPr>
            <w:tcMar>
              <w:top w:type="dxa" w:w="80"/>
              <w:left w:type="dxa" w:w="100"/>
              <w:bottom w:type="dxa" w:w="80"/>
              <w:right w:type="dxa" w:w="100"/>
            </w:tcMar>
          </w:tcPr>
          <w:p>
            <w:pPr>
              <w:jc w:val="left"/>
            </w:pPr>
            <w:r>
              <w:rPr>
                <w:rFonts w:ascii="Calibri" w:cs="Calibri" w:eastAsia="Calibri" w:hAnsi="Calibri"/>
                <w:b/>
                <w:bCs/>
                <w:color w:val="1A1A1A"/>
                <w:sz w:val="19"/>
                <w:szCs w:val="19"/>
              </w:rPr>
              <w:t xml:space="preserve">Stripe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Porcentaje de Cobro</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Variable</w:t>
            </w:r>
          </w:p>
        </w:tc>
        <w:tc>
          <w:tcP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Comisión de 1.4% + 0.25€ por transacción exitosa.</w:t>
            </w:r>
          </w:p>
        </w:tc>
      </w:tr>
      <w:tr>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TOTAL OPERATIVO FIJO</w:t>
            </w:r>
          </w:p>
        </w:tc>
        <w:tc>
          <w:tcPr>
            <w:shd w:fill="6C3FC8"/>
            <w:tcMar>
              <w:top w:type="dxa" w:w="80"/>
              <w:left w:type="dxa" w:w="100"/>
              <w:bottom w:type="dxa" w:w="80"/>
              <w:right w:type="dxa" w:w="100"/>
            </w:tcMar>
          </w:tcPr>
          <w:p>
            <w:pPr>
              <w:jc w:val="left"/>
            </w:pPr>
            <w:r>
              <w:rPr>
                <w:rFonts w:ascii="Calibri" w:cs="Calibri" w:eastAsia="Calibri" w:hAnsi="Calibri"/>
                <w:b w:val="false"/>
                <w:bCs w:val="false"/>
                <w:color w:val="FFFFFF"/>
                <w:sz w:val="20"/>
                <w:szCs w:val="20"/>
              </w:rPr>
              <w:t xml:space="preserve"/>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~124.75€ / mes</w:t>
            </w:r>
          </w:p>
        </w:tc>
        <w:tc>
          <w:tcPr>
            <w:shd w:fill="6C3FC8"/>
            <w:tcMar>
              <w:top w:type="dxa" w:w="80"/>
              <w:left w:type="dxa" w:w="100"/>
              <w:bottom w:type="dxa" w:w="80"/>
              <w:right w:type="dxa" w:w="100"/>
            </w:tcMar>
          </w:tcPr>
          <w:p>
            <w:pPr>
              <w:jc w:val="left"/>
            </w:pPr>
            <w:r>
              <w:rPr>
                <w:rFonts w:ascii="Calibri" w:cs="Calibri" w:eastAsia="Calibri" w:hAnsi="Calibri"/>
                <w:b/>
                <w:bCs/>
                <w:color w:val="FFFFFF"/>
                <w:sz w:val="20"/>
                <w:szCs w:val="20"/>
              </w:rPr>
              <w:t xml:space="preserve">Estructura altamente optimizada.</w:t>
            </w:r>
          </w:p>
        </w:tc>
      </w:tr>
    </w:tbl>
    <w:p>
      <w:pPr>
        <w:spacing w:after="60" w:before="40"/>
        <w:jc w:val="left"/>
      </w:pPr>
      <w:r>
        <w:rPr>
          <w:rFonts w:ascii="Calibri" w:cs="Calibri" w:eastAsia="Calibri" w:hAnsi="Calibri"/>
          <w:b w:val="false"/>
          <w:bCs w:val="false"/>
          <w:i w:val="false"/>
          <w:iCs w:val="false"/>
          <w:color w:val="1A1A1A"/>
          <w:sz w:val="21"/>
          <w:szCs w:val="21"/>
        </w:rPr>
        <w:t xml:space="preserve">La estructura es altamente eficiente, permitiendo albergar a múltiples entrenadores con un coste operativo extremadamente optimizado.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2026-06-13T12:23:47.545Z</dcterms:created>
  <dcterms:modified xsi:type="dcterms:W3CDTF">2026-06-13T12:23:47.546Z</dcterms:modified>
</cp:coreProperties>
</file>

<file path=docProps/custom.xml><?xml version="1.0" encoding="utf-8"?>
<Properties xmlns="http://schemas.openxmlformats.org/officeDocument/2006/custom-properties" xmlns:vt="http://schemas.openxmlformats.org/officeDocument/2006/docPropsVTypes"/>
</file>