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80"/>
        <w:jc w:val="center"/>
      </w:pPr>
      <w:r>
        <w:rPr>
          <w:rFonts w:ascii="Arial" w:cs="Arial" w:eastAsia="Arial" w:hAnsi="Arial"/>
          <w:b/>
          <w:bCs/>
          <w:color w:val="1F3864"/>
          <w:sz w:val="44"/>
          <w:szCs w:val="44"/>
        </w:rPr>
        <w:t xml:space="preserve">REPORTE FINAL DE PRUEBAS DE SOFTWARE</w:t>
      </w:r>
    </w:p>
    <w:p>
      <w:pPr>
        <w:pBdr>
          <w:bottom w:val="single" w:color="2E75B6" w:sz="8" w:space="8"/>
        </w:pBdr>
        <w:spacing w:after="400"/>
        <w:jc w:val="center"/>
      </w:pPr>
      <w:r>
        <w:rPr>
          <w:rFonts w:ascii="Arial" w:cs="Arial" w:eastAsia="Arial" w:hAnsi="Arial"/>
          <w:color w:val="2E75B6"/>
          <w:sz w:val="30"/>
          <w:szCs w:val="30"/>
        </w:rPr>
        <w:t xml:space="preserve">Sistema Adaptativo de Funciones en Algoritmia Básica — SAFAB</w:t>
      </w:r>
    </w:p>
    <w:p>
      <w:pPr>
        <w:spacing w:after="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Integrantes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Alejandro Acosta</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Asignatura</w:t>
            </w:r>
          </w:p>
        </w:tc>
        <w:tc>
          <w:tcPr>
            <w:tcW w:type="dxa" w:w="4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Ingeniería de Software 3</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Repositorio</w:t>
            </w:r>
          </w:p>
        </w:tc>
        <w:tc>
          <w:tcPr>
            <w:tcW w:type="dxa" w:w="4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pruebas-acosta-higuita</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Fecha de entrega</w:t>
            </w:r>
          </w:p>
        </w:tc>
        <w:tc>
          <w:tcPr>
            <w:tcW w:type="dxa" w:w="4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Junio 5, 2026</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Versión</w:t>
            </w:r>
          </w:p>
        </w:tc>
        <w:tc>
          <w:tcPr>
            <w:tcW w:type="dxa" w:w="4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1.0 — Final</w:t>
            </w:r>
          </w:p>
        </w:tc>
      </w:tr>
    </w:tbl>
    <w:p>
      <w:r>
        <w:br w:type="page"/>
      </w:r>
    </w:p>
    <w:p>
      <w:pPr>
        <w:pStyle w:val="Heading1"/>
        <w:spacing w:after="60" w:before="360"/>
      </w:pPr>
      <w:r>
        <w:rPr>
          <w:rFonts w:ascii="Arial" w:cs="Arial" w:eastAsia="Arial" w:hAnsi="Arial"/>
          <w:b/>
          <w:bCs/>
          <w:color w:val="1F3864"/>
          <w:sz w:val="32"/>
          <w:szCs w:val="32"/>
        </w:rPr>
        <w:t xml:space="preserve">1. Resumen Ejecutivo</w:t>
      </w:r>
    </w:p>
    <w:p>
      <w:pPr>
        <w:pBdr>
          <w:bottom w:val="single" w:color="2E75B6" w:sz="6" w:space="1"/>
        </w:pBdr>
        <w:spacing w:after="120"/>
      </w:pPr>
      <w:r>
        <w:t xml:space="preserve"/>
      </w:r>
    </w:p>
    <w:p>
      <w:pPr>
        <w:spacing w:after="160"/>
        <w:jc w:val="left"/>
      </w:pPr>
      <w:r>
        <w:rPr>
          <w:rFonts w:ascii="Arial" w:cs="Arial" w:eastAsia="Arial" w:hAnsi="Arial"/>
          <w:b w:val="false"/>
          <w:bCs w:val="false"/>
          <w:color w:val="404040"/>
          <w:sz w:val="22"/>
          <w:szCs w:val="22"/>
        </w:rPr>
        <w:t xml:space="preserve">Este documento consolida los resultados de las pruebas de software ejecutadas sobre SAFAB (Sistema Adaptativo de Funciones en Algoritmia Básica), una aplicación web educativa desarrollada durante el semestre anterior. Las pruebas se realizaron en seis fases durante un periodo aproximado de 25 horas de trabajo conjunto.</w:t>
      </w:r>
    </w:p>
    <w:p>
      <w:pPr>
        <w:spacing w:after="60"/>
      </w:pPr>
      <w:r>
        <w:t xml:space="preserve"/>
      </w:r>
    </w:p>
    <w:p>
      <w:pPr>
        <w:spacing w:after="160"/>
        <w:jc w:val="left"/>
      </w:pPr>
      <w:r>
        <w:rPr>
          <w:rFonts w:ascii="Arial" w:cs="Arial" w:eastAsia="Arial" w:hAnsi="Arial"/>
          <w:b w:val="false"/>
          <w:bCs w:val="false"/>
          <w:color w:val="404040"/>
          <w:sz w:val="22"/>
          <w:szCs w:val="22"/>
        </w:rPr>
        <w:t xml:space="preserve">El sistema fue evaluado mediante pruebas unitarias (JUnit 5), pruebas funcionales automatizadas (Selenium IDE), pruebas de API (Postman), pruebas de integridad de base de datos (HeidiSQL) y pruebas de seguridad (OWASP ZAP). Como resultado se identificaron tres defectos funcionales y cinco vulnerabilidades de seguridad, todos documentados en las secciones siguientes.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Métrica</w:t>
            </w:r>
          </w:p>
        </w:tc>
        <w:tc>
          <w:tcPr>
            <w:tcW w:type="dxa" w:w="31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Valor</w:t>
            </w:r>
          </w:p>
        </w:tc>
        <w:tc>
          <w:tcPr>
            <w:tcW w:type="dxa" w:w="312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Observación</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Total casos de prueba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15</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Distribuidos en 3 módulos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Pruebas unitarias JUnit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30 pruebas — BUILD SUCCESS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100 % en verde</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Pruebas funcionales Selenium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8 scripts grabados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Limitación por compatibilidad con React</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Pruebas de API Postman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13 requests ejecutados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10 OK — 3 con error 500</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Pruebas de base de datos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3 scripts SQL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COMMIT y ROLLBACK validados</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Vulnerabilidades ZAP</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5 alertas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0 Altas — 2 Medias — 2 Bajas — 1 Informativa</w:t>
            </w:r>
          </w:p>
        </w:tc>
      </w:tr>
      <w:tr>
        <w:tc>
          <w:tcPr>
            <w:tcW w:type="dxa" w:w="312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Bugs reportados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3</w:t>
            </w:r>
          </w:p>
        </w:tc>
        <w:tc>
          <w:tcPr>
            <w:tcW w:type="dxa" w:w="31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Severidades: Alta (1), Media (1), Baja (1)</w:t>
            </w:r>
          </w:p>
        </w:tc>
      </w:tr>
    </w:tbl>
    <w:p>
      <w:pPr>
        <w:spacing w:after="120"/>
      </w:pPr>
      <w:r>
        <w:t xml:space="preserve"/>
      </w:r>
    </w:p>
    <w:p>
      <w:pPr>
        <w:pStyle w:val="Heading1"/>
        <w:spacing w:after="60" w:before="360"/>
      </w:pPr>
      <w:r>
        <w:rPr>
          <w:rFonts w:ascii="Arial" w:cs="Arial" w:eastAsia="Arial" w:hAnsi="Arial"/>
          <w:b/>
          <w:bCs/>
          <w:color w:val="1F3864"/>
          <w:sz w:val="32"/>
          <w:szCs w:val="32"/>
        </w:rPr>
        <w:t xml:space="preserve">2. Información del Sistema</w:t>
      </w:r>
    </w:p>
    <w:p>
      <w:pPr>
        <w:pBdr>
          <w:bottom w:val="single" w:color="2E75B6" w:sz="6"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Detalle</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Nombre del sistema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SAFAB — Sistema Adaptativo de Funciones en Algoritmia Básica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Descripción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Aplicación web educativa para la práctica y evaluación de algoritmia básica mediante preguntas y pruebas adaptativas.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Backend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Java 17 + Jakarta Servlets + Hibernate/JPA — WAR desplegado en Apache Tomcat 10</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Frontend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React 18 + Vite — servido en http://localhost:5173</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Base de datos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MySQL 8.0 — Puerto 3307 — Base de datos: empresa_db</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Autenticación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JWT (JSON Web Token) + BCrypt para cifrado de contraseñas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URL backend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http://localhost:8080/appeducativa-backend</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Tablas principales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usuarios, roles, tipos_preguntas, preguntas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Módulos probados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Login | Módulo Maestro (Tipo Pregunta + Pregunta) | Módulo Transaccional (Pregunta como operación)</w:t>
            </w:r>
          </w:p>
        </w:tc>
      </w:tr>
    </w:tbl>
    <w:p>
      <w:pPr>
        <w:spacing w:after="200"/>
      </w:pPr>
      <w:r>
        <w:t xml:space="preserve"/>
      </w:r>
    </w:p>
    <w:p>
      <w:pPr>
        <w:pStyle w:val="Heading1"/>
        <w:spacing w:after="60" w:before="360"/>
      </w:pPr>
      <w:r>
        <w:rPr>
          <w:rFonts w:ascii="Arial" w:cs="Arial" w:eastAsia="Arial" w:hAnsi="Arial"/>
          <w:b/>
          <w:bCs/>
          <w:color w:val="1F3864"/>
          <w:sz w:val="32"/>
          <w:szCs w:val="32"/>
        </w:rPr>
        <w:t xml:space="preserve">3. Resultados por Fase</w:t>
      </w:r>
    </w:p>
    <w:p>
      <w:pPr>
        <w:pBdr>
          <w:bottom w:val="single" w:color="2E75B6" w:sz="6" w:space="1"/>
        </w:pBdr>
        <w:spacing w:after="120"/>
      </w:pPr>
      <w:r>
        <w:t xml:space="preserve"/>
      </w:r>
    </w:p>
    <w:p>
      <w:pPr>
        <w:pStyle w:val="Heading2"/>
        <w:spacing w:after="60" w:before="240"/>
      </w:pPr>
      <w:r>
        <w:rPr>
          <w:rFonts w:ascii="Arial" w:cs="Arial" w:eastAsia="Arial" w:hAnsi="Arial"/>
          <w:b/>
          <w:bCs/>
          <w:color w:val="2E75B6"/>
          <w:sz w:val="26"/>
          <w:szCs w:val="26"/>
        </w:rPr>
        <w:t xml:space="preserve">3.1 Fase 1 — Planificación y Criterios de Aceptación</w:t>
      </w:r>
    </w:p>
    <w:p>
      <w:pPr>
        <w:spacing w:after="160"/>
        <w:jc w:val="left"/>
      </w:pPr>
      <w:r>
        <w:rPr>
          <w:rFonts w:ascii="Arial" w:cs="Arial" w:eastAsia="Arial" w:hAnsi="Arial"/>
          <w:b w:val="false"/>
          <w:bCs w:val="false"/>
          <w:color w:val="404040"/>
          <w:sz w:val="22"/>
          <w:szCs w:val="22"/>
        </w:rPr>
        <w:t xml:space="preserve">Se elaboró el plan de pruebas completo y 22 criterios de aceptación distribuidos entre los tres módulos del sistema, siguiendo el formato: Dado [contexto], cuando [acción], entonces [resultado esperado]. Ambos artefactos se encuentran en la carpeta 01-planificacion/ del repositorio.</w:t>
      </w:r>
    </w:p>
    <w:p>
      <w:pPr>
        <w:spacing w:after="60"/>
      </w:pPr>
      <w:r>
        <w:t xml:space="preserve"/>
      </w:r>
    </w:p>
    <w:p>
      <w:pPr>
        <w:pStyle w:val="Heading2"/>
        <w:spacing w:after="60" w:before="240"/>
      </w:pPr>
      <w:r>
        <w:rPr>
          <w:rFonts w:ascii="Arial" w:cs="Arial" w:eastAsia="Arial" w:hAnsi="Arial"/>
          <w:b/>
          <w:bCs/>
          <w:color w:val="2E75B6"/>
          <w:sz w:val="26"/>
          <w:szCs w:val="26"/>
        </w:rPr>
        <w:t xml:space="preserve">3.2 Fase 2 — Pruebas Unitarias con JUnit 5</w:t>
      </w:r>
    </w:p>
    <w:p>
      <w:pPr>
        <w:spacing w:after="160"/>
        <w:jc w:val="left"/>
      </w:pPr>
      <w:r>
        <w:rPr>
          <w:rFonts w:ascii="Arial" w:cs="Arial" w:eastAsia="Arial" w:hAnsi="Arial"/>
          <w:b w:val="false"/>
          <w:bCs w:val="false"/>
          <w:color w:val="404040"/>
          <w:sz w:val="22"/>
          <w:szCs w:val="22"/>
        </w:rPr>
        <w:t xml:space="preserve">Se implementaron 30 pruebas unitarias distribuidas en tres clases: LoginServiceTest, TipoPreguntaServiceTest y PreguntasServiceTest. Todas las pruebas fueron ejecutadas con Maven y el resultado fue BUILD SUCCESS con 30/30 pruebas en verde. Las pruebas cubrieron validaciones de credenciales, manejo de tokens JWT, validaciones de campos obligatorios y reglas de negocio del módulo transaccional.</w:t>
      </w:r>
    </w:p>
    <w:p>
      <w:pPr>
        <w:spacing w:after="60"/>
      </w:pPr>
      <w:r>
        <w:t xml:space="preserve"/>
      </w:r>
    </w:p>
    <w:p>
      <w:pPr>
        <w:pStyle w:val="Heading2"/>
        <w:spacing w:after="60" w:before="240"/>
      </w:pPr>
      <w:r>
        <w:rPr>
          <w:rFonts w:ascii="Arial" w:cs="Arial" w:eastAsia="Arial" w:hAnsi="Arial"/>
          <w:b/>
          <w:bCs/>
          <w:color w:val="2E75B6"/>
          <w:sz w:val="26"/>
          <w:szCs w:val="26"/>
        </w:rPr>
        <w:t xml:space="preserve">3.3 Fase 3 — Pruebas Funcionales con Selenium IDE</w:t>
      </w:r>
    </w:p>
    <w:p>
      <w:pPr>
        <w:spacing w:after="160"/>
        <w:jc w:val="left"/>
      </w:pPr>
      <w:r>
        <w:rPr>
          <w:rFonts w:ascii="Arial" w:cs="Arial" w:eastAsia="Arial" w:hAnsi="Arial"/>
          <w:b w:val="false"/>
          <w:bCs w:val="false"/>
          <w:color w:val="404040"/>
          <w:sz w:val="22"/>
          <w:szCs w:val="22"/>
        </w:rPr>
        <w:t xml:space="preserve">Se grabaron 8 scripts de prueba en Selenium IDE cubriendo los flujos principales de los tres módulos. Durante la ejecución automatizada se identificó una limitación técnica: los inputs de React gestionan el estado internamente mediante eventos sintéticos, lo que impide que el comando send keys de Selenium IDE actualice el valor real del campo. Esto causó que 6 de 8 pruebas fallaran en la reproducción automática, aunque los flujos fueron ejecutados y validados manualmente con capturas de evidencia. Este comportamiento fue documentado como BUG-003.</w:t>
      </w:r>
    </w:p>
    <w:p>
      <w:pPr>
        <w:spacing w:after="60"/>
      </w:pPr>
      <w:r>
        <w:t xml:space="preserve"/>
      </w:r>
    </w:p>
    <w:p>
      <w:pPr>
        <w:pStyle w:val="Heading2"/>
        <w:spacing w:after="60" w:before="240"/>
      </w:pPr>
      <w:r>
        <w:rPr>
          <w:rFonts w:ascii="Arial" w:cs="Arial" w:eastAsia="Arial" w:hAnsi="Arial"/>
          <w:b/>
          <w:bCs/>
          <w:color w:val="2E75B6"/>
          <w:sz w:val="26"/>
          <w:szCs w:val="26"/>
        </w:rPr>
        <w:t xml:space="preserve">3.4 Fase 4 — Pruebas de API con Postman</w:t>
      </w:r>
    </w:p>
    <w:p>
      <w:pPr>
        <w:spacing w:after="160"/>
        <w:jc w:val="left"/>
      </w:pPr>
      <w:r>
        <w:rPr>
          <w:rFonts w:ascii="Arial" w:cs="Arial" w:eastAsia="Arial" w:hAnsi="Arial"/>
          <w:b w:val="false"/>
          <w:bCs w:val="false"/>
          <w:color w:val="404040"/>
          <w:sz w:val="22"/>
          <w:szCs w:val="22"/>
        </w:rPr>
        <w:t xml:space="preserve">Se ejecutaron 13 requests organizados en tres carpetas: Login (3), Tipo Pregunta — Maestro (5) y Pregunta — Transaccional (5). Los módulos de Login y Tipo Pregunta respondieron correctamente en todos los casos. En el módulo de Pregunta se detectaron errores 500 en las operaciones de creación y edición, originados por el manejo incorrecto del objeto anidado tipoPregunta en el servlet del backend. Este defecto fue documentado como BUG-002.</w:t>
      </w:r>
    </w:p>
    <w:p>
      <w:pPr>
        <w:spacing w:after="60"/>
      </w:pPr>
      <w:r>
        <w:t xml:space="preserve"/>
      </w:r>
    </w:p>
    <w:p>
      <w:pPr>
        <w:pStyle w:val="Heading2"/>
        <w:spacing w:after="60" w:before="240"/>
      </w:pPr>
      <w:r>
        <w:rPr>
          <w:rFonts w:ascii="Arial" w:cs="Arial" w:eastAsia="Arial" w:hAnsi="Arial"/>
          <w:b/>
          <w:bCs/>
          <w:color w:val="2E75B6"/>
          <w:sz w:val="26"/>
          <w:szCs w:val="26"/>
        </w:rPr>
        <w:t xml:space="preserve">3.5 Fase 5 — Pruebas de Base de Datos</w:t>
      </w:r>
    </w:p>
    <w:p>
      <w:pPr>
        <w:spacing w:after="160"/>
        <w:jc w:val="left"/>
      </w:pPr>
      <w:r>
        <w:rPr>
          <w:rFonts w:ascii="Arial" w:cs="Arial" w:eastAsia="Arial" w:hAnsi="Arial"/>
          <w:b w:val="false"/>
          <w:bCs w:val="false"/>
          <w:color w:val="404040"/>
          <w:sz w:val="22"/>
          <w:szCs w:val="22"/>
        </w:rPr>
        <w:t xml:space="preserve">Se ejecutaron tres scripts SQL en HeidiSQL sobre la base de datos empresa_db. El script de datos de prueba insertó registros controlados en las tablas usuarios, tipos_preguntas y preguntas. El script de integridad verificó la consistencia referencial y la ausencia de registros huérfanos, obteniendo 0 inconsistencias. El script de transacciones validó el comportamiento atómico de COMMIT y ROLLBACK correctamente.</w:t>
      </w:r>
    </w:p>
    <w:p>
      <w:pPr>
        <w:spacing w:after="60"/>
      </w:pPr>
      <w:r>
        <w:t xml:space="preserve"/>
      </w:r>
    </w:p>
    <w:p>
      <w:pPr>
        <w:pStyle w:val="Heading2"/>
        <w:spacing w:after="60" w:before="240"/>
      </w:pPr>
      <w:r>
        <w:rPr>
          <w:rFonts w:ascii="Arial" w:cs="Arial" w:eastAsia="Arial" w:hAnsi="Arial"/>
          <w:b/>
          <w:bCs/>
          <w:color w:val="2E75B6"/>
          <w:sz w:val="26"/>
          <w:szCs w:val="26"/>
        </w:rPr>
        <w:t xml:space="preserve">3.6 Fase 6 — Pruebas de Seguridad con OWASP ZAP</w:t>
      </w:r>
    </w:p>
    <w:p>
      <w:pPr>
        <w:spacing w:after="160"/>
        <w:jc w:val="left"/>
      </w:pPr>
      <w:r>
        <w:rPr>
          <w:rFonts w:ascii="Arial" w:cs="Arial" w:eastAsia="Arial" w:hAnsi="Arial"/>
          <w:b w:val="false"/>
          <w:bCs w:val="false"/>
          <w:color w:val="404040"/>
          <w:sz w:val="22"/>
          <w:szCs w:val="22"/>
        </w:rPr>
        <w:t xml:space="preserve">Se realizó un escaneo automatizado sobre http://localhost:8080/appeducativa-backend utilizando OWASP ZAP 2.17.0. El escaneo detectó 5 alertas: 2 de nivel Medio, 2 de nivel Bajo y 1 Informativa. No se encontraron vulnerabilidades de nivel Alto. Los detalles y propuestas de solución se presentan en la Sección 5 de este reporte.</w:t>
      </w:r>
    </w:p>
    <w:p>
      <w:pPr>
        <w:spacing w:after="200"/>
      </w:pPr>
      <w:r>
        <w:t xml:space="preserve"/>
      </w:r>
    </w:p>
    <w:p>
      <w:pPr>
        <w:pStyle w:val="Heading1"/>
        <w:spacing w:after="60" w:before="360"/>
      </w:pPr>
      <w:r>
        <w:rPr>
          <w:rFonts w:ascii="Arial" w:cs="Arial" w:eastAsia="Arial" w:hAnsi="Arial"/>
          <w:b/>
          <w:bCs/>
          <w:color w:val="1F3864"/>
          <w:sz w:val="32"/>
          <w:szCs w:val="32"/>
        </w:rPr>
        <w:t xml:space="preserve">4. Reporte de Defectos (Bugs)</w:t>
      </w:r>
    </w:p>
    <w:p>
      <w:pPr>
        <w:pBdr>
          <w:bottom w:val="single" w:color="2E75B6" w:sz="6" w:space="1"/>
        </w:pBdr>
        <w:spacing w:after="120"/>
      </w:pPr>
      <w:r>
        <w:t xml:space="preserve"/>
      </w:r>
    </w:p>
    <w:p>
      <w:pPr>
        <w:pStyle w:val="Heading2"/>
        <w:spacing w:after="60" w:before="240"/>
      </w:pPr>
      <w:r>
        <w:rPr>
          <w:rFonts w:ascii="Arial" w:cs="Arial" w:eastAsia="Arial" w:hAnsi="Arial"/>
          <w:b/>
          <w:bCs/>
          <w:color w:val="2E75B6"/>
          <w:sz w:val="26"/>
          <w:szCs w:val="26"/>
        </w:rPr>
        <w:t xml:space="preserve">BUG-001 — Login con campos vacíos no muestra mensaje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Valor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ID del bug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BUG-001</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El formulario de login no valida campos vacíos en el frontend</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Módulo afectado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Login</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Severidad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Media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Estado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Abierto</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Reportado por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Alejandro Acosta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Fecha de reporte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5 de junio de 2026 — 01:00 a.m.</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Caso de prueba relacionado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CP-004</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Descripción del defecto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Cuando el usuario deja ambos campos (usuario y contraseña) vacíos y hace clic en el botón Ingresar, el sistema no muestra ningún mensaje de validación ni alerta al usuario. El formulario simplemente no ejecuta ninguna acción visible, sin retroalimentación al usuario.</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Pasos para reproducir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 Abrir http://localhost:5173 en el navegador.
2. Dejar el campo Usuario vacío.
3. Dejar el campo Contraseña vacío.
4. Hacer clic en el botón Ingresar.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Resultado esperado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El sistema debe mostrar un mensaje de validación indicando que los campos son obligatorios, sin enviar la petición al backend.</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Resultado actual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El sistema no hace nada visible. No se muestra ningún mensaje de error ni alerta al usuario. El botón parece no responder.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Evidencia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CP-004-login-campos-vacios.png (carpeta 03-pruebas-funcionales/evidencias/)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Propuesta de solución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Agregar validación en el componente Login.jsx de React para verificar que ambos campos tengan contenido antes de llamar al servicio de autenticación. Mostrar un mensaje de error inline (p. ej. 'El usuario y la contraseña son obligatorios') usando el estado del componente.</w:t>
            </w:r>
          </w:p>
        </w:tc>
      </w:tr>
    </w:tbl>
    <w:p>
      <w:pPr>
        <w:spacing w:after="160"/>
      </w:pPr>
      <w:r>
        <w:t xml:space="preserve"/>
      </w:r>
    </w:p>
    <w:p>
      <w:pPr>
        <w:pStyle w:val="Heading2"/>
        <w:spacing w:after="60" w:before="240"/>
      </w:pPr>
      <w:r>
        <w:rPr>
          <w:rFonts w:ascii="Arial" w:cs="Arial" w:eastAsia="Arial" w:hAnsi="Arial"/>
          <w:b/>
          <w:bCs/>
          <w:color w:val="2E75B6"/>
          <w:sz w:val="26"/>
          <w:szCs w:val="26"/>
        </w:rPr>
        <w:t xml:space="preserve">BUG-002 — Crear/Editar Pregunta retorna error 500 por JSON anidado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Valor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ID del bug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BUG-002</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El endpoint POST/PUT /api/pregunta retorna 500 al recibir tipoPregunta como objeto anidado</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Módulo afectado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Módulo Transaccional — Pregunta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Severidad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Estado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Abierto</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Reportado por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Alejandro Acosta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Fecha de reporte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5 de junio de 2026 — 01:00 a.m.</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Caso de prueba relacionado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CP-011 / CP-008 (API)</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Descripción del defecto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 realizar una petición POST o PUT al endpoint /api/pregunta con el cuerpo JSON que incluye el objeto tipoPregunta como objeto anidado ({"id": 2}), el servidor responde con HTTP 500 Internal Server Error en lugar del esperado 201 Created o 200 OK.</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Pasos para reproducir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 Autenticarse y obtener el token JWT mediante POST /login.
2. Enviar la siguiente petición en Postman:
   POST http://localhost:8080/appeducativa-backend/api/pregunta
   Body: {"enunciado": "¿Una variable puede almacenar distintos tipos en Python?", "tipoPregunta": {"id": 2}}
3. Observar la respuesta del servidor.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Resultado esperado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HTTP 201 Created con el objeto pregunta creado, incluyendo el id generado por la base de datos.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Resultado actual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HTTP 500 Internal Server Error. El servlet lanza una excepción al intentar deserializar el objeto anidado tipoPregunta desde el JSON de la petición.</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Evidencia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api-pregunta-crear-500.png (carpeta 04-pruebas-api/evidencias/)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Propuesta de solución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Revisar el PreguntasServlet.java en el método doPost y doPut. Extraer únicamente el ID del objeto tipoPregunta del JSON (tipoPregunta.id) y realizar la búsqueda de la entidad en la base de datos mediante el EntityManager antes de asignarla a la pregunta. Alternativamente, recibir solo el campo tipoPreguntaId como número entero en lugar de un objeto anidado, y construir la referencia en el servlet.</w:t>
            </w:r>
          </w:p>
        </w:tc>
      </w:tr>
    </w:tbl>
    <w:p>
      <w:pPr>
        <w:spacing w:after="160"/>
      </w:pPr>
      <w:r>
        <w:t xml:space="preserve"/>
      </w:r>
    </w:p>
    <w:p>
      <w:pPr>
        <w:pStyle w:val="Heading2"/>
        <w:spacing w:after="60" w:before="240"/>
      </w:pPr>
      <w:r>
        <w:rPr>
          <w:rFonts w:ascii="Arial" w:cs="Arial" w:eastAsia="Arial" w:hAnsi="Arial"/>
          <w:b/>
          <w:bCs/>
          <w:color w:val="2E75B6"/>
          <w:sz w:val="26"/>
          <w:szCs w:val="26"/>
        </w:rPr>
        <w:t xml:space="preserve">BUG-003 — Selenium IDE no interactúa correctamente con inputs de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Valor</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ID del bug</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BUG-003</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Selenium IDE no puede automatizar inputs controlados de React — 6 de 8 tests fallan en ejecución</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Módulo afectado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Login / Módulo Maestro / Módulo Transaccional (todos los formularios)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Severidad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Baja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Media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Estado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Abierto</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Reportado por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Alejandro Acosta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Fecha de reporte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5 de junio de 2026</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Caso de prueba relacionado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CP-001 al CP-008 (Selenium IDE)</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Descripción del defecto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Durante la ejecución automatizada de la suite de Selenium IDE, el comando send keys no logra actualizar el valor real de los campos de texto del formulario. Los inputs del frontend están construidos como componentes controlados de React (controlled inputs), cuyo valor es gestionado internamente por el estado del componente mediante useState. El send keys de Selenium modifica el DOM directamente sin disparar los eventos sintéticos de React (onChange), por lo que React no detecta el cambio y el campo permanece vacío desde la perspectiva del componente.</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Pasos para reproducir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 Abrir Selenium IDE con la suite selenium-suite.side cargada.
2. Ejecutar cualquier test que involucre escritura en un campo de texto (p. ej. CP-001 Login exitoso).
3. Observar que el campo aparece visualmente vacío durante la reproducción aunque Selenium envió el texto.</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Resultado esperado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Selenium IDE debe poder escribir en los campos y el sistema debe reconocer el texto ingresado para procesar el formulario correctamente.</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Resultado actual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Los campos aparecen vacíos para React. El formulario se envía sin datos o simplemente no responde, causando que el flujo del test falle. 6 de 8 tests fallan en ejecución automatizada.</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Evidencia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selenium-resultado-ejecucion.png (carpeta 03-pruebas-funcionales/evidencias/)</w:t>
            </w:r>
          </w:p>
        </w:tc>
      </w:tr>
      <w:tr>
        <w:tc>
          <w:tcPr>
            <w:tcW w:type="dxa" w:w="2800"/>
            <w:tcBorders>
              <w:top w:val="single" w:color="AAAAAA" w:sz="1"/>
              <w:left w:val="single" w:color="AAAAAA" w:sz="1"/>
              <w:bottom w:val="single" w:color="AAAAAA" w:sz="1"/>
              <w:right w:val="single" w:color="AAAAAA" w:sz="1"/>
            </w:tcBorders>
            <w:shd w:fill="BDD7EE"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Propuesta de solución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Migrar las pruebas funcionales automatizadas a una herramienta compatible con aplicaciones React, como Playwright o Cypress, que interactúan con el DOM a través de eventos nativos del navegador y son totalmente compatibles con el modelo de componentes controlados de React. Como alternativa temporal, los tests pueden ejecutarse con type command en lugar de send keys en Selenium IDE versiones más recientes.</w:t>
            </w:r>
          </w:p>
        </w:tc>
      </w:tr>
    </w:tbl>
    <w:p>
      <w:pPr>
        <w:spacing w:after="200"/>
      </w:pPr>
      <w:r>
        <w:t xml:space="preserve"/>
      </w:r>
    </w:p>
    <w:p>
      <w:pPr>
        <w:pStyle w:val="Heading1"/>
        <w:spacing w:after="60" w:before="360"/>
      </w:pPr>
      <w:r>
        <w:rPr>
          <w:rFonts w:ascii="Arial" w:cs="Arial" w:eastAsia="Arial" w:hAnsi="Arial"/>
          <w:b/>
          <w:bCs/>
          <w:color w:val="1F3864"/>
          <w:sz w:val="32"/>
          <w:szCs w:val="32"/>
        </w:rPr>
        <w:t xml:space="preserve">5. Vulnerabilidades de Seguridad — OWASP ZAP</w:t>
      </w:r>
    </w:p>
    <w:p>
      <w:pPr>
        <w:pBdr>
          <w:bottom w:val="single" w:color="2E75B6" w:sz="6" w:space="1"/>
        </w:pBdr>
        <w:spacing w:after="120"/>
      </w:pPr>
      <w:r>
        <w:t xml:space="preserve"/>
      </w:r>
    </w:p>
    <w:p>
      <w:pPr>
        <w:spacing w:after="160"/>
        <w:jc w:val="left"/>
      </w:pPr>
      <w:r>
        <w:rPr>
          <w:rFonts w:ascii="Arial" w:cs="Arial" w:eastAsia="Arial" w:hAnsi="Arial"/>
          <w:b w:val="false"/>
          <w:bCs w:val="false"/>
          <w:color w:val="404040"/>
          <w:sz w:val="22"/>
          <w:szCs w:val="22"/>
        </w:rPr>
        <w:t xml:space="preserve">El escaneo automatizado se realizó el viernes 5 de junio de 2026 a la 01:29 a.m. con OWASP ZAP 2.17.0 sobre la URL http://localhost:8080/appeducativa-backend. No se encontraron vulnerabilidades de nivel Alto. A continuación se presentan los cinco hallazgos con su nivel de riesgo y propuesta de corrección.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800"/>
        <w:gridCol w:w="800"/>
        <w:gridCol w:w="2880"/>
        <w:gridCol w:w="228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Vulnerabilidad</w:t>
            </w:r>
          </w:p>
        </w:tc>
        <w:tc>
          <w:tcPr>
            <w:tcW w:type="dxa" w:w="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Nivel</w:t>
            </w:r>
          </w:p>
        </w:tc>
        <w:tc>
          <w:tcPr>
            <w:tcW w:type="dxa" w:w="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CWE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Descripción</w:t>
            </w:r>
          </w:p>
        </w:tc>
        <w:tc>
          <w:tcPr>
            <w:tcW w:type="dxa" w:w="228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Propuesta de solución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VUL-001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Cabecera Content Security Policy (CSP) no configurada</w:t>
            </w:r>
          </w:p>
        </w:tc>
        <w:tc>
          <w:tcPr>
            <w:tcW w:type="dxa" w:w="800"/>
            <w:tcBorders>
              <w:top w:val="single" w:color="AAAAAA" w:sz="1"/>
              <w:left w:val="single" w:color="AAAAAA" w:sz="1"/>
              <w:bottom w:val="single" w:color="AAAAAA" w:sz="1"/>
              <w:right w:val="single" w:color="AAAAAA" w:sz="1"/>
            </w:tcBorders>
            <w:shd w:fill="FFE6CC" w:val="clear"/>
            <w:tcMar>
              <w:top w:type="dxa" w:w="80"/>
              <w:left w:type="dxa" w:w="140"/>
              <w:bottom w:type="dxa" w:w="80"/>
              <w:right w:type="dxa" w:w="140"/>
            </w:tcMar>
            <w:vAlign w:val="center"/>
          </w:tcPr>
          <w:p>
            <w:pPr>
              <w:jc w:val="center"/>
            </w:pPr>
            <w:r>
              <w:rPr>
                <w:rFonts w:ascii="Arial" w:cs="Arial" w:eastAsia="Arial" w:hAnsi="Arial"/>
                <w:b/>
                <w:bCs/>
                <w:color w:val="C55A11"/>
                <w:sz w:val="20"/>
                <w:szCs w:val="20"/>
              </w:rPr>
              <w:t xml:space="preserve">Medio</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CWE-693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El servidor no envía el header Content-Security-Policy. Esto expone la aplicación a ataques XSS e inyección de datos que pueden causar robo de información o distribución de malware.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Configurar el filtro HTTP del backend (CorsFilter o un nuevo SecurityHeadersFilter) para agregar el header: Content-Security-Policy: default-src 'self'</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VUL-002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Falta de cabecera Anti-Clickjacking (X-Frame-Options)</w:t>
            </w:r>
          </w:p>
        </w:tc>
        <w:tc>
          <w:tcPr>
            <w:tcW w:type="dxa" w:w="800"/>
            <w:tcBorders>
              <w:top w:val="single" w:color="AAAAAA" w:sz="1"/>
              <w:left w:val="single" w:color="AAAAAA" w:sz="1"/>
              <w:bottom w:val="single" w:color="AAAAAA" w:sz="1"/>
              <w:right w:val="single" w:color="AAAAAA" w:sz="1"/>
            </w:tcBorders>
            <w:shd w:fill="FFE6CC" w:val="clear"/>
            <w:tcMar>
              <w:top w:type="dxa" w:w="80"/>
              <w:left w:type="dxa" w:w="140"/>
              <w:bottom w:type="dxa" w:w="80"/>
              <w:right w:type="dxa" w:w="140"/>
            </w:tcMar>
            <w:vAlign w:val="center"/>
          </w:tcPr>
          <w:p>
            <w:pPr>
              <w:jc w:val="center"/>
            </w:pPr>
            <w:r>
              <w:rPr>
                <w:rFonts w:ascii="Arial" w:cs="Arial" w:eastAsia="Arial" w:hAnsi="Arial"/>
                <w:b/>
                <w:bCs/>
                <w:color w:val="C55A11"/>
                <w:sz w:val="20"/>
                <w:szCs w:val="20"/>
              </w:rPr>
              <w:t xml:space="preserve">Medio</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CWE-1021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La respuesta no incluye el header X-Frame-Options ni la directiva frame-ancestors en CSP. Esto permite que la aplicación sea embebida en un iframe malicioso para ataques de Clickjacking.</w:t>
            </w:r>
          </w:p>
        </w:tc>
        <w:tc>
          <w:tcPr>
            <w:tcW w:type="dxa" w:w="2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Agregar en el filtro del backend: X-Frame-Options: DENY (si no se requiere embeber la app) o X-Frame-Options: SAMEORIGIN para permitir solo el mismo dominio.</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VUL-003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Cookie JSESSIONID sin atributo SameSite</w:t>
            </w:r>
          </w:p>
        </w:tc>
        <w:tc>
          <w:tcPr>
            <w:tcW w:type="dxa" w:w="800"/>
            <w:tcBorders>
              <w:top w:val="single" w:color="AAAAAA" w:sz="1"/>
              <w:left w:val="single" w:color="AAAAAA" w:sz="1"/>
              <w:bottom w:val="single" w:color="AAAAAA" w:sz="1"/>
              <w:right w:val="single" w:color="AAAAAA" w:sz="1"/>
            </w:tcBorders>
            <w:shd w:fill="FFFACD" w:val="clear"/>
            <w:tcMar>
              <w:top w:type="dxa" w:w="80"/>
              <w:left w:type="dxa" w:w="140"/>
              <w:bottom w:type="dxa" w:w="80"/>
              <w:right w:type="dxa" w:w="140"/>
            </w:tcMar>
            <w:vAlign w:val="center"/>
          </w:tcPr>
          <w:p>
            <w:pPr>
              <w:jc w:val="center"/>
            </w:pPr>
            <w:r>
              <w:rPr>
                <w:rFonts w:ascii="Arial" w:cs="Arial" w:eastAsia="Arial" w:hAnsi="Arial"/>
                <w:b/>
                <w:bCs/>
                <w:color w:val="7F6000"/>
                <w:sz w:val="20"/>
                <w:szCs w:val="20"/>
              </w:rPr>
              <w:t xml:space="preserve">Bajo</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CWE-1275</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La cookie JSESSIONID es emitida sin el atributo SameSite. Esto permite que sea enviada en peticiones cross-site, facilitando ataques CSRF (Cross-Site Request Forgery).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En el archivo web.xml de Tomcat o en el filtro de sesiones, configurar el atributo SameSite=Strict o SameSite=Lax para la cookie de sesión.</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VUL-004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Falta encabezado X-Content-Type-Options</w:t>
            </w:r>
          </w:p>
        </w:tc>
        <w:tc>
          <w:tcPr>
            <w:tcW w:type="dxa" w:w="800"/>
            <w:tcBorders>
              <w:top w:val="single" w:color="AAAAAA" w:sz="1"/>
              <w:left w:val="single" w:color="AAAAAA" w:sz="1"/>
              <w:bottom w:val="single" w:color="AAAAAA" w:sz="1"/>
              <w:right w:val="single" w:color="AAAAAA" w:sz="1"/>
            </w:tcBorders>
            <w:shd w:fill="FFFACD" w:val="clear"/>
            <w:tcMar>
              <w:top w:type="dxa" w:w="80"/>
              <w:left w:type="dxa" w:w="140"/>
              <w:bottom w:type="dxa" w:w="80"/>
              <w:right w:type="dxa" w:w="140"/>
            </w:tcMar>
            <w:vAlign w:val="center"/>
          </w:tcPr>
          <w:p>
            <w:pPr>
              <w:jc w:val="center"/>
            </w:pPr>
            <w:r>
              <w:rPr>
                <w:rFonts w:ascii="Arial" w:cs="Arial" w:eastAsia="Arial" w:hAnsi="Arial"/>
                <w:b/>
                <w:bCs/>
                <w:color w:val="7F6000"/>
                <w:sz w:val="20"/>
                <w:szCs w:val="20"/>
              </w:rPr>
              <w:t xml:space="preserve">Bajo</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CWE-693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El servidor no incluye el header X-Content-Type-Options: nosniff. Esto permite que navegadores antiguos realicen MIME-sniffing y ejecuten contenido con un tipo diferente al declarado.</w:t>
            </w:r>
          </w:p>
        </w:tc>
        <w:tc>
          <w:tcPr>
            <w:tcW w:type="dxa" w:w="2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Agregar en el filtro del backend: response.setHeader("X-Content-Type-Options", "nosniff") para todas las respuestas HTTP.</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VUL-005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Respuesta de Gestión de Sesión Identificada (JSESSIONID)</w:t>
            </w:r>
          </w:p>
        </w:tc>
        <w:tc>
          <w:tcPr>
            <w:tcW w:type="dxa" w:w="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2E75B6"/>
                <w:sz w:val="20"/>
                <w:szCs w:val="20"/>
              </w:rPr>
              <w:t xml:space="preserve">Info</w:t>
            </w:r>
          </w:p>
        </w:tc>
        <w:tc>
          <w:tcPr>
            <w:tcW w:type="dxa" w:w="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N/A</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ZAP identificó que la aplicación utiliza JSESSIONID como token de gestión de sesión. Es una alerta informativa, no una vulnerabilidad en sí misma, pero indica que la sesión podría ser robada si no está protegida adecuadamente.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Verificar que la cookie tiene el flag HttpOnly activo (ya está configurado según el reporte). Considerar migrar a autenticación completamente stateless con JWT puro, eliminando la dependencia de JSESSIONID.</w:t>
            </w:r>
          </w:p>
        </w:tc>
      </w:tr>
    </w:tbl>
    <w:p>
      <w:pPr>
        <w:spacing w:after="200"/>
      </w:pPr>
      <w:r>
        <w:t xml:space="preserve"/>
      </w:r>
    </w:p>
    <w:p>
      <w:pPr>
        <w:pStyle w:val="Heading1"/>
        <w:spacing w:after="60" w:before="360"/>
      </w:pPr>
      <w:r>
        <w:rPr>
          <w:rFonts w:ascii="Arial" w:cs="Arial" w:eastAsia="Arial" w:hAnsi="Arial"/>
          <w:b/>
          <w:bCs/>
          <w:color w:val="1F3864"/>
          <w:sz w:val="32"/>
          <w:szCs w:val="32"/>
        </w:rPr>
        <w:t xml:space="preserve">6. Conclusiones y Lecciones Aprendidas</w:t>
      </w:r>
    </w:p>
    <w:p>
      <w:pPr>
        <w:pBdr>
          <w:bottom w:val="single" w:color="2E75B6" w:sz="6" w:space="1"/>
        </w:pBdr>
        <w:spacing w:after="120"/>
      </w:pPr>
      <w:r>
        <w:t xml:space="preserve"/>
      </w:r>
    </w:p>
    <w:p>
      <w:pPr>
        <w:spacing w:after="160"/>
        <w:jc w:val="left"/>
      </w:pPr>
      <w:r>
        <w:rPr>
          <w:rFonts w:ascii="Arial" w:cs="Arial" w:eastAsia="Arial" w:hAnsi="Arial"/>
          <w:b w:val="false"/>
          <w:bCs w:val="false"/>
          <w:color w:val="404040"/>
          <w:sz w:val="22"/>
          <w:szCs w:val="22"/>
        </w:rPr>
        <w:t xml:space="preserve">El proceso de pruebas ejecutado sobre SAFAB permitió identificar debilidades reales en el sistema que no habían sido detectadas durante el desarrollo inicial. A continuación se presentan las conclusiones más relevantes por área.</w:t>
      </w:r>
    </w:p>
    <w:p>
      <w:pPr>
        <w:spacing w:after="80"/>
      </w:pPr>
      <w:r>
        <w:t xml:space="preserve"/>
      </w:r>
    </w:p>
    <w:p>
      <w:pPr>
        <w:pStyle w:val="Heading2"/>
        <w:spacing w:after="60" w:before="240"/>
      </w:pPr>
      <w:r>
        <w:rPr>
          <w:rFonts w:ascii="Arial" w:cs="Arial" w:eastAsia="Arial" w:hAnsi="Arial"/>
          <w:b/>
          <w:bCs/>
          <w:color w:val="2E75B6"/>
          <w:sz w:val="26"/>
          <w:szCs w:val="26"/>
        </w:rPr>
        <w:t xml:space="preserve">Sobre las pruebas unitarias</w:t>
      </w:r>
    </w:p>
    <w:p>
      <w:pPr>
        <w:spacing w:after="160"/>
        <w:jc w:val="left"/>
      </w:pPr>
      <w:r>
        <w:rPr>
          <w:rFonts w:ascii="Arial" w:cs="Arial" w:eastAsia="Arial" w:hAnsi="Arial"/>
          <w:b w:val="false"/>
          <w:bCs w:val="false"/>
          <w:color w:val="404040"/>
          <w:sz w:val="22"/>
          <w:szCs w:val="22"/>
        </w:rPr>
        <w:t xml:space="preserve">Las 30 pruebas unitarias implementadas con JUnit 5 pasaron al 100 %, lo que indica que la lógica de negocio del backend es robusta en los escenarios cubiertos: autenticación, validación de tokens JWT, y operaciones CRUD de los servicios. La práctica de escribir pruebas unitarias antes de ejecutar pruebas de integración resultó ser fundamental para aislar y entender el comportamiento de cada componente.</w:t>
      </w:r>
    </w:p>
    <w:p>
      <w:pPr>
        <w:spacing w:after="80"/>
      </w:pPr>
      <w:r>
        <w:t xml:space="preserve"/>
      </w:r>
    </w:p>
    <w:p>
      <w:pPr>
        <w:pStyle w:val="Heading2"/>
        <w:spacing w:after="60" w:before="240"/>
      </w:pPr>
      <w:r>
        <w:rPr>
          <w:rFonts w:ascii="Arial" w:cs="Arial" w:eastAsia="Arial" w:hAnsi="Arial"/>
          <w:b/>
          <w:bCs/>
          <w:color w:val="2E75B6"/>
          <w:sz w:val="26"/>
          <w:szCs w:val="26"/>
        </w:rPr>
        <w:t xml:space="preserve">Sobre las pruebas funcionales</w:t>
      </w:r>
    </w:p>
    <w:p>
      <w:pPr>
        <w:spacing w:after="160"/>
        <w:jc w:val="left"/>
      </w:pPr>
      <w:r>
        <w:rPr>
          <w:rFonts w:ascii="Arial" w:cs="Arial" w:eastAsia="Arial" w:hAnsi="Arial"/>
          <w:b w:val="false"/>
          <w:bCs w:val="false"/>
          <w:color w:val="404040"/>
          <w:sz w:val="22"/>
          <w:szCs w:val="22"/>
        </w:rPr>
        <w:t xml:space="preserve">La principal lección aprendida en esta fase fue la limitación de Selenium IDE con aplicaciones React basadas en componentes controlados. Las herramientas de automatización de pruebas deben ser seleccionadas con base en la tecnología del frontend. Para proyectos futuros con React, la recomendación es utilizar Playwright o Cypress desde el inicio, ya que están diseñadas para interactuar con eventos del navegador de forma compatible con el modelo de estado de React.</w:t>
      </w:r>
    </w:p>
    <w:p>
      <w:pPr>
        <w:spacing w:after="80"/>
      </w:pPr>
      <w:r>
        <w:t xml:space="preserve"/>
      </w:r>
    </w:p>
    <w:p>
      <w:pPr>
        <w:pStyle w:val="Heading2"/>
        <w:spacing w:after="60" w:before="240"/>
      </w:pPr>
      <w:r>
        <w:rPr>
          <w:rFonts w:ascii="Arial" w:cs="Arial" w:eastAsia="Arial" w:hAnsi="Arial"/>
          <w:b/>
          <w:bCs/>
          <w:color w:val="2E75B6"/>
          <w:sz w:val="26"/>
          <w:szCs w:val="26"/>
        </w:rPr>
        <w:t xml:space="preserve">Sobre las pruebas de API</w:t>
      </w:r>
    </w:p>
    <w:p>
      <w:pPr>
        <w:spacing w:after="160"/>
        <w:jc w:val="left"/>
      </w:pPr>
      <w:r>
        <w:rPr>
          <w:rFonts w:ascii="Arial" w:cs="Arial" w:eastAsia="Arial" w:hAnsi="Arial"/>
          <w:b w:val="false"/>
          <w:bCs w:val="false"/>
          <w:color w:val="404040"/>
          <w:sz w:val="22"/>
          <w:szCs w:val="22"/>
        </w:rPr>
        <w:t xml:space="preserve">Las pruebas de Postman revelaron un defecto de alta severidad en el servlet de preguntas. El error 500 al manejar objetos JSON anidados indica una falta de manejo defensivo en la deserialización del body de la petición. Este tipo de error es fácilmente evitable con una validación explícita del JSON recibido y manejo adecuado de excepciones en el servlet.</w:t>
      </w:r>
    </w:p>
    <w:p>
      <w:pPr>
        <w:spacing w:after="80"/>
      </w:pPr>
      <w:r>
        <w:t xml:space="preserve"/>
      </w:r>
    </w:p>
    <w:p>
      <w:pPr>
        <w:pStyle w:val="Heading2"/>
        <w:spacing w:after="60" w:before="240"/>
      </w:pPr>
      <w:r>
        <w:rPr>
          <w:rFonts w:ascii="Arial" w:cs="Arial" w:eastAsia="Arial" w:hAnsi="Arial"/>
          <w:b/>
          <w:bCs/>
          <w:color w:val="2E75B6"/>
          <w:sz w:val="26"/>
          <w:szCs w:val="26"/>
        </w:rPr>
        <w:t xml:space="preserve">Sobre la seguridad</w:t>
      </w:r>
    </w:p>
    <w:p>
      <w:pPr>
        <w:spacing w:after="160"/>
        <w:jc w:val="left"/>
      </w:pPr>
      <w:r>
        <w:rPr>
          <w:rFonts w:ascii="Arial" w:cs="Arial" w:eastAsia="Arial" w:hAnsi="Arial"/>
          <w:b w:val="false"/>
          <w:bCs w:val="false"/>
          <w:color w:val="404040"/>
          <w:sz w:val="22"/>
          <w:szCs w:val="22"/>
        </w:rPr>
        <w:t xml:space="preserve">Los hallazgos de OWASP ZAP corresponden en su mayoría a headers de seguridad HTTP ausentes, que son de fácil corrección mediante un filtro centralizado en el backend. Ninguna vulnerabilidad fue de nivel Alto, lo cual es positivo para un sistema en entorno académico. Sin embargo, en un entorno de producción real, los niveles Medio y Bajo también requieren corrección obligatoria.</w:t>
      </w:r>
    </w:p>
    <w:p>
      <w:pPr>
        <w:spacing w:after="200"/>
      </w:pPr>
      <w:r>
        <w:t xml:space="preserve"/>
      </w:r>
    </w:p>
    <w:p>
      <w:pPr>
        <w:pStyle w:val="Heading1"/>
        <w:spacing w:after="60" w:before="360"/>
      </w:pPr>
      <w:r>
        <w:rPr>
          <w:rFonts w:ascii="Arial" w:cs="Arial" w:eastAsia="Arial" w:hAnsi="Arial"/>
          <w:b/>
          <w:bCs/>
          <w:color w:val="1F3864"/>
          <w:sz w:val="32"/>
          <w:szCs w:val="32"/>
        </w:rPr>
        <w:t xml:space="preserve">7. Checklist de Entrega</w:t>
      </w:r>
    </w:p>
    <w:p>
      <w:pPr>
        <w:pBdr>
          <w:bottom w:val="single" w:color="2E75B6" w:sz="6" w:space="1"/>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c>
          <w:tcPr>
            <w:tcW w:type="dxa" w:w="756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Ítem</w:t>
            </w:r>
          </w:p>
        </w:tc>
        <w:tc>
          <w:tcPr>
            <w:tcW w:type="dxa" w:w="1800"/>
            <w:tcBorders>
              <w:top w:val="single" w:color="AAAAAA" w:sz="1"/>
              <w:left w:val="single" w:color="AAAAAA" w:sz="1"/>
              <w:bottom w:val="single" w:color="AAAAAA" w:sz="1"/>
              <w:right w:val="single" w:color="AAAAAA"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Acosta</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Repositorio con nombre correcto: pruebas-acosta-higuita</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README.md completo con información del proyecto</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Plan de pruebas en 01-planificacion/plan-de-pruebas.md</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Criterios de aceptación (22) en 01-planificacion/criterios-aceptacion.md</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Clases JUnit en 02-pruebas-unitarias/src/test/java/</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30 métodos de prueba JUnit — BUILD SUCCESS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Captura JUnit con pruebas en verde en 02-pruebas-unitarias/evidencias/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Archivo .side de Selenium en 03-pruebas-funcionales/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Capturas por caso de prueba funcional en 03-pruebas-funcionales/evidencias/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Colección Postman en 04-pruebas-api/coleccion-postman.json</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Environment Postman en 04-pruebas-api/environment-postman.json</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Reporte HTML Postman en 04-pruebas-api/reporte-postman.html</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Tres scripts SQL adaptados en 05-base-de-datos/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Capturas de COMMIT y ROLLBACK en 05-base-de-datos/evidencias/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reporte-zap.html en 06-seguridad/</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Capturas ZAP en 06-seguridad/evidencias/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Reporte final con bugs y vulnerabilidades en 07-entrega-final/</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Video screencast (mínimo 10 min) en 07-entrega-final/</w:t>
            </w:r>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7F6000"/>
                <w:sz w:val="20"/>
                <w:szCs w:val="20"/>
              </w:rPr>
              <w:t xml:space="preserve"/>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Video de presentación (mínimo 10 min) en 07-entrega-final/</w:t>
            </w:r>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7F6000"/>
                <w:sz w:val="20"/>
                <w:szCs w:val="20"/>
              </w:rPr>
              <w:t xml:space="preserve"/>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Todos los commits siguen la convención por fase</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Todas las capturas muestran la hora del sistema operativo</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Scripts SQL usan nombres reales de tablas y columnas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Mínimo 3 reportes de bugs completos</w:t>
            </w:r>
          </w:p>
        </w:tc>
        <w:tc>
          <w:tcPr>
            <w:tcW w:type="dxa" w:w="180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vAlign w:val="center"/>
          </w:tcPr>
          <w:p>
            <w:pPr>
              <w:jc w:val="center"/>
            </w:pPr>
            <w:r>
              <w:rPr>
                <w:rFonts w:ascii="Arial" w:cs="Arial" w:eastAsia="Arial" w:hAnsi="Arial"/>
                <w:b/>
                <w:bCs/>
                <w:color w:val="375623"/>
                <w:sz w:val="20"/>
                <w:szCs w:val="20"/>
              </w:rPr>
              <w:t xml:space="preserve">X</w:t>
            </w:r>
          </w:p>
        </w:tc>
      </w:tr>
    </w:tbl>
    <w:p>
      <w:pPr>
        <w:spacing w:after="80"/>
      </w:pPr>
      <w:r>
        <w:t xml:space="preserve"/>
      </w:r>
    </w:p>
    <w:p>
      <w:pPr>
        <w:spacing w:after="160"/>
        <w:jc w:val="left"/>
      </w:pPr>
      <w:r>
        <w:rPr>
          <w:rFonts w:ascii="Arial" w:cs="Arial" w:eastAsia="Arial" w:hAnsi="Arial"/>
          <w:b w:val="false"/>
          <w:bCs w:val="false"/>
          <w:color w:val="777777"/>
          <w:sz w:val="20"/>
          <w:szCs w:val="20"/>
        </w:rPr>
        <w:t xml:space="preserve">Nota: Los dos ítems en amarillo (videos) están pendientes de grabación. Todos los demás artefactos han sido generados y subidos al repositorio.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pPr>
    <w:r>
      <w:rPr>
        <w:rFonts w:ascii="Arial" w:cs="Arial" w:eastAsia="Arial" w:hAnsi="Arial"/>
        <w:color w:val="777777"/>
        <w:sz w:val="18"/>
        <w:szCs w:val="18"/>
      </w:rPr>
      <w:t xml:space="preserve">Confidencial — Uso académico</w:t>
    </w:r>
    <w:r>
      <w:t xml:space="preserve">	</w:t>
    </w: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b/>
        <w:bCs/>
        <w:color w:val="1F3864"/>
        <w:sz w:val="18"/>
        <w:szCs w:val="18"/>
      </w:rPr>
      <w:t xml:space="preserve">Reporte Final de Pruebas de Software  |  SAFAB</w:t>
    </w:r>
    <w:r>
      <w:rPr>
        <w:rFonts w:ascii="Arial" w:cs="Arial" w:eastAsia="Arial" w:hAnsi="Arial"/>
        <w:color w:val="777777"/>
        <w:sz w:val="18"/>
        <w:szCs w:val="18"/>
      </w:rPr>
      <w:t xml:space="preserve">  —  Acosta &amp; Higuita  |  Ingeniería de Software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404040"/>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404040"/>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60" w:before="24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2026-06-05T06:46:06.522Z</dcterms:created>
  <dcterms:modified xsi:type="dcterms:W3CDTF">2026-06-05T06:46:06.523Z</dcterms:modified>
</cp:coreProperties>
</file>

<file path=docProps/custom.xml><?xml version="1.0" encoding="utf-8"?>
<Properties xmlns="http://schemas.openxmlformats.org/officeDocument/2006/custom-properties" xmlns:vt="http://schemas.openxmlformats.org/officeDocument/2006/docPropsVTypes"/>
</file>