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TACOMANDA — FLUJOS CQRS Y TARJETAS CRC</w:t>
      </w:r>
    </w:p>
    <w:p>
      <w:pPr>
        <w:spacing w:after="60"/>
        <w:jc w:val="center"/>
      </w:pPr>
      <w:r>
        <w:t>Anexo de la fase de diseño · Versión en blanco y negro · Tipografía Times New Roman</w:t>
      </w:r>
    </w:p>
    <w:p>
      <w:pPr>
        <w:spacing w:after="60"/>
      </w:pPr>
      <w:r>
        <w:t>Este documento reorganiza en formato académico el contenido del PDF inicial de tarjetas CRC. Se actualizaron las descripciones de envío de noControl para alinearlas con el contrato Swagger: la identidad del empleado debe obtenerse del JWT. El proyecto continúa en fase de diseño; los componentes descritos aún no acreditan una API funcional.</w:t>
      </w:r>
    </w:p>
    <w:p>
      <w:pPr>
        <w:spacing w:after="60"/>
      </w:pPr>
      <w:r>
        <w:t>CQRS separa comandos (operaciones que alteran el estado) y consultas (operaciones que solo leen). Las tarjetas CRC describen clases, responsabilidades y colaboradores previstos.</w:t>
      </w:r>
    </w:p>
    <w:p>
      <w:pPr>
        <w:pStyle w:val="Heading1"/>
        <w:keepNext/>
        <w:keepLines/>
        <w:spacing w:before="160" w:after="10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FLUJO 1. INICIO DE SESIÓN</w:t>
      </w:r>
    </w:p>
    <w:p>
      <w:pPr>
        <w:spacing w:after="60"/>
      </w:pPr>
      <w:r>
        <w:t>Comando: IniciarSesion. Consulta prevista: ObtenerPermisosDeEmpleado.</w:t>
      </w:r>
    </w:p>
    <w:p>
      <w:pPr>
        <w:pStyle w:val="Heading2"/>
        <w:keepNext/>
        <w:keepLines/>
        <w:spacing w:before="160" w:after="10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Pasos del proceso</w:t>
      </w:r>
    </w:p>
    <w:p>
      <w:pPr>
        <w:spacing w:after="60"/>
        <w:ind w:left="283"/>
      </w:pPr>
      <w:r>
        <w:t>1. El empleado captura su número de control y contraseña en la pantalla de inicio de sesión.</w:t>
      </w:r>
    </w:p>
    <w:p>
      <w:pPr>
        <w:spacing w:after="60"/>
        <w:ind w:left="283"/>
      </w:pPr>
      <w:r>
        <w:t>2. El cliente Angular envía POST /api/auth/login con las credenciales.</w:t>
      </w:r>
    </w:p>
    <w:p>
      <w:pPr>
        <w:spacing w:after="60"/>
        <w:ind w:left="283"/>
      </w:pPr>
      <w:r>
        <w:t>3. El controlador recibe LoginRequest y crea el comando para la capa Application.</w:t>
      </w:r>
    </w:p>
    <w:p>
      <w:pPr>
        <w:spacing w:after="60"/>
        <w:ind w:left="283"/>
      </w:pPr>
      <w:r>
        <w:t>4. LoginValidator revisa la forma de los datos: campos no vacíos y número de control válido.</w:t>
      </w:r>
    </w:p>
    <w:p>
      <w:pPr>
        <w:spacing w:after="60"/>
        <w:ind w:left="283"/>
      </w:pPr>
      <w:r>
        <w:t>5. LoginHandler recupera al empleado mediante IEmpleadoRepository.</w:t>
      </w:r>
    </w:p>
    <w:p>
      <w:pPr>
        <w:spacing w:after="60"/>
        <w:ind w:left="283"/>
      </w:pPr>
      <w:r>
        <w:t>6. El servicio IPasswordHasher verifica la contraseña contra el hash BCrypt almacenado.</w:t>
      </w:r>
    </w:p>
    <w:p>
      <w:pPr>
        <w:spacing w:after="60"/>
        <w:ind w:left="283"/>
      </w:pPr>
      <w:r>
        <w:t>7. Si se autentica, ITokenService genera el JWT con la identidad y el rol del empleado.</w:t>
      </w:r>
    </w:p>
    <w:p>
      <w:pPr>
        <w:spacing w:after="60"/>
        <w:ind w:left="283"/>
      </w:pPr>
      <w:r>
        <w:t>8. El handler devuelve el resultado y la API lo transforma en LoginResponse o en un error HTTP.</w:t>
      </w:r>
    </w:p>
    <w:p>
      <w:pPr>
        <w:spacing w:after="60"/>
        <w:ind w:left="283"/>
      </w:pPr>
      <w:r>
        <w:t>9. El frontend almacena la sesión y obtiene los permisos incluidos en LoginResponse para navegar al módulo del rol.</w:t>
      </w:r>
    </w:p>
    <w:p>
      <w:pPr>
        <w:spacing w:after="60"/>
        <w:ind w:left="283"/>
      </w:pPr>
      <w:r>
        <w:t>10. El contrato actual no define un endpoint independiente de consulta de permisos: esta consulta aparece como posibilidad en el diagrama CRC inicial.</w:t>
      </w:r>
    </w:p>
    <w:p>
      <w:pPr>
        <w:pStyle w:val="Heading2"/>
        <w:keepNext/>
        <w:keepLines/>
        <w:spacing w:before="160" w:after="10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Tarjetas CRC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/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Clase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Responsabilidad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Colaboradores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PantallaDeLogin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Capturar las credenciales y mostrar el resultado al empleado.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ClienteDeAutenticacion, AlmacenDeSesionDelNavegador, EnrutadorDePantallas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ClienteDeAutenticacion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Viajar entre la pantalla y el servidor con los comandos y consultas de acceso.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ControladorDeInicioDeSesion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ControladorDeInicioDeSesion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Traducir la petición HTTP a un comando o consulta, y el resultado a una respuesta HTTP.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ValidadorDeComandoIniciar Sesion, DespachadorDeComandos, DespachadorDeConsultas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ComandoIniciarSesion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Representar la intención de entrar (número de control y contraseña), sin lógica.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Ninguno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ValidadorDeComandoIniciarSesion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Garantizar que el comando tenga la forma correcta antes de procesarlo.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Ninguno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DespachadorDeComandos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Entregar cada comando a su manejador correspondiente.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ManejadorDeComandoIniciar Sesion (y los demás manejadores de comandos)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DespachadorDeConsultas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Entregar cada consulta a su manejador correspondiente.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ManejadorDeConsultaPermisos (y los demás manejadores de consultas)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ManejadorDeComandoIniciarSesion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Orquestar los pasos para autenticar a un empleado y abrir su sesión.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RepositorioDeEmpleados, Empleado, GeneradorDeSesion, EscritorDeBitacoraDeAccesos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RepositorioDeEmpleados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Recuperar empleados completos desde la base de datos para los comandos.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Empleado (Administrador, Cajero, Mesero)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r>
              <w:t>Empleado (Administrador, Cajero, Mesero)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Conocer sus datos y permisos propios, y verificar su contraseña.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VerificadorDeContrasena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VerificadorDeContrasena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Decidir si una contraseña escrita corresponde a la guardada.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Ninguno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GeneradorDeSesion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Crear una sesión válida para un empleado autenticado.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Ninguno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EscritorDeBitacoraDeAccesos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Dejar registro de cada intento de acceso.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Ninguno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ManejadorDeConsultaPermisos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Armar la vista de permisos de un empleado, solo leyendo.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LectorDeEmpleados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LectorDeEmpleados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Entregar vistas de empleados para las consultas, sin modificarlos.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Ninguno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AlmacenDeSesionDelNavegador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Recordar quién está dentro mientras la app esté abierta.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Ninguno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EnrutadorDePantallas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Decidir a qué pantalla va cada rol.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AlmacenDeSesionDelNavegador</w:t>
            </w:r>
          </w:p>
        </w:tc>
      </w:tr>
    </w:tbl>
    <w:p>
      <w:pPr>
        <w:spacing w:after="60"/>
      </w:pPr>
      <w:r>
        <w:t>Referencia de origen: flujos-cqrs-crc_original.pdf, páginas 1 y 2.</w:t>
      </w:r>
    </w:p>
    <w:p>
      <w:pPr>
        <w:pStyle w:val="Heading1"/>
        <w:keepNext/>
        <w:keepLines/>
        <w:spacing w:before="160" w:after="10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FLUJO 2. ENVÍO DE COMANDA Y COCINA</w:t>
      </w:r>
    </w:p>
    <w:p>
      <w:pPr>
        <w:spacing w:after="60"/>
      </w:pPr>
      <w:r>
        <w:t>Comandos: EnviarComanda, AvanzarEstadoDeComanda. Consultas: listar platillos, mesas y comandas.</w:t>
      </w:r>
    </w:p>
    <w:p>
      <w:pPr>
        <w:pStyle w:val="Heading2"/>
        <w:keepNext/>
        <w:keepLines/>
        <w:spacing w:before="160" w:after="10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Pasos del proceso</w:t>
      </w:r>
    </w:p>
    <w:p>
      <w:pPr>
        <w:spacing w:after="60"/>
        <w:ind w:left="283"/>
      </w:pPr>
      <w:r>
        <w:t>1. La pantalla del mesero consulta el menú disponible y las mesas mediante rutas GET.</w:t>
      </w:r>
    </w:p>
    <w:p>
      <w:pPr>
        <w:spacing w:after="60"/>
        <w:ind w:left="283"/>
      </w:pPr>
      <w:r>
        <w:t>2. El carrito reúne id de platillo, cantidad y nota antes de guardar cambios.</w:t>
      </w:r>
    </w:p>
    <w:p>
      <w:pPr>
        <w:spacing w:after="60"/>
        <w:ind w:left="283"/>
      </w:pPr>
      <w:r>
        <w:t>3. Al confirmar, el cliente envía POST /api/comandas con mesaNumero e items. No incluye noControl ni precios.</w:t>
      </w:r>
    </w:p>
    <w:p>
      <w:pPr>
        <w:spacing w:after="60"/>
        <w:ind w:left="283"/>
      </w:pPr>
      <w:r>
        <w:t>4. El backend identifica al mesero desde el JWT y valida que existan ítems y cantidades positivas.</w:t>
      </w:r>
    </w:p>
    <w:p>
      <w:pPr>
        <w:spacing w:after="60"/>
        <w:ind w:left="283"/>
      </w:pPr>
      <w:r>
        <w:t>5. El handler consulta la mesa y los platillos, y comprueba disponibilidad y estado activo.</w:t>
      </w:r>
    </w:p>
    <w:p>
      <w:pPr>
        <w:spacing w:after="60"/>
        <w:ind w:left="283"/>
      </w:pPr>
      <w:r>
        <w:t>6. La lógica de negocio calcula cada subtotal usando precios del servidor.</w:t>
      </w:r>
    </w:p>
    <w:p>
      <w:pPr>
        <w:spacing w:after="60"/>
        <w:ind w:left="283"/>
      </w:pPr>
      <w:r>
        <w:t>7. Se crea la comanda en estado abierta y sus detalles.</w:t>
      </w:r>
    </w:p>
    <w:p>
      <w:pPr>
        <w:spacing w:after="60"/>
        <w:ind w:left="283"/>
      </w:pPr>
      <w:r>
        <w:t>8. La operación guarda comanda y detalles y cambia la mesa a ocupada como transacción prevista.</w:t>
      </w:r>
    </w:p>
    <w:p>
      <w:pPr>
        <w:spacing w:after="60"/>
        <w:ind w:left="283"/>
      </w:pPr>
      <w:r>
        <w:t>9. Si todo se registra, la API devuelve el identificador de la comanda (201); si falla, responde con un error.</w:t>
      </w:r>
    </w:p>
    <w:p>
      <w:pPr>
        <w:spacing w:after="60"/>
        <w:ind w:left="283"/>
      </w:pPr>
      <w:r>
        <w:t>10. Cocina consulta las comandas mediante GET /api/comandas y filtra opcionalmente por estado.</w:t>
      </w:r>
    </w:p>
    <w:p>
      <w:pPr>
        <w:spacing w:after="60"/>
        <w:ind w:left="283"/>
      </w:pPr>
      <w:r>
        <w:t>11. Cuando cocina cambia el estado, se envía PUT /api/comandas/{id}/estado; solo se permitirán transiciones válidas desde abierta a en_preparacion y lista.</w:t>
      </w:r>
    </w:p>
    <w:p>
      <w:pPr>
        <w:spacing w:after="60"/>
        <w:ind w:left="283"/>
      </w:pPr>
      <w:r>
        <w:t>12. El refresco periódico del tablero es una propuesta del prototipo, no una operación HTTP adicional.</w:t>
      </w:r>
    </w:p>
    <w:p>
      <w:pPr>
        <w:pStyle w:val="Heading2"/>
        <w:keepNext/>
        <w:keepLines/>
        <w:spacing w:before="160" w:after="10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Tarjetas CRC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/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Clase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Responsabilidad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Colaboradores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PantallaDeMesero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Mostrar el menú y las mesas y capturar lo que ordena el cliente.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ClienteDeComandas, ConstructorDeCarrito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ConstructorDeCarrito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Acumular platillos, cantidades y notas antes de enviar.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Ninguno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ClienteDeComandas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Viajar entre las pantallas y el servidor con comandos y consultas de comandas.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ControladorDeComandas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ControladorDeComandas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Traducir peticiones HTTP a comandos o consultas, y los resultados a respuestas.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ValidadorDeComandoEnviar Comanda, DespachadorDeComandos, DespachadorDeConsultas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ComandoEnviarComanda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Representar la intención de mandar una orden (mesa, mesero, líneas), sin lógica.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Ninguno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ValidadorDeComandoEnviarComanda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Garantizar la forma correcta de la orden antes de procesarla.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Ninguno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ManejadorDeComandoEnviarComanda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Orquestar la creación de una comanda.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RepositorioDeMesas, RepositorioDePlatillos, CalculadoraDeSubtotales, Comanda, RepositorioDeComandas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CalculadoraDeSubtotales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Obtener el subtotal de cada línea con el precio vigente del servidor.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Ninguno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Comanda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Conocer sus detalles y decidir qué cambios de estado son válidos.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DetalleDeComanda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DetalleDeComanda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Representar una línea de la comanda (platillo, cantidad, nota, subtotal).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Ninguno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RepositorioDeComandas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Guardar y recuperar comandas completas como una unidad.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Comanda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RepositorioDeMesas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Recuperar mesas y guardar su estado.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Ninguno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RepositorioDePlatillos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Recuperar platillos con su precio vigente para los comandos.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Ninguno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ManejadorDeComandoAvanzarEstadoDeComanda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Aplicar el cambio de estado pedido por cocina.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RepositorioDeComandas, Comanda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PantallaDeCocina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Mostrar el tablero y capturar el avance de cada comanda.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ClienteDeComandas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ManejadorDeConsultaMenu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Armar la vista del menú disponible, solo leyendo.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LectorDeMenu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ManejadorDeConsultaMesas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Armar la vista de mesas disponibles, solo leyendo.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LectorDeMesas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ManejadorDeConsultaTableroDeCocina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Armar el tablero de comandas activas para cocina.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LectorDeTableroDeCocina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LectorDeMenu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Entregar los platillos activos en forma de vista.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Ninguno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LectorDeMesas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Entregar las mesas y su estado en forma de vista.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Ninguno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LectorDeTableroDeCocina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Entregar las comandas activas con sus tiempos de espera.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Ninguno</w:t>
            </w:r>
          </w:p>
        </w:tc>
      </w:tr>
    </w:tbl>
    <w:p>
      <w:pPr>
        <w:spacing w:after="60"/>
      </w:pPr>
      <w:r>
        <w:t>Referencia de origen: flujos-cqrs-crc_original.pdf, páginas 3 y 4.</w:t>
      </w:r>
    </w:p>
    <w:p>
      <w:pPr>
        <w:pStyle w:val="Heading1"/>
        <w:keepNext/>
        <w:keepLines/>
        <w:spacing w:before="160" w:after="10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FLUJO 3. COBRAR UNA COMANDA</w:t>
      </w:r>
    </w:p>
    <w:p>
      <w:pPr>
        <w:spacing w:after="60"/>
      </w:pPr>
      <w:r>
        <w:t>Comando: CobrarComanda. Consultas: ObtenerComandasPorCobrar y ObtenerTicketDeCobro.</w:t>
      </w:r>
    </w:p>
    <w:p>
      <w:pPr>
        <w:pStyle w:val="Heading2"/>
        <w:keepNext/>
        <w:keepLines/>
        <w:spacing w:before="160" w:after="10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Pasos del proceso</w:t>
      </w:r>
    </w:p>
    <w:p>
      <w:pPr>
        <w:spacing w:after="60"/>
        <w:ind w:left="283"/>
      </w:pPr>
      <w:r>
        <w:t>1. La pantalla de caja consulta las comandas y presenta aquellas listas para cobrar.</w:t>
      </w:r>
    </w:p>
    <w:p>
      <w:pPr>
        <w:spacing w:after="60"/>
        <w:ind w:left="283"/>
      </w:pPr>
      <w:r>
        <w:t>2. El cajero selecciona una comanda y captura el tipo de pago, tipo de pedido y monto recibido.</w:t>
      </w:r>
    </w:p>
    <w:p>
      <w:pPr>
        <w:spacing w:after="60"/>
        <w:ind w:left="283"/>
      </w:pPr>
      <w:r>
        <w:t>3. Se envía POST /api/comandas/{id}/cobrar con CobroRequest. El JWT identifica al cajero; no se envía noControl ni total.</w:t>
      </w:r>
    </w:p>
    <w:p>
      <w:pPr>
        <w:spacing w:after="60"/>
        <w:ind w:left="283"/>
      </w:pPr>
      <w:r>
        <w:t>4. El controlador valida la estructura y delega el comando al handler.</w:t>
      </w:r>
    </w:p>
    <w:p>
      <w:pPr>
        <w:spacing w:after="60"/>
        <w:ind w:left="283"/>
      </w:pPr>
      <w:r>
        <w:t>5. La capa Domain verifica que la comanda esté lista y no haya sido cerrada, cancelada o cobrada.</w:t>
      </w:r>
    </w:p>
    <w:p>
      <w:pPr>
        <w:spacing w:after="60"/>
        <w:ind w:left="283"/>
      </w:pPr>
      <w:r>
        <w:t>6. El sistema calcula el total usando subtotales almacenados por el servidor.</w:t>
      </w:r>
    </w:p>
    <w:p>
      <w:pPr>
        <w:spacing w:after="60"/>
        <w:ind w:left="283"/>
      </w:pPr>
      <w:r>
        <w:t>7. Se aplica la política de pago: efectivo exige monto suficiente y calcula cambio; tarjeta se considera importe exacto según el diseño.</w:t>
      </w:r>
    </w:p>
    <w:p>
      <w:pPr>
        <w:spacing w:after="60"/>
        <w:ind w:left="283"/>
      </w:pPr>
      <w:r>
        <w:t>8. Se registra el pedido, se cierra la comanda y se libera la mesa en la misma transacción prevista.</w:t>
      </w:r>
    </w:p>
    <w:p>
      <w:pPr>
        <w:spacing w:after="60"/>
        <w:ind w:left="283"/>
      </w:pPr>
      <w:r>
        <w:t>9. La respuesta del comando devuelve el idPedido (201), no el total ni el cambio.</w:t>
      </w:r>
    </w:p>
    <w:p>
      <w:pPr>
        <w:spacing w:after="60"/>
        <w:ind w:left="283"/>
      </w:pPr>
      <w:r>
        <w:t>10. La pantalla solicita GET /api/pedidos/{id}/ticket para consultar la información completa del comprobante.</w:t>
      </w:r>
    </w:p>
    <w:p>
      <w:pPr>
        <w:spacing w:after="60"/>
        <w:ind w:left="283"/>
      </w:pPr>
      <w:r>
        <w:t>11. El frontend podrá presentar o imprimir el ticket; esa funcionalidad no constituye un endpoint nuevo.</w:t>
      </w:r>
    </w:p>
    <w:p>
      <w:pPr>
        <w:pStyle w:val="Heading2"/>
        <w:keepNext/>
        <w:keepLines/>
        <w:spacing w:before="160" w:after="10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Tarjetas CRC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/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Clase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Responsabilidad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Colaboradores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PantallaDeCaja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Mostrar las comandas por cobrar y capturar el pago.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ClienteDeCaja, ImpresorDeTicket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ClienteDeCaja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Viajar entre la pantalla y el servidor con comandos y consultas de cobro.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ControladorDeCobros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ControladorDeCobros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Traducir peticiones HTTP de caja a comandos o consultas.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ValidadorDeComandoCobrar Comanda, DespachadorDeComandos, DespachadorDeConsultas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ComandoCobrarComanda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Representar la intención de cobrar una orden con un pago (sin total), sin lógica.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Ninguno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ValidadorDeComandoCobrarComanda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Garantizar la forma correcta del cobro antes de procesarlo.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Ninguno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ManejadorDeComandoCobrarComanda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Orquestar el cobro completo de una comanda.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RepositorioDeComandas, CalculadoraDeTotal, SelectorDePoliticaDePago, RepositorioDePedidos, RepositorioDeMesas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r>
              <w:t>Comanda (del flujo 2)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Decidir si puede cobrarse y cerrarse.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DetalleDeComanda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CalculadoraDeTotal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Obtener el total sumando los subtotales de una comanda.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Ninguno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SelectorDePoliticaDePago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Elegir la política que corresponde al tipo de pago recibido.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PoliticaDePagoEnEfectivo, PoliticaDePagoConTarjeta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PoliticaDePagoEnEfectivo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Decidir si el efectivo alcanza y calcular el cambio.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Ninguno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PoliticaDePagoConTarjeta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Aceptar el pago exacto, sin cambio.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Ninguno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Pedido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Representar un cobro ya realizado (pago, tipo, cambio, fecha).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Ninguno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RepositorioDePedidos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Guardar los cobros realizados.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Pedido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ManejadorDeConsultaComandasPorCobrar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Armar la lista de comandas con su total para caja.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LectorDeComandasPorCobrar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LectorDeComandasPorCobrar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Entregar las comandas por cobrar con su total ya calculado.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Ninguno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ManejadorDeConsultaTicket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Armar los datos del ticket de un cobro ya hecho.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LectorDeTickets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LectorDeTickets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Entregar los datos de un cobro en forma de ticket.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Ninguno</w:t>
            </w:r>
          </w:p>
        </w:tc>
      </w:tr>
      <w:tr>
        <w:trPr>
          <w:cantSplit/>
        </w:trP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ImpresorDeTicket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Dibujar el ticket y mandarlo a imprimir.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Ninguno</w:t>
            </w:r>
          </w:p>
        </w:tc>
      </w:tr>
    </w:tbl>
    <w:p>
      <w:pPr>
        <w:spacing w:after="60"/>
      </w:pPr>
      <w:r>
        <w:t>Referencia de origen: flujos-cqrs-crc_original.pdf, páginas 5 y 6.</w:t>
      </w:r>
    </w:p>
    <w:p>
      <w:pPr>
        <w:pStyle w:val="Heading1"/>
        <w:keepNext/>
        <w:keepLines/>
        <w:spacing w:before="160" w:after="10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OBSERVACIONES DE CONSISTENCIA</w:t>
      </w:r>
    </w:p>
    <w:p>
      <w:pPr>
        <w:spacing w:after="60"/>
      </w:pPr>
      <w:r>
        <w:t>El contrato OpenAPI 3.0.3 documenta 16 operaciones y no expone un endpoint separado para consultar permisos. Los permisos forman parte de LoginResponse. Los roles y el acceso a cocina requieren una decisión adicional. El esquema de cierre de caja aún recibe totalSistema desde el cliente y conviene revisarlo antes de programar.</w:t>
      </w:r>
    </w:p>
    <w:p>
      <w:pPr>
        <w:spacing w:after="60"/>
      </w:pPr>
      <w:r>
        <w:t>Por ello, este material es un diseño de referencia. La verificación de peticiones HTTP reales exige implementar controllers, servicios, repositorios, base de datos e infraestructura de autenticación.</w:t>
      </w:r>
    </w:p>
    <w:sectPr w:rsidR="00FC693F" w:rsidRPr="0006063C" w:rsidSect="00034616">
      <w:footerReference w:type="default" r:id="rId9"/>
      <w:pgSz w:w="12240" w:h="15840"/>
      <w:pgMar w:top="935" w:right="1361" w:bottom="935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t>Tacomanda | Flujos CQRS y tarjetas CRC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