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Discussion</w:t>
      </w:r>
    </w:p>
    <w:p>
      <w:pPr>
        <w:spacing w:after="200" w:line="480"/>
        <w:jc w:val="both"/>
      </w:pPr>
      <w:r>
        <w:rPr>
          <w:rFonts w:ascii="Times New Roman" w:cs="Times New Roman" w:eastAsia="Times New Roman" w:hAnsi="Times New Roman"/>
          <w:sz w:val="24"/>
          <w:szCs w:val="24"/>
        </w:rPr>
        <w:t xml:space="preserve">We performed a rigorous re-evaluation of the Thomas et al. (2019) multi-cohort CRC classification framework, applying modern statistical methodology and a comprehensive robustness battery to the original seven-cohort dataset. Our central finding is that species-level taxonomic features alone significantly outperform joint species-plus-pathway models under leave-one-dataset-out cross-validation (DeLong z = 2.88, p = 0.004 vs. joint Random Forest; z = 2.65, p = 0.008 vs. joint XGBoost; n = 646). This result was stable across random seeds, filter threshold settings, and confounder adjustments, and was not attributable to demographic confounding by age, sex, or BMI.</w:t>
      </w:r>
    </w:p>
    <w:p>
      <w:pPr>
        <w:pStyle w:val="Heading2"/>
        <w:spacing w:after="200" w:before="360" w:line="480"/>
      </w:pPr>
      <w:r>
        <w:rPr>
          <w:rFonts w:ascii="Times New Roman" w:cs="Times New Roman" w:eastAsia="Times New Roman" w:hAnsi="Times New Roman"/>
          <w:b/>
          <w:bCs/>
          <w:sz w:val="24"/>
          <w:szCs w:val="24"/>
        </w:rPr>
        <w:t xml:space="preserve">Pathways do not improve CRC classification</w:t>
      </w:r>
    </w:p>
    <w:p>
      <w:pPr>
        <w:spacing w:after="200" w:line="480"/>
        <w:jc w:val="both"/>
      </w:pPr>
      <w:r>
        <w:rPr>
          <w:rFonts w:ascii="Times New Roman" w:cs="Times New Roman" w:eastAsia="Times New Roman" w:hAnsi="Times New Roman"/>
          <w:sz w:val="24"/>
          <w:szCs w:val="24"/>
        </w:rPr>
        <w:t xml:space="preserve">The finding that metabolic pathway features degrade rather than enhance classification performance is counterintuitive but has a coherent explanation. The joint model increases the feature space from 247 species to approximately 650 features (247 species plus 402 to 406 pathways per fold), nearly tripling dimensionality without a proportional increase in discriminative signal. In a Random Forest with max_features = sqrt(p), this dilution directly reduces the probability that informative species features are selected at each split. The result is not that pathways contain no biological information about CRC, but rather that in the context of a 646-sample, seven-cohort LODO design, the noise introduced by several hundred additional features outweighs any marginal signal they contribute.</w:t>
      </w:r>
    </w:p>
    <w:p>
      <w:pPr>
        <w:spacing w:after="200" w:line="480"/>
        <w:jc w:val="both"/>
      </w:pPr>
      <w:r>
        <w:rPr>
          <w:rFonts w:ascii="Times New Roman" w:cs="Times New Roman" w:eastAsia="Times New Roman" w:hAnsi="Times New Roman"/>
          <w:sz w:val="24"/>
          <w:szCs w:val="24"/>
        </w:rPr>
        <w:t xml:space="preserve">This interpretation is consistent with the broader machine learning literature on the curse of dimensionality in high-dimensional, low-sample-size settings (Bellman 1961; Trunk 1979). It is also consistent with the observation that the per-cohort paired t-test (n = 7 folds) failed to detect the difference (p = 0.47), while the sample-level DeLong test (n = 646) detected it clearly. The degradation is real but modest in absolute terms (pooled AUC 0.810 vs. 0.776), and becomes visible only with sufficient statistical power.</w:t>
      </w:r>
    </w:p>
    <w:p>
      <w:pPr>
        <w:spacing w:after="200" w:line="480"/>
        <w:jc w:val="both"/>
      </w:pPr>
      <w:r>
        <w:rPr>
          <w:rFonts w:ascii="Times New Roman" w:cs="Times New Roman" w:eastAsia="Times New Roman" w:hAnsi="Times New Roman"/>
          <w:sz w:val="24"/>
          <w:szCs w:val="24"/>
        </w:rPr>
        <w:t xml:space="preserve">We note that this finding does not contradict the results of Piccinno et al. (2025), who achieved AUC 0.85 using an expanded 18-cohort, 3,741-sample dataset. With substantially more training data, the signal-to-noise ratio of pathway features may shift favorably, and the dilution effect we observed at n = 646 may be mitigated. Our result should therefore be interpreted as specific to the sample size regime of the original Thomas et al. (2019) dataset: at this scale, parsimony wins.</w:t>
      </w:r>
    </w:p>
    <w:p>
      <w:pPr>
        <w:pStyle w:val="Heading2"/>
        <w:spacing w:after="200" w:before="360" w:line="480"/>
      </w:pPr>
      <w:r>
        <w:rPr>
          <w:rFonts w:ascii="Times New Roman" w:cs="Times New Roman" w:eastAsia="Times New Roman" w:hAnsi="Times New Roman"/>
          <w:b/>
          <w:bCs/>
          <w:sz w:val="24"/>
          <w:szCs w:val="24"/>
        </w:rPr>
        <w:t xml:space="preserve">Robustness of the species-only classifier</w:t>
      </w:r>
    </w:p>
    <w:p>
      <w:pPr>
        <w:spacing w:after="200" w:line="480"/>
        <w:jc w:val="both"/>
      </w:pPr>
      <w:r>
        <w:rPr>
          <w:rFonts w:ascii="Times New Roman" w:cs="Times New Roman" w:eastAsia="Times New Roman" w:hAnsi="Times New Roman"/>
          <w:sz w:val="24"/>
          <w:szCs w:val="24"/>
        </w:rPr>
        <w:t xml:space="preserve">The species-only Random Forest demonstrated robust performance across all sensitivity analyses. The pooled AUC of 0.810 (95% CI: 0.777 to 0.841) was stable across five random seeds (mean 0.805 +/- 0.002), insensitive to pathway filter threshold selection (AUC range 0.773 to 0.789 across a 20-combination grid), and unaffected by the inclusion or residualization of demographic covariates (AUC range 0.799 to 0.812 across all confounder adjustment conditions). These results indicate that the classifier captures a genuine biological signal that is not an artifact of batch structure, feature selection choices, or demographic confounding.</w:t>
      </w:r>
    </w:p>
    <w:p>
      <w:pPr>
        <w:spacing w:after="200" w:line="480"/>
        <w:jc w:val="both"/>
      </w:pPr>
      <w:r>
        <w:rPr>
          <w:rFonts w:ascii="Times New Roman" w:cs="Times New Roman" w:eastAsia="Times New Roman" w:hAnsi="Times New Roman"/>
          <w:sz w:val="24"/>
          <w:szCs w:val="24"/>
        </w:rPr>
        <w:t xml:space="preserve">The per-fold pathway filtering implemented in this study addresses a subtle but important methodological concern. When pathway features are filtered globally using all samples (including those in the held-out test cohort), information about the test set's feature distribution leaks into the training pipeline. Our per-fold filtering retained 402 to 406 pathways per fold (compared to 405 under global filtering), and the resulting AUC differences were negligible (joint RF: 0.783 to 0.785), suggesting that leakage from global filtering did not materially inflate prior estimates in this dataset. Nevertheless, per-fold filtering is the methodologically correct approach and should be standard practice in LODO designs.</w:t>
      </w:r>
    </w:p>
    <w:p>
      <w:pPr>
        <w:pStyle w:val="Heading2"/>
        <w:spacing w:after="200" w:before="360" w:line="480"/>
      </w:pPr>
      <w:r>
        <w:rPr>
          <w:rFonts w:ascii="Times New Roman" w:cs="Times New Roman" w:eastAsia="Times New Roman" w:hAnsi="Times New Roman"/>
          <w:b/>
          <w:bCs/>
          <w:sz w:val="24"/>
          <w:szCs w:val="24"/>
        </w:rPr>
        <w:t xml:space="preserve">Adenoma detection remains challenging</w:t>
      </w:r>
    </w:p>
    <w:p>
      <w:pPr>
        <w:spacing w:after="200" w:line="480"/>
        <w:jc w:val="both"/>
      </w:pPr>
      <w:r>
        <w:rPr>
          <w:rFonts w:ascii="Times New Roman" w:cs="Times New Roman" w:eastAsia="Times New Roman" w:hAnsi="Times New Roman"/>
          <w:sz w:val="24"/>
          <w:szCs w:val="24"/>
        </w:rPr>
        <w:t xml:space="preserve">Our exploratory adenoma analyses yielded modest classification performance (healthy vs. adenoma: AUC 0.68 to 0.71; adenoma vs. CRC: AUC 0.79 to 0.81 under five-fold CV), with substantially degraded cross-cohort LODO estimates (0.58 to 0.62 and 0.67 to 0.69, respectively). These results are consistent with the known molecular heterogeneity of colorectal adenomas and the limited sample sizes available (n = 116 adenoma across three cohorts). The poor cross-cohort generalization suggests that adenoma-associated microbial signatures, if they exist, are either weaker than CRC signatures, more sensitive to technical and demographic variation across studies, or both.</w:t>
      </w:r>
    </w:p>
    <w:p>
      <w:pPr>
        <w:spacing w:after="200" w:line="480"/>
        <w:jc w:val="both"/>
      </w:pPr>
      <w:r>
        <w:rPr>
          <w:rFonts w:ascii="Times New Roman" w:cs="Times New Roman" w:eastAsia="Times New Roman" w:hAnsi="Times New Roman"/>
          <w:sz w:val="24"/>
          <w:szCs w:val="24"/>
        </w:rPr>
        <w:t xml:space="preserve">Improving adenoma detection from metagenomic data will likely require substantially larger, multi-cohort adenoma datasets with harmonized collection and processing protocols. The Piccinno et al. (2025) dataset includes 210 adenoma samples across a larger number of cohorts, which may provide sufficient power for more definitive analyses. We report our adenoma results as hypothesis-generating and caution against over-interpreting them given the statistical limitations.</w:t>
      </w:r>
    </w:p>
    <w:p>
      <w:pPr>
        <w:pStyle w:val="Heading2"/>
        <w:spacing w:after="200" w:before="360" w:line="480"/>
      </w:pPr>
      <w:r>
        <w:rPr>
          <w:rFonts w:ascii="Times New Roman" w:cs="Times New Roman" w:eastAsia="Times New Roman" w:hAnsi="Times New Roman"/>
          <w:b/>
          <w:bCs/>
          <w:sz w:val="24"/>
          <w:szCs w:val="24"/>
        </w:rPr>
        <w:t xml:space="preserve">Implications for microbiome-based CRC screening</w:t>
      </w:r>
    </w:p>
    <w:p>
      <w:pPr>
        <w:spacing w:after="200" w:line="480"/>
        <w:jc w:val="both"/>
      </w:pPr>
      <w:r>
        <w:rPr>
          <w:rFonts w:ascii="Times New Roman" w:cs="Times New Roman" w:eastAsia="Times New Roman" w:hAnsi="Times New Roman"/>
          <w:sz w:val="24"/>
          <w:szCs w:val="24"/>
        </w:rPr>
        <w:t xml:space="preserve">The practical implication of our findings is that a parsimonious species-only classifier may be preferable to more complex joint models for stool-based CRC screening in the near term. Species-level profiling requires less computational infrastructure than full functional profiling, is more standardized across bioinformatics pipelines, and as we show,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spacing w:after="200" w:line="480"/>
        <w:jc w:val="both"/>
      </w:pPr>
      <w:r>
        <w:rPr>
          <w:rFonts w:ascii="Times New Roman" w:cs="Times New Roman" w:eastAsia="Times New Roman" w:hAnsi="Times New Roman"/>
          <w:sz w:val="24"/>
          <w:szCs w:val="24"/>
        </w:rPr>
        <w:t xml:space="preserve">The cross-study generalization demonstrated by the LODO framework is encouraging for clinical translation. The species-only Random Forest achieved AUC above 0.73 in every held-out cohort, including cohorts from five countries with different dietary patterns, sample collection protocols, and DNA extraction methods. This robustness to technical and demographic variation is a prerequisite for any clinically deployable diagnostic.</w:t>
      </w:r>
    </w:p>
    <w:p>
      <w:pPr>
        <w:pStyle w:val="Heading2"/>
        <w:spacing w:after="200" w:before="360" w:line="480"/>
      </w:pPr>
      <w:r>
        <w:rPr>
          <w:rFonts w:ascii="Times New Roman" w:cs="Times New Roman" w:eastAsia="Times New Roman" w:hAnsi="Times New Roman"/>
          <w:b/>
          <w:bCs/>
          <w:sz w:val="24"/>
          <w:szCs w:val="24"/>
        </w:rPr>
        <w:t xml:space="preserve">Limitations</w:t>
      </w:r>
    </w:p>
    <w:p>
      <w:pPr>
        <w:spacing w:after="200" w:line="480"/>
        <w:jc w:val="both"/>
      </w:pPr>
      <w:r>
        <w:rPr>
          <w:rFonts w:ascii="Times New Roman" w:cs="Times New Roman" w:eastAsia="Times New Roman" w:hAnsi="Times New Roman"/>
          <w:sz w:val="24"/>
          <w:szCs w:val="24"/>
        </w:rPr>
        <w:t xml:space="preserve">Several limitations should be noted. First, our analysis is restricted to the seven cohorts from Thomas et al. (2019) and does not incorporate the additional cohorts available in more recent studies. Scaling to larger datasets would provide greater statistical power and may alter the relative contribution of pathway features. Second, we did not perform hyperparameter tuning via nested cross-validation; while this is justified by the species-only model's superior performance, it is possible that tuned joint models could narrow the gap. Third, the adenoma analyses are underpowered and should be interpreted cautiously. Fourth, our per-fold ComBat analysis requires the pycombat dependency and was not included in the main analysis pipeline. Fifth, the functional pathway features used here are unstratified community-level abundances; taxon-stratified pathway features, while more numerous and potentially more informative, were excluded due to high dimensionality and redundancy.</w:t>
      </w:r>
    </w:p>
    <w:p>
      <w:pPr>
        <w:pStyle w:val="Heading2"/>
        <w:spacing w:after="200" w:before="360" w:line="480"/>
      </w:pPr>
      <w:r>
        <w:rPr>
          <w:rFonts w:ascii="Times New Roman" w:cs="Times New Roman" w:eastAsia="Times New Roman" w:hAnsi="Times New Roman"/>
          <w:b/>
          <w:bCs/>
          <w:sz w:val="24"/>
          <w:szCs w:val="24"/>
        </w:rPr>
        <w:t xml:space="preserve">Conclusion</w:t>
      </w:r>
    </w:p>
    <w:p>
      <w:pPr>
        <w:spacing w:after="200" w:line="480"/>
        <w:jc w:val="both"/>
      </w:pPr>
      <w:r>
        <w:rPr>
          <w:rFonts w:ascii="Times New Roman" w:cs="Times New Roman" w:eastAsia="Times New Roman" w:hAnsi="Times New Roman"/>
          <w:sz w:val="24"/>
          <w:szCs w:val="24"/>
        </w:rPr>
        <w:t xml:space="preserve">We demonstrate that a species-only Random Forest classifier significantly outperforms joint species-plus-pathway models for CRC detection under rigorous LODO cross-validation, and that this finding is robust to analytical choices, random variation, and potential confounders. Our results support the use of parsimonious, species-level classifiers for microbiome-based CRC screening and highlight the importance of formal statistical comparison, per-fold feature filtering, and systematic robustness evaluation in metagenomic classification studies. All code, data, and predictions are publicly available to facilitate replication and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2026-04-26T18:10:07.602Z</dcterms:created>
  <dcterms:modified xsi:type="dcterms:W3CDTF">2026-04-26T18:10:07.602Z</dcterms:modified>
</cp:coreProperties>
</file>

<file path=docProps/custom.xml><?xml version="1.0" encoding="utf-8"?>
<Properties xmlns="http://schemas.openxmlformats.org/officeDocument/2006/custom-properties" xmlns:vt="http://schemas.openxmlformats.org/officeDocument/2006/docPropsVTypes"/>
</file>