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</w:t>
      </w:r>
    </w:p>
    <w:p>
      <w:pPr>
        <w:pStyle w:val="Heading2"/>
      </w:pPr>
      <w:r>
        <w:t>Cohorts and feature spaces</w:t>
      </w:r>
    </w:p>
    <w:p>
      <w:r>
        <w:t xml:space="preserve">The analysis dataset comprised 1,522 unique subjects across 10 cohorts: 674 CRC cases, 665 controls, and 183 adenomas, spanning 8 countries (Austria, China, France, Germany, India, Italy, Japan, USA; Table 1; </w:t>
      </w:r>
      <w:r>
        <w:rPr>
          <w:rFonts w:ascii="Courier New" w:hAnsi="Courier New"/>
        </w:rPr>
        <w:t>results/table1.csv</w:t>
      </w:r>
      <w:r>
        <w:t>). Per-cohort sample sizes ranged from 60 (GuptaA_2019, ThomasAM_2018b) to 575 (YachidaS_2019). After global filtering (prevalence ≥ 10%, mean ≥ 1e-4) and log10(x + 1e-6) transformation, 229 MetaPhlAn species features were retained. From HUMAnN unstratified pathway tables, 551 candidate pathways entered the per-fold filter; 402–406 pathways were retained per LODO fold (</w:t>
      </w:r>
      <w:r>
        <w:rPr>
          <w:rFonts w:ascii="Courier New" w:hAnsi="Courier New"/>
        </w:rPr>
        <w:t>results/joint_results.csv</w:t>
      </w:r>
      <w:r>
        <w:t xml:space="preserve">, </w:t>
      </w:r>
      <w:r>
        <w:rPr>
          <w:rFonts w:ascii="Courier New" w:hAnsi="Courier New"/>
        </w:rPr>
        <w:t>rf_n_features</w:t>
      </w:r>
      <w:r>
        <w:t xml:space="preserve"> column minus 229 species) after the prevalence ≥ 10% / mean ≥ 1e-6 filter computed on training-cohort samples only.</w:t>
      </w:r>
    </w:p>
    <w:p>
      <w:pPr>
        <w:pStyle w:val="Heading2"/>
      </w:pPr>
      <w:r>
        <w:t>Species-only Random Forest under country-aware LODO</w:t>
      </w:r>
    </w:p>
    <w:p>
      <w:r>
        <w:t xml:space="preserve">The species-only Random Forest achieved a per-cohort mean LODO AUC of </w:t>
      </w:r>
      <w:r>
        <w:rPr>
          <w:b/>
        </w:rPr>
        <w:t>0.807 ± 0.065 (SD across 10 folds; `results/baseline_results.csv`)</w:t>
      </w:r>
      <w:r>
        <w:t xml:space="preserve"> and a pooled AUC of </w:t>
      </w:r>
      <w:r>
        <w:rPr>
          <w:b/>
        </w:rPr>
        <w:t>0.781 (95% CI 0.757–0.805; `results/bootstrap_ci.csv`, row `species_rf,pooled`)</w:t>
      </w:r>
      <w:r>
        <w:t xml:space="preserve"> across all 1,339 case/control predictions. Per-cohort AUCs ranged from 0.694 (ThomasAM_2018a; n_test = 53) to 0.882 (GuptaA_2019, n_test = 60; WirbelJ_2018, n_test = 125) (Figure 1; Supplementary Table S2). The largest fold, YachidaS_2019 (n_test = 508), reached an AUC of 0.708; its size dominates the pooled estimate and the DeLong comparison. At a fixed specificity of 90%, species RF achieves a sensitivity of 49.9% (</w:t>
      </w:r>
      <w:r>
        <w:rPr>
          <w:rFonts w:ascii="Courier New" w:hAnsi="Courier New"/>
        </w:rPr>
        <w:t>results/diagnostics/sens_at_fixed_spec.csv</w:t>
      </w:r>
      <w:r>
        <w:t>); at 95% specificity, 39.8% (same table).</w:t>
      </w:r>
    </w:p>
    <w:p>
      <w:r>
        <w:t xml:space="preserve">Seed sensitivity confirmed stability: across seeds {0, 1, 2, 42, 100} the per-cohort mean AUC was 0.810 ± 0.002 (range 0.807–0.811; </w:t>
      </w:r>
      <w:r>
        <w:rPr>
          <w:rFonts w:ascii="Courier New" w:hAnsi="Courier New"/>
        </w:rPr>
        <w:t>results/seed_sensitivity.csv</w:t>
      </w:r>
      <w:r>
        <w:t>).</w:t>
      </w:r>
    </w:p>
    <w:p>
      <w:pPr>
        <w:pStyle w:val="Heading2"/>
      </w:pPr>
      <w:r>
        <w:t>Joint species-plus-pathway models do not improve over species alone</w:t>
      </w:r>
    </w:p>
    <w:p>
      <w:r>
        <w:t xml:space="preserve">Adding 402–406 per-fold pathway features to the 229 species reduced rather than improved performance. The joint Random Forest reached a per-cohort mean AUC of </w:t>
      </w:r>
      <w:r>
        <w:rPr>
          <w:b/>
        </w:rPr>
        <w:t>0.804 ± 0.066 (`results/joint_results.csv`, `rf_auc` column)</w:t>
      </w:r>
      <w:r>
        <w:t xml:space="preserve"> and a pooled AUC of </w:t>
      </w:r>
      <w:r>
        <w:rPr>
          <w:b/>
        </w:rPr>
        <w:t>0.756 (95% CI 0.731–0.781; `results/bootstrap_ci.csv`, row `joint_rf,pooled`)</w:t>
      </w:r>
      <w:r>
        <w:t xml:space="preserve">. The joint XGBoost reached a per-cohort mean AUC of </w:t>
      </w:r>
      <w:r>
        <w:rPr>
          <w:b/>
        </w:rPr>
        <w:t>0.797 ± 0.064 (`results/joint_results.csv`, `xgb_auc` column)</w:t>
      </w:r>
      <w:r>
        <w:t xml:space="preserve"> and a pooled AUC of </w:t>
      </w:r>
      <w:r>
        <w:rPr>
          <w:b/>
        </w:rPr>
        <w:t>0.766 (95% CI 0.740–0.791; `results/bootstrap_ci.csv`, row `joint_xgb,pooled`)</w:t>
      </w:r>
      <w:r>
        <w:t>.</w:t>
      </w:r>
    </w:p>
    <w:p>
      <w:r>
        <w:t xml:space="preserve">Per-cohort paired comparisons (n = 10 folds) did not reach significance for either contrast: species RF vs joint RF (mean Δ = 0.003; paired t-test p = 0.87; Wilcoxon p = 0.38) or species RF vs joint XGBoost (mean Δ = 0.010; paired t-test p = 0.28; Wilcoxon p = 0.23; all in </w:t>
      </w:r>
      <w:r>
        <w:rPr>
          <w:rFonts w:ascii="Courier New" w:hAnsi="Courier New"/>
        </w:rPr>
        <w:t>results/model_comparison.csv</w:t>
      </w:r>
      <w:r>
        <w:t>). This is consistent with the low statistical power of paired tests at n = 10.</w:t>
      </w:r>
    </w:p>
    <w:p>
      <w:r>
        <w:t xml:space="preserve">The DeLong test on the same pooled held-out predictions (n = 1,339) clearly detected the difference: species RF significantly outperformed the joint RF (ΔAUC = 0.025; z = 3.35; </w:t>
      </w:r>
      <w:r>
        <w:rPr>
          <w:b/>
        </w:rPr>
        <w:t>p = 0.0008</w:t>
      </w:r>
      <w:r>
        <w:t xml:space="preserve">; </w:t>
      </w:r>
      <w:r>
        <w:rPr>
          <w:rFonts w:ascii="Courier New" w:hAnsi="Courier New"/>
        </w:rPr>
        <w:t>results/delong_results.csv</w:t>
      </w:r>
      <w:r>
        <w:t xml:space="preserve">, row 1) and the joint XGBoost (ΔAUC = 0.015; z = 2.00; </w:t>
      </w:r>
      <w:r>
        <w:rPr>
          <w:b/>
        </w:rPr>
        <w:t>p = 0.046</w:t>
      </w:r>
      <w:r>
        <w:t xml:space="preserve">; </w:t>
      </w:r>
      <w:r>
        <w:rPr>
          <w:rFonts w:ascii="Courier New" w:hAnsi="Courier New"/>
        </w:rPr>
        <w:t>results/delong_results.csv</w:t>
      </w:r>
      <w:r>
        <w:t xml:space="preserve">, row 2). The two joint models did not differ significantly from one another (z = 1.30; p = 0.19; </w:t>
      </w:r>
      <w:r>
        <w:rPr>
          <w:rFonts w:ascii="Courier New" w:hAnsi="Courier New"/>
        </w:rPr>
        <w:t>results/delong_results.csv</w:t>
      </w:r>
      <w:r>
        <w:t>, row 3). Most of the DeLong signal arises from the YachidaS_2019 fold (n_test = 508), where species RF reaches 0.708 versus 0.669 (joint RF) and 0.694 (joint XGBoost) (Figure 2; Supplementary Table S2).</w:t>
      </w:r>
    </w:p>
    <w:p>
      <w:r>
        <w:t xml:space="preserve">Together, the per-cohort and DeLong analyses agree that pathways add no benefit on average; DeLong further detects a small but statistically significant </w:t>
      </w:r>
      <w:r>
        <w:rPr>
          <w:i/>
        </w:rPr>
        <w:t>degradation</w:t>
      </w:r>
      <w:r>
        <w:t xml:space="preserve"> at the sample level, driven primarily by the largest fold.</w:t>
      </w:r>
    </w:p>
    <w:p>
      <w:pPr>
        <w:pStyle w:val="Heading2"/>
      </w:pPr>
      <w:r>
        <w:t>Filter-threshold sensitivity</w:t>
      </w:r>
    </w:p>
    <w:p>
      <w:r>
        <w:t xml:space="preserve">Across a 20-cell grid of prevalence cutoffs {0.05, 0.10, 0.15, 0.20} × mean-abundance cutoffs {1e-7, 1e-6, 1e-5, 1e-4, 1e-3}, the joint RF per-cohort mean AUC ranged from </w:t>
      </w:r>
      <w:r>
        <w:rPr>
          <w:b/>
        </w:rPr>
        <w:t>0.794 to 0.812</w:t>
      </w:r>
      <w:r>
        <w:t xml:space="preserve"> (full-grid spread 0.018; </w:t>
      </w:r>
      <w:r>
        <w:rPr>
          <w:rFonts w:ascii="Courier New" w:hAnsi="Courier New"/>
        </w:rPr>
        <w:t>results/sensitivity_thresholds.csv</w:t>
      </w:r>
      <w:r>
        <w:t>). The default thresholds (prevalence ≥ 10%, mean ≥ 1e-6) sit near the middle of the observed range, and qualitative conclusions are insensitive to the specific cutoffs chosen (Supplementary Table S1). The 1e-3 mean column retains only two pathways and effectively reduces the joint model to a near-species-only configuration.</w:t>
      </w:r>
    </w:p>
    <w:p>
      <w:pPr>
        <w:pStyle w:val="Heading2"/>
      </w:pPr>
      <w:r>
        <w:t>Confounder assessment</w:t>
      </w:r>
    </w:p>
    <w:p>
      <w:r>
        <w:t xml:space="preserve">Inclusion of age, sex, and BMI as covariates produced changes within sampling noise of the species-only baseline (per-cohort mean AUC 0.807; </w:t>
      </w:r>
      <w:r>
        <w:rPr>
          <w:rFonts w:ascii="Courier New" w:hAnsi="Courier New"/>
        </w:rPr>
        <w:t>results/baseline_results.csv</w:t>
      </w:r>
      <w:r>
        <w:t>): direct RF inclusion yielded 0.814, direct XGBoost 0.806, residualized RF 0.801, and residualized XGBoost 0.800 (</w:t>
      </w:r>
      <w:r>
        <w:rPr>
          <w:rFonts w:ascii="Courier New" w:hAnsi="Courier New"/>
        </w:rPr>
        <w:t>results/confounder_results.csv</w:t>
      </w:r>
      <w:r>
        <w:t>). The 0.800–0.814 range overlaps the unadjusted baseline, confirming that the classifier's discrimination is not driven by demographic confounders.</w:t>
      </w:r>
    </w:p>
    <w:p>
      <w:pPr>
        <w:pStyle w:val="Heading2"/>
      </w:pPr>
      <w:r>
        <w:t>Batch correction</w:t>
      </w:r>
    </w:p>
    <w:p>
      <w:r>
        <w:t xml:space="preserve">Per-fold ComBat correction on species features produced a per-cohort mean AUC of 0.815 versus 0.807 without correction (Δ +0.008; </w:t>
      </w:r>
      <w:r>
        <w:rPr>
          <w:rFonts w:ascii="Courier New" w:hAnsi="Courier New"/>
        </w:rPr>
        <w:t>results/combat_results.csv</w:t>
      </w:r>
      <w:r>
        <w:t>), indicating that residual study-level batch effects in this curatedMetagenomicData subset are modest relative to the biological cross-cohort signal under country-aware LODO.</w:t>
      </w:r>
    </w:p>
    <w:p>
      <w:pPr>
        <w:pStyle w:val="Heading2"/>
      </w:pPr>
      <w:r>
        <w:t>Feature importance</w:t>
      </w:r>
    </w:p>
    <w:p>
      <w:r>
        <w:t xml:space="preserve">TreeSHAP analysis of the joint RF identified </w:t>
      </w:r>
      <w:r>
        <w:rPr>
          <w:i/>
        </w:rPr>
        <w:t>Gemella morbillorum</w:t>
      </w:r>
      <w:r>
        <w:t xml:space="preserve">, </w:t>
      </w:r>
      <w:r>
        <w:rPr>
          <w:i/>
        </w:rPr>
        <w:t>Parvimonas micra</w:t>
      </w:r>
      <w:r>
        <w:t xml:space="preserve">, </w:t>
      </w:r>
      <w:r>
        <w:rPr>
          <w:i/>
        </w:rPr>
        <w:t>Peptostreptococcus stomatis</w:t>
      </w:r>
      <w:r>
        <w:t xml:space="preserve">, and </w:t>
      </w:r>
      <w:r>
        <w:rPr>
          <w:i/>
        </w:rPr>
        <w:t>Fusobacterium nucleatum</w:t>
      </w:r>
      <w:r>
        <w:t xml:space="preserve"> as the four highest-ranked features by mean absolute SHAP value (Figure 3). The top four features were identical in joint XGBoost up to rank order (</w:t>
      </w:r>
      <w:r>
        <w:rPr>
          <w:i/>
        </w:rPr>
        <w:t>Gemella morbillorum</w:t>
      </w:r>
      <w:r>
        <w:t xml:space="preserve">, </w:t>
      </w:r>
      <w:r>
        <w:rPr>
          <w:i/>
        </w:rPr>
        <w:t>Parvimonas micra</w:t>
      </w:r>
      <w:r>
        <w:t xml:space="preserve">, </w:t>
      </w:r>
      <w:r>
        <w:rPr>
          <w:i/>
        </w:rPr>
        <w:t>Peptostreptococcus stomatis</w:t>
      </w:r>
      <w:r>
        <w:t xml:space="preserve">, </w:t>
      </w:r>
      <w:r>
        <w:rPr>
          <w:i/>
        </w:rPr>
        <w:t>Streptococcus salivarius</w:t>
      </w:r>
      <w:r>
        <w:t xml:space="preserve">, </w:t>
      </w:r>
      <w:r>
        <w:rPr>
          <w:i/>
        </w:rPr>
        <w:t>Fusobacterium nucleatum</w:t>
      </w:r>
      <w:r>
        <w:t>). Among the top 15 features, 8 were shared between RF and XGBoost, indicating substantial concordance across architectures. The XGBoost top 15 additionally included two pathway features (PWY-6151: S-adenosyl-L-methionine cycle I; PWY0-162: superpathway of pyrimidine ribonucleotide de novo biosynthesis), consistent with the joint model's access to pathways but reinforcing that species features dominate the discriminative signal.</w:t>
      </w:r>
    </w:p>
    <w:p>
      <w:pPr>
        <w:pStyle w:val="Heading2"/>
      </w:pPr>
      <w:r>
        <w:t>Adenoma classification along the adenoma-carcinoma sequence</w:t>
      </w:r>
    </w:p>
    <w:p>
      <w:r>
        <w:t>Cross-cohort LODO across the four adenoma-containing cohorts (FengQ_2015, YachidaS_2019, ZellerG_2014, ThomasAM_2018a; total n = 183) produced markedly different performance for the two stages of the adenoma-carcinoma sequence (Figure 4):</w:t>
      </w:r>
    </w:p>
    <w:p>
      <w:pPr>
        <w:pStyle w:val="ListBullet"/>
      </w:pPr>
      <w:r>
        <w:rPr>
          <w:b/>
        </w:rPr>
        <w:t>Control vs adenoma (H-vs-A):</w:t>
      </w:r>
      <w:r>
        <w:t xml:space="preserve"> mean LODO AUC 0.561 (RF) and 0.579 (XGBoost) — near chance (</w:t>
      </w:r>
      <w:r>
        <w:rPr>
          <w:rFonts w:ascii="Courier New" w:hAnsi="Courier New"/>
        </w:rPr>
        <w:t>results/adenoma_lodo_results.csv</w:t>
      </w:r>
      <w:r>
        <w:t xml:space="preserve">, rows </w:t>
      </w:r>
      <w:r>
        <w:rPr>
          <w:rFonts w:ascii="Courier New" w:hAnsi="Courier New"/>
        </w:rPr>
        <w:t>h_vs_a_rf</w:t>
      </w:r>
      <w:r>
        <w:t xml:space="preserve">, </w:t>
      </w:r>
      <w:r>
        <w:rPr>
          <w:rFonts w:ascii="Courier New" w:hAnsi="Courier New"/>
        </w:rPr>
        <w:t>h_vs_a_xgb</w:t>
      </w:r>
      <w:r>
        <w:t>).</w:t>
      </w:r>
    </w:p>
    <w:p>
      <w:pPr>
        <w:pStyle w:val="ListBullet"/>
      </w:pPr>
      <w:r>
        <w:rPr>
          <w:b/>
        </w:rPr>
        <w:t>Adenoma vs CRC (A-vs-CRC):</w:t>
      </w:r>
      <w:r>
        <w:t xml:space="preserve"> mean LODO AUC 0.671 (RF) and 0.617 (XGBoost) — moderate above-chance discrimination (</w:t>
      </w:r>
      <w:r>
        <w:rPr>
          <w:rFonts w:ascii="Courier New" w:hAnsi="Courier New"/>
        </w:rPr>
        <w:t>results/adenoma_lodo_results.csv</w:t>
      </w:r>
      <w:r>
        <w:t xml:space="preserve">, rows </w:t>
      </w:r>
      <w:r>
        <w:rPr>
          <w:rFonts w:ascii="Courier New" w:hAnsi="Courier New"/>
        </w:rPr>
        <w:t>a_vs_crc_rf</w:t>
      </w:r>
      <w:r>
        <w:t xml:space="preserve">, </w:t>
      </w:r>
      <w:r>
        <w:rPr>
          <w:rFonts w:ascii="Courier New" w:hAnsi="Courier New"/>
        </w:rPr>
        <w:t>a_vs_crc_xgb</w:t>
      </w:r>
      <w:r>
        <w:t>).</w:t>
      </w:r>
    </w:p>
    <w:p>
      <w:r>
        <w:t xml:space="preserve">TreeSHAP rankings parallel this pattern. The H-vs-A classifier (Figure 4A) emphasizes metabolic-pathway and commensal-depletion features (e.g., PWY-5994 palmitate biosynthesis, </w:t>
      </w:r>
      <w:r>
        <w:rPr>
          <w:i/>
        </w:rPr>
        <w:t>Eubacterium eligens</w:t>
      </w:r>
      <w:r>
        <w:t xml:space="preserve">, PANTO-PWY pantothenate biosynthesis, </w:t>
      </w:r>
      <w:r>
        <w:rPr>
          <w:i/>
        </w:rPr>
        <w:t>Collinsella intestinalis</w:t>
      </w:r>
      <w:r>
        <w:t>), none of which constitutes a strong, reproducible cross-cohort signal. The CRC-vs-control (Figure 4B) and A-vs-CRC (Figure 4C) classifiers, by contrast, are both dominated by the same four oral pathobionts that top the main CRC analysis (</w:t>
      </w:r>
      <w:r>
        <w:rPr>
          <w:i/>
        </w:rPr>
        <w:t>Peptostreptococcus stomatis</w:t>
      </w:r>
      <w:r>
        <w:t xml:space="preserve">, </w:t>
      </w:r>
      <w:r>
        <w:rPr>
          <w:i/>
        </w:rPr>
        <w:t>Parvimonas micra</w:t>
      </w:r>
      <w:r>
        <w:t xml:space="preserve">, </w:t>
      </w:r>
      <w:r>
        <w:rPr>
          <w:i/>
        </w:rPr>
        <w:t>Gemella morbillorum</w:t>
      </w:r>
      <w:r>
        <w:t xml:space="preserve">, </w:t>
      </w:r>
      <w:r>
        <w:rPr>
          <w:i/>
        </w:rPr>
        <w:t>Fusobacterium nucleatum</w:t>
      </w:r>
      <w:r>
        <w:t>). The reordering of top features between the H-vs-A and A-vs-CRC tasks is consistent with a stepwise oral-pathobiont enrichment during malignant transformation and supports treating adenoma and CRC as biologically distinct microbiome states rather than two points on a smooth severity gradient.</w:t>
      </w:r>
    </w:p>
    <w:p>
      <w:pPr>
        <w:pStyle w:val="Heading2"/>
      </w:pPr>
      <w:r>
        <w:t>Figure legends</w:t>
      </w:r>
    </w:p>
    <w:p>
      <w:r>
        <w:rPr>
          <w:b/>
        </w:rPr>
        <w:t>Figure 1.</w:t>
      </w:r>
      <w:r>
        <w:t xml:space="preserve"> Forest plot of per-cohort and pooled LODO AUCs with 10,000-iteration bootstrap 95% CIs for CRC versus control classification under country-aware leave-one-dataset-out cross-validation. Three classifiers are shown: species-only Random Forest, joint species-plus-pathway Random Forest, and joint XGBoost. The pooled estimate (n = 1,339) is shown at the bottom.</w:t>
      </w:r>
    </w:p>
    <w:p>
      <w:r>
        <w:rPr>
          <w:b/>
        </w:rPr>
        <w:t>Figure 2.</w:t>
      </w:r>
      <w:r>
        <w:t xml:space="preserve"> Receiver operating characteristic (ROC) curves for pooled LODO predictions (n = 1,339) comparing species-only Random Forest (AUC = 0.781), joint Random Forest (AUC = 0.756), and joint XGBoost (AUC = 0.766). The diagonal indicates chance-level classification.</w:t>
      </w:r>
    </w:p>
    <w:p>
      <w:r>
        <w:rPr>
          <w:b/>
        </w:rPr>
        <w:t>Figure 3.</w:t>
      </w:r>
      <w:r>
        <w:t xml:space="preserve"> Top 15 species and pathway features by mean absolute TreeSHAP value for CRC versus control classification. Left, joint Random Forest; right, joint XGBoost. The four highest-ranked species (</w:t>
      </w:r>
      <w:r>
        <w:rPr>
          <w:i/>
        </w:rPr>
        <w:t>Parvimonas micra</w:t>
      </w:r>
      <w:r>
        <w:t xml:space="preserve">, </w:t>
      </w:r>
      <w:r>
        <w:rPr>
          <w:i/>
        </w:rPr>
        <w:t>Peptostreptococcus stomatis</w:t>
      </w:r>
      <w:r>
        <w:t xml:space="preserve">, </w:t>
      </w:r>
      <w:r>
        <w:rPr>
          <w:i/>
        </w:rPr>
        <w:t>Gemella morbillorum</w:t>
      </w:r>
      <w:r>
        <w:t xml:space="preserve">, </w:t>
      </w:r>
      <w:r>
        <w:rPr>
          <w:i/>
        </w:rPr>
        <w:t>Fusobacterium nucleatum</w:t>
      </w:r>
      <w:r>
        <w:t>) are concordant across both models; 8 of 15 features are shared between RF and XGBoost.</w:t>
      </w:r>
    </w:p>
    <w:p>
      <w:r>
        <w:rPr>
          <w:b/>
        </w:rPr>
        <w:t>Figure 4.</w:t>
      </w:r>
      <w:r>
        <w:t xml:space="preserve"> Three-panel TreeSHAP comparison across the adenoma-carcinoma sequence under country-aware LODO across the four adenoma-containing cohorts (n = 183 adenomas). (A) Control vs adenoma (H-vs-A; RF mean LODO AUC 0.561). (B) CRC vs control (reference panel). (C) Adenoma vs CRC (A-vs-CRC; RF mean LODO AUC 0.671). The oral-pathobiont signature (</w:t>
      </w:r>
      <w:r>
        <w:rPr>
          <w:i/>
        </w:rPr>
        <w:t>Peptostreptococcus stomatis</w:t>
      </w:r>
      <w:r>
        <w:t xml:space="preserve">, </w:t>
      </w:r>
      <w:r>
        <w:rPr>
          <w:i/>
        </w:rPr>
        <w:t>Parvimonas micra</w:t>
      </w:r>
      <w:r>
        <w:t xml:space="preserve">, </w:t>
      </w:r>
      <w:r>
        <w:rPr>
          <w:i/>
        </w:rPr>
        <w:t>Gemella morbillorum</w:t>
      </w:r>
      <w:r>
        <w:t xml:space="preserve">, </w:t>
      </w:r>
      <w:r>
        <w:rPr>
          <w:i/>
        </w:rPr>
        <w:t>Fusobacterium nucleatum</w:t>
      </w:r>
      <w:r>
        <w:t>) dominates the two panels involving CRC samples and is largely absent from the H-vs-A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