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rPr>
          <w:b/>
        </w:rPr>
        <w:t>Background.</w:t>
      </w:r>
      <w:r>
        <w:t xml:space="preserve"> Shotgun gut metagenomic classifiers can discriminate colorectal cancer (CRC) cases from controls, but the incremental value of metabolic pathway features beyond species-level taxonomic profiles has not been rigorously tested, and the robustness of cross-cohort classifiers to analytical choices is rarely evaluated systematically.</w:t>
      </w:r>
    </w:p>
    <w:p>
      <w:r>
        <w:rPr>
          <w:b/>
        </w:rPr>
        <w:t>Methods.</w:t>
      </w:r>
      <w:r>
        <w:t xml:space="preserve"> We assembled 1,522 stool metagenomes from ten publicly available CRC case-control cohorts (674 CRC, 665 controls, 183 adenomas) accessed through curatedMetagenomicData. HanniganGD_2017 was excluded a priori for low sequencing depth. MetaPhlAn species (229 features after a 10% prevalence / 1e-4 mean filter and log10(x + 1e-6) transform) and unstratified HUMAnN pathway abundances (551 candidate pathways, refiltered per fold at prevalence ≥ 10% and mean ≥ 1e-6, retaining 402–406 features) were compared under country-aware leave-one-dataset-out (LODO) cross-validation. Three classifiers were evaluated: species-only Random Forest (RF), joint species-plus-pathway RF, and joint XGBoost. Classifier discrimination was compared using the DeLong test (Sun and Xu 2014) on pooled held-out predictions, complemented by per-cohort paired t-tests and Wilcoxon signed-rank tests. 95% confidence intervals were derived from 10,000-iteration cohort-stratified bootstrap resampling.</w:t>
      </w:r>
    </w:p>
    <w:p>
      <w:r>
        <w:rPr>
          <w:b/>
        </w:rPr>
        <w:t>Results.</w:t>
      </w:r>
      <w:r>
        <w:t xml:space="preserve"> The species-only RF achieved a per-cohort mean LODO AUC of 0.807 ± 0.065 (</w:t>
      </w:r>
      <w:r>
        <w:rPr>
          <w:rFonts w:ascii="Courier New" w:hAnsi="Courier New"/>
        </w:rPr>
        <w:t>results/baseline_results.csv</w:t>
      </w:r>
      <w:r>
        <w:t xml:space="preserve">) and a pooled AUC of 0.781 (95% CI 0.757–0.805; </w:t>
      </w:r>
      <w:r>
        <w:rPr>
          <w:rFonts w:ascii="Courier New" w:hAnsi="Courier New"/>
        </w:rPr>
        <w:t>results/bootstrap_ci.csv</w:t>
      </w:r>
      <w:r>
        <w:t xml:space="preserve">). It significantly outperformed the joint RF (pooled AUC 0.756, 95% CI 0.731–0.781; DeLong z = 3.35, p = 0.0008) and the joint XGBoost (pooled AUC 0.766, 95% CI 0.740–0.791; z = 2.00, p = 0.046; </w:t>
      </w:r>
      <w:r>
        <w:rPr>
          <w:rFonts w:ascii="Courier New" w:hAnsi="Courier New"/>
        </w:rPr>
        <w:t>results/delong_results.csv</w:t>
      </w:r>
      <w:r>
        <w:t xml:space="preserve">). Per-cohort paired tests on the same comparisons did not reach significance (t-test p = 0.87 and 0.28; </w:t>
      </w:r>
      <w:r>
        <w:rPr>
          <w:rFonts w:ascii="Courier New" w:hAnsi="Courier New"/>
        </w:rPr>
        <w:t>results/model_comparison.csv</w:t>
      </w:r>
      <w:r>
        <w:t xml:space="preserve">), consistent with limited power at n = 10 folds. Results were stable across five random seeds (mean per-cohort AUC 0.810 ± 0.002, range 0.807–0.811; </w:t>
      </w:r>
      <w:r>
        <w:rPr>
          <w:rFonts w:ascii="Courier New" w:hAnsi="Courier New"/>
        </w:rPr>
        <w:t>results/seed_sensitivity.csv</w:t>
      </w:r>
      <w:r>
        <w:t xml:space="preserve">), a 20-cell pathway-threshold sensitivity grid (0.794–0.812, spread 0.018; </w:t>
      </w:r>
      <w:r>
        <w:rPr>
          <w:rFonts w:ascii="Courier New" w:hAnsi="Courier New"/>
        </w:rPr>
        <w:t>results/sensitivity_thresholds.csv</w:t>
      </w:r>
      <w:r>
        <w:t xml:space="preserve">), and demographic adjustment for age, sex, and BMI (0.800–0.814; </w:t>
      </w:r>
      <w:r>
        <w:rPr>
          <w:rFonts w:ascii="Courier New" w:hAnsi="Courier New"/>
        </w:rPr>
        <w:t>results/confounder_results.csv</w:t>
      </w:r>
      <w:r>
        <w:t xml:space="preserve">). Cross-cohort adenoma LODO across the four adenoma-containing cohorts (n = 183) yielded near-chance discrimination for healthy-vs-adenoma (RF 0.561, XGB 0.579) and moderate discrimination for adenoma-vs-CRC (RF 0.671, XGB 0.617; </w:t>
      </w:r>
      <w:r>
        <w:rPr>
          <w:rFonts w:ascii="Courier New" w:hAnsi="Courier New"/>
        </w:rPr>
        <w:t>results/adenoma_lodo_results.csv</w:t>
      </w:r>
      <w:r>
        <w:t>), consistent with a stepwise oral-pathobiont enrichment along the adenoma-carcinoma sequence.</w:t>
      </w:r>
    </w:p>
    <w:p>
      <w:r>
        <w:rPr>
          <w:b/>
        </w:rPr>
        <w:t>Conclusions.</w:t>
      </w:r>
      <w:r>
        <w:t xml:space="preserve"> At current cross-cohort sample sizes, species-level taxonomic features alone provide superior CRC classification compared to joint species-plus-pathway models; adding pathway features increases dimensionality without proportional signal gain. The findings support parsimonious species-level classifiers for microbiome-based CRC screening and highlight the importance of formal statistical comparison and systematic robustness evaluation in metagenomic classification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