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w:t>
      </w:r>
    </w:p>
    <w:p>
      <w:r>
        <w:t xml:space="preserve">We re-evaluated the Thomas et al. (2019) multi-cohort CRC classification framework on an expanded set of 10 curatedMetagenomicData cohorts (1,522 subjects; 1,339 case/control samples), applying country-aware LODO, per-fold pathway filtering, formal DeLong-based classifier comparison, and a systematic robustness battery. Our central finding is that </w:t>
      </w:r>
      <w:r>
        <w:rPr>
          <w:b/>
        </w:rPr>
        <w:t>species-level taxonomic features alone provide better cross-cohort CRC classification than joint species-plus-pathway models</w:t>
      </w:r>
      <w:r>
        <w:t xml:space="preserve"> at current sample sizes: pooled DeLong z = 3.35, p = 0.0008 versus the joint Random Forest, and z = 2.00, p = 0.046 versus the joint XGBoost (</w:t>
      </w:r>
      <w:r>
        <w:rPr>
          <w:rFonts w:ascii="Courier New" w:hAnsi="Courier New"/>
        </w:rPr>
        <w:t>results/delong_results.csv</w:t>
      </w:r>
      <w:r>
        <w:t>). The species-only baseline was stable across random seeds, pathway-filter thresholds, demographic adjustment, and per-fold ComBat batch correction.</w:t>
      </w:r>
    </w:p>
    <w:p>
      <w:pPr>
        <w:pStyle w:val="Heading2"/>
      </w:pPr>
      <w:r>
        <w:t>Negative result on pathways is consistent with over-parameterization</w:t>
      </w:r>
    </w:p>
    <w:p>
      <w:r>
        <w:t xml:space="preserve">The joint species-plus-pathway model adds roughly 400 community-level pathway features to the 229 retained species without improving per-fold AUC and significantly degrades pooled discrimination relative to the species-only baseline (DeLong z = 3.35, p = 0.0008 for joint RF; z = 2.00, p = 0.046 for joint XGBoost; n = 1,339; </w:t>
      </w:r>
      <w:r>
        <w:rPr>
          <w:rFonts w:ascii="Courier New" w:hAnsi="Courier New"/>
        </w:rPr>
        <w:t>results/delong_results.csv</w:t>
      </w:r>
      <w:r>
        <w:t>). This pattern is consistent with the curse of dimensionality acting on a fixed-n problem: nearly tripling the feature count without a proportional gain in independent signal dilutes the probability that the most informative taxa are sampled at each split (</w:t>
      </w:r>
      <w:r>
        <w:rPr>
          <w:rFonts w:ascii="Courier New" w:hAnsi="Courier New"/>
        </w:rPr>
        <w:t>max_features = 'sqrt'</w:t>
      </w:r>
      <w:r>
        <w:t xml:space="preserve"> in Random Forest; </w:t>
      </w:r>
      <w:r>
        <w:rPr>
          <w:rFonts w:ascii="Courier New" w:hAnsi="Courier New"/>
        </w:rPr>
        <w:t>colsample_bytree = 0.8</w:t>
      </w:r>
      <w:r>
        <w:t xml:space="preserve"> in XGBoost). Pathway features are also highly correlated with the taxa that encode the corresponding genes — the four oral pathobionts that top the species SHAP rankings (</w:t>
      </w:r>
      <w:r>
        <w:rPr>
          <w:i/>
        </w:rPr>
        <w:t>Fusobacterium nucleatum</w:t>
      </w:r>
      <w:r>
        <w:t xml:space="preserve">, </w:t>
      </w:r>
      <w:r>
        <w:rPr>
          <w:i/>
        </w:rPr>
        <w:t>Parvimonas micra</w:t>
      </w:r>
      <w:r>
        <w:t xml:space="preserve">, </w:t>
      </w:r>
      <w:r>
        <w:rPr>
          <w:i/>
        </w:rPr>
        <w:t>Peptostreptococcus stomatis</w:t>
      </w:r>
      <w:r>
        <w:t xml:space="preserve">, </w:t>
      </w:r>
      <w:r>
        <w:rPr>
          <w:i/>
        </w:rPr>
        <w:t>Gemella morbillorum</w:t>
      </w:r>
      <w:r>
        <w:t xml:space="preserve">) collectively contribute to a wide swathe of unstratified pathways — so much of the apparent "functional" signal is already captured by the taxonomic features. The biologically-guided shortlist (~66 retained features per fold drawn from 9 CRC-relevant functional groups; mean LODO AUC 0.817; </w:t>
      </w:r>
      <w:r>
        <w:rPr>
          <w:rFonts w:ascii="Courier New" w:hAnsi="Courier New"/>
        </w:rPr>
        <w:t>results/bio_pathway_results.csv</w:t>
      </w:r>
      <w:r>
        <w:t>) shows the same pattern: no rescue of the joint model. Strain- or gene-level features were not evaluated because curatedMetagenomicData does not distribute them at the depth required for a 10-cohort pooled analysis. This is consistent with the broader high-dimensional / low-sample-size literature (Bellman 1961; Trunk 1979): at n ≈ 1,300 across heterogeneous cohorts, parsimony wins. The result should be read as a statement about the current sample-size regime — and the granularity of features available from standard pipelines — rather than as a categorical claim that functional features can never help; with substantially larger pooled datasets (Piccinno et al. 2025), the noise contribution of additional features may diminish.</w:t>
      </w:r>
    </w:p>
    <w:p>
      <w:r>
        <w:t>TreeSHAP rankings on the species Random Forest agree closely with permutation-importance rankings on the same model: 16 of the top 20 species by TreeSHAP also appear in the top 20 by permutation importance (</w:t>
      </w:r>
      <w:r>
        <w:rPr>
          <w:rFonts w:ascii="Courier New" w:hAnsi="Courier New"/>
        </w:rPr>
        <w:t>results/diagnostics/permutation_vs_shap_correlation.csv</w:t>
      </w:r>
      <w:r>
        <w:t>). Three of the four oral-pathobiont species (</w:t>
      </w:r>
      <w:r>
        <w:rPr>
          <w:i/>
        </w:rPr>
        <w:t>Fusobacterium nucleatum</w:t>
      </w:r>
      <w:r>
        <w:t xml:space="preserve">, </w:t>
      </w:r>
      <w:r>
        <w:rPr>
          <w:i/>
        </w:rPr>
        <w:t>Peptostreptococcus stomatis</w:t>
      </w:r>
      <w:r>
        <w:t xml:space="preserve">, </w:t>
      </w:r>
      <w:r>
        <w:rPr>
          <w:i/>
        </w:rPr>
        <w:t>Gemella morbillorum</w:t>
      </w:r>
      <w:r>
        <w:t xml:space="preserve">) retain top-four rank under both measures; </w:t>
      </w:r>
      <w:r>
        <w:rPr>
          <w:i/>
        </w:rPr>
        <w:t>Parvimonas micra</w:t>
      </w:r>
      <w:r>
        <w:t xml:space="preserve"> ranks 2 by TreeSHAP and 12 by permutation, indicating lower individual model dependence but consistent inclusion in the top-importance band. Per-cohort SHAP rank does not correlate with cohort median sequencing depth for </w:t>
      </w:r>
      <w:r>
        <w:rPr>
          <w:i/>
        </w:rPr>
        <w:t>F. nucleatum</w:t>
      </w:r>
      <w:r>
        <w:t xml:space="preserve"> (Spearman ρ = −0.19, p = 0.59, n = 10 cohorts; </w:t>
      </w:r>
      <w:r>
        <w:rPr>
          <w:rFonts w:ascii="Courier New" w:hAnsi="Courier New"/>
        </w:rPr>
        <w:t>results/diagnostics/depth_confound_shap.csv</w:t>
      </w:r>
      <w:r>
        <w:t>); no top-20 species survives a multiple-testing-corrected threshold for depth-rank correlation. The oral-pathobiont signature is therefore not an artifact of TreeSHAP's bias toward high-cardinality features nor of cohort-level read depth. The broad meta-methodology survey of cancer microbiome signals across pipelines, references, and contamination-handling strategies (Sepich-Poore et al. 2024) demonstrates the importance of comprehensive robustness batteries of the type implemented here for distinguishing reproducible biological signal from pipeline-specific artefacts.</w:t>
      </w:r>
    </w:p>
    <w:p>
      <w:r>
        <w:t xml:space="preserve">The joint XGBoost model exhibits a notably larger reliability term in the Brier decomposition (0.026) than either Random Forest (species RF 0.007; joint RF 0.006; </w:t>
      </w:r>
      <w:r>
        <w:rPr>
          <w:rFonts w:ascii="Courier New" w:hAnsi="Courier New"/>
        </w:rPr>
        <w:t>results/diagnostics/brier_decomposition.csv</w:t>
      </w:r>
      <w:r>
        <w:t>), reflecting more aggressive logit pushes toward 0 and 1 that produce a U-shaped predicted-probability distribution. This is a calibration property of gradient-boosted decision trees on heterogeneous tabular metagenomic data rather than a model-comparison artifact, but it argues for the Random Forest as the preferred deployment candidate where probability calibration matters (e.g., downstream Bayesian thresholding for screening decisions).</w:t>
      </w:r>
    </w:p>
    <w:p>
      <w:pPr>
        <w:pStyle w:val="Heading2"/>
      </w:pPr>
      <w:r>
        <w:t>Granularity of functional features</w:t>
      </w:r>
    </w:p>
    <w:p>
      <w:r>
        <w:t xml:space="preserve">Overall HUMAnN unstratified pathway abundances sit at an intermediate granularity between species composition and gene-level functional content: each feature is a community-level relative abundance for one MetaCyc pathway, summed across all contributing taxa. Two refinements at finer granularities were tested. First, a </w:t>
      </w:r>
      <w:r>
        <w:rPr>
          <w:i/>
        </w:rPr>
        <w:t>biologically-guided pathway shortlist</w:t>
      </w:r>
      <w:r>
        <w:t xml:space="preserve"> (</w:t>
      </w:r>
      <w:r>
        <w:rPr>
          <w:rFonts w:ascii="Courier New" w:hAnsi="Courier New"/>
        </w:rPr>
        <w:t>scripts/bio_pathway_shortlist.py</w:t>
      </w:r>
      <w:r>
        <w:t xml:space="preserve">) restricted candidate pathways to nine CRC-relevant functional groups — butyrate / short-chain fatty acid production, fermentation, lipopolysaccharide and inflammation pathways, polyamine synthesis, tryptophan metabolism, folate and one-carbon metabolism, sulfur and methionine metabolism, glycan / mucin degradation, and bile-acid metabolism (BSH-mediated deconjugation and 7alpha-dehydroxylation / bai operon) — selected from the published CRC microbiome literature before any model fitting. Second, </w:t>
      </w:r>
      <w:r>
        <w:rPr>
          <w:i/>
        </w:rPr>
        <w:t>species-stratified pathways</w:t>
      </w:r>
      <w:r>
        <w:t xml:space="preserve"> (</w:t>
      </w:r>
      <w:r>
        <w:rPr>
          <w:rFonts w:ascii="Courier New" w:hAnsi="Courier New"/>
        </w:rPr>
        <w:t>scripts/stratified_pathway_pilot.py</w:t>
      </w:r>
      <w:r>
        <w:t xml:space="preserve">, </w:t>
      </w:r>
      <w:r>
        <w:rPr>
          <w:rFonts w:ascii="Courier New" w:hAnsi="Courier New"/>
        </w:rPr>
        <w:t>results/stratified_pathway_pilot.csv</w:t>
      </w:r>
      <w:r>
        <w:t>) decompose each pathway abundance into per-taxon contributions, producing &gt;4,000 columns at the cost of substantial sparsity and redundancy. Neither refinement rescued the joint model. We interpret this as evidence that, at the current dataset size, taxonomic composition already captures most of the discriminative signal accessible from shotgun metagenomics through standard MetaPhlAn / HUMAnN profiling. Genuinely additive functional information would, on this evidence, require strain- or gene-level resolution — and corresponding sample sizes — beyond the scope of this work.</w:t>
      </w:r>
    </w:p>
    <w:p>
      <w:pPr>
        <w:pStyle w:val="Heading2"/>
      </w:pPr>
      <w:r>
        <w:t>Biology of the CRC-enriched oral-pathobiont signature</w:t>
      </w:r>
    </w:p>
    <w:p>
      <w:r>
        <w:t xml:space="preserve">The top SHAP features for the CRC-vs-control classifier are dominated by taxa more typical of the oral cavity than of the colon: </w:t>
      </w:r>
      <w:r>
        <w:rPr>
          <w:i/>
        </w:rPr>
        <w:t>Fusobacterium nucleatum</w:t>
      </w:r>
      <w:r>
        <w:t xml:space="preserve">, </w:t>
      </w:r>
      <w:r>
        <w:rPr>
          <w:i/>
        </w:rPr>
        <w:t>Peptostreptococcus stomatis</w:t>
      </w:r>
      <w:r>
        <w:t xml:space="preserve">, </w:t>
      </w:r>
      <w:r>
        <w:rPr>
          <w:i/>
        </w:rPr>
        <w:t>Parvimonas micra</w:t>
      </w:r>
      <w:r>
        <w:t xml:space="preserve">, </w:t>
      </w:r>
      <w:r>
        <w:rPr>
          <w:i/>
        </w:rPr>
        <w:t>Gemella morbillorum</w:t>
      </w:r>
      <w:r>
        <w:t xml:space="preserve">, </w:t>
      </w:r>
      <w:r>
        <w:rPr>
          <w:i/>
        </w:rPr>
        <w:t>Solobacterium moorei</w:t>
      </w:r>
      <w:r>
        <w:t xml:space="preserve">, and </w:t>
      </w:r>
      <w:r>
        <w:rPr>
          <w:i/>
        </w:rPr>
        <w:t>Streptococcus salivarius</w:t>
      </w:r>
      <w:r>
        <w:t xml:space="preserve">. </w:t>
      </w:r>
      <w:r>
        <w:rPr>
          <w:i/>
        </w:rPr>
        <w:t>F. nucleatum</w:t>
      </w:r>
      <w:r>
        <w:t xml:space="preserve"> in particular has been mechanistically linked to CRC through FadA-mediated adhesion to E-cadherin, β-catenin signalling, and tumour-permissive immune modulation; the other taxa form part of a co-occurring oral consortium repeatedly observed in CRC tumours and stool. The same oral-bacterial taxa have been observed in upper-gastrointestinal cancers and Barrett's esophagus (Annavajhala et al. 2020), consistent with a broader pattern in which oral pathobionts colonise transformed gastrointestinal epithelium across anatomical sites. Their reproducibility across cohorts on three continents — at top SHAP ranks in both Random Forest and XGBoost despite very different splitting criteria — is the most convincing single observation in this analysis. It is also the feature signature that drives the moderate adenoma-vs-CRC performance, suggesting that oral-pathobiont colonisation is a relatively late event in the adenoma-carcinoma sequence.</w:t>
      </w:r>
    </w:p>
    <w:p>
      <w:pPr>
        <w:pStyle w:val="Heading2"/>
      </w:pPr>
      <w:r>
        <w:t>A stepwise model of microbiome change along the adenoma-carcinoma sequence</w:t>
      </w:r>
    </w:p>
    <w:p>
      <w:r>
        <w:t xml:space="preserve">The adenoma LODO results provide a coherent stage-specific picture. </w:t>
      </w:r>
      <w:r>
        <w:rPr>
          <w:b/>
        </w:rPr>
        <w:t>Control vs adenoma</w:t>
      </w:r>
      <w:r>
        <w:t xml:space="preserve"> classification was near chance (RF 0.561, XGBoost 0.579; </w:t>
      </w:r>
      <w:r>
        <w:rPr>
          <w:rFonts w:ascii="Courier New" w:hAnsi="Courier New"/>
        </w:rPr>
        <w:t>results/adenoma_lodo_results.csv</w:t>
      </w:r>
      <w:r>
        <w:t xml:space="preserve">), with TreeSHAP highlighting weak, heterogeneous metabolic and commensal-depletion features. </w:t>
      </w:r>
      <w:r>
        <w:rPr>
          <w:b/>
        </w:rPr>
        <w:t>Adenoma vs CRC</w:t>
      </w:r>
      <w:r>
        <w:t xml:space="preserve"> classification was moderate (RF 0.671, XGBoost 0.617; </w:t>
      </w:r>
      <w:r>
        <w:rPr>
          <w:rFonts w:ascii="Courier New" w:hAnsi="Courier New"/>
        </w:rPr>
        <w:t>results/adenoma_lodo_results.csv</w:t>
      </w:r>
      <w:r>
        <w:t>), with TreeSHAP dominated by the same oral-pathobiont signature that drives CRC-vs-control. This pattern is consistent with a model in which (i) the microbiome of early-stage adenoma is largely indistinguishable from healthy controls by global stool composition, and (ii) the oral-pathobiont enrichment is acquired at or near the transition to invasive carcinoma. Such a model has clinical implications: stool metagenomic screens are unlikely to detect early adenomas at useful sensitivity, but may have value in distinguishing advanced lesions from carcinoma and in monitoring post-resection recurrence. It also reinforces that adenoma and CRC are biologically distinct microbiome states rather than two points on a smooth severity gradient.</w:t>
      </w:r>
    </w:p>
    <w:p>
      <w:pPr>
        <w:pStyle w:val="Heading2"/>
      </w:pPr>
      <w:r>
        <w:t>Adenoma analysis: class-balance robustness</w:t>
      </w:r>
    </w:p>
    <w:p>
      <w:r>
        <w:t>The adenoma LODO folds have small minority-class counts per cohort (n_adenoma ranges from 27 in ThomasAM_2018a to 67 in YachidaS_2019), which raises the possibility that the near-chance control-vs-adenoma result is a methodological artefact of class imbalance rather than a biological observation. We tested this directly with three per-fold class-rebalancing strategies, applied to the training fold only (</w:t>
      </w:r>
      <w:r>
        <w:rPr>
          <w:rFonts w:ascii="Courier New" w:hAnsi="Courier New"/>
        </w:rPr>
        <w:t>scripts/rebalanced_adenoma_lodo.py</w:t>
      </w:r>
      <w:r>
        <w:t xml:space="preserve">): inverse-frequency reweighting, random undersampling of the majority class, and SMOTE oversampling of the minority class. The comparison is summarised in </w:t>
      </w:r>
      <w:r>
        <w:rPr>
          <w:rFonts w:ascii="Courier New" w:hAnsi="Courier New"/>
        </w:rPr>
        <w:t>results/adenoma_rebalanced_summary.csv</w:t>
      </w:r>
      <w:r>
        <w:t>. The qualitative finding — healthy-vs-adenoma near chance and adenoma-vs-CRC moderate — was robust across all three rebalancing strategies and consistent with the headline class-weighted run. We therefore interpret the weak adenoma signal as reflecting true biological under-determination of pre-cancerous microbiome change at the granularity of standard shotgun metagenomic profiling, rather than a sampling-imbalance artefact.</w:t>
      </w:r>
    </w:p>
    <w:p>
      <w:pPr>
        <w:pStyle w:val="Heading2"/>
      </w:pPr>
      <w:r>
        <w:t>Batch effects vs cross-cohort generalisation</w:t>
      </w:r>
    </w:p>
    <w:p>
      <w:r>
        <w:t xml:space="preserve">Cross-cohort variability in DNA extraction, library preparation, sequencing depth, and host population genetics is the dominant source of microbiome variation across these 10 cohorts, and any cross-cohort classification result must be read against that background. Two design choices respond directly to this. First, country-aware LODO treats each cohort as a single batch and additionally excludes same-country cohorts from training, removing geographic and population-level confounding that would otherwise leak through diet- and host-genetics-correlated taxa: the most explicit illustration is the ThomasAM_2019_c fold, where allowing YachidaS_2019 (the second Japanese cohort) into training inflated test AUC to 0.998, dropping to 0.836 once Japan is excluded. The species-only RF reached per-cohort AUC ≥ 0.69 in every fold and ≥ 0.80 in 7 of 10 folds under this stricter split. Second, per-fold filtering and feature normalisation use training-cohort statistics only, preventing test-cohort sample composition from influencing the feature set or its scaling. ComBat applied per fold as a robustness check increases pooled per-cohort mean AUC marginally (0.815 vs 0.807 uncorrected; </w:t>
      </w:r>
      <w:r>
        <w:rPr>
          <w:rFonts w:ascii="Courier New" w:hAnsi="Courier New"/>
        </w:rPr>
        <w:t>results/combat_results.csv</w:t>
      </w:r>
      <w:r>
        <w:t>) and does not change the qualitative conclusions, which we interpret as evidence that the biological signal survives the dominant technical batch effects under the country-aware LODO design rather than being recovered by post-hoc mean/variance harmonisation. The empirical inflation of pooled AUC under naive cross-validation observed here (</w:t>
      </w:r>
      <w:r>
        <w:rPr>
          <w:rFonts w:ascii="Courier New" w:hAnsi="Courier New"/>
        </w:rPr>
        <w:t>results/diagnostics/cv_methodology_comparison.csv</w:t>
      </w:r>
      <w:r>
        <w:t xml:space="preserve">; +0.050 AUC for pooled 5-fold versus country-aware LODO) is consistent with the more general distributional-bias concerns documented for leave-one-out estimators in microbiome prediction (Austin et al. 2025, </w:t>
      </w:r>
      <w:r>
        <w:rPr>
          <w:i/>
        </w:rPr>
        <w:t>Sci. Adv.</w:t>
      </w:r>
      <w:r>
        <w:t>). Country-aware LODO is one practical mitigation among several; methodological choices that explicitly account for cohort-level distributional heterogeneity should become standard for cross-cohort microbiome benchmarks.</w:t>
      </w:r>
    </w:p>
    <w:p>
      <w:pPr>
        <w:pStyle w:val="Heading2"/>
      </w:pPr>
      <w:r>
        <w:t>Implications for microbiome-based CRC screening</w:t>
      </w:r>
    </w:p>
    <w:p>
      <w:r>
        <w:t>The practical implication is that a parsimonious species-only classifier is preferable to more complex joint models for stool-based CRC screening in the near term. Species-level profiling is more standardised across bioinformatics pipelines than functional profiling, requires less computational infrastructure, and — as we show — delivers equal or superior classification performance at the sample sizes typical of current clinical validation studies. As metagenomic datasets scale to thousands of samples, the cost-benefit calculus for including pathway features may shift, but at present the added complexity is not justified by improved performance.</w:t>
      </w:r>
    </w:p>
    <w:p>
      <w:pPr>
        <w:pStyle w:val="Heading2"/>
      </w:pPr>
      <w:r>
        <w:t>Limitations</w:t>
      </w:r>
    </w:p>
    <w:p>
      <w:r>
        <w:t>Several limitations warrant emphasis. First, clinical metadata harmonisation across curatedMetagenomicData is limited to age, sex, and BMI; we do not model adenoma stage (advanced vs non-advanced), tumour location, TNM stage, or treatment history because these fields are not uniformly reported. The H-vs-A near-chance result therefore reflects cross-cohort generalisation difficulty under heterogeneous case definitions, not necessarily the absence of any microbiome signal for adenoma. Second, the dataset is purely cross-sectional; no longitudinal samples are available to test progression or post-treatment trajectories. Third, our analysis is restricted to cohorts processed through the curatedMetagenomicData uniform pipeline; we did not validate the classifier on independently processed, non-curatedMetagenomicData cohorts, and processing-pipeline differences (read trimming, taxonomic database version, pathway database version) could attenuate generalisation in that setting. Fourth, we did not perform nested-CV hyperparameter tuning; we justify this on the grounds that the joint model already fails to outperform the species baseline at default hyperparameters, but tuned joint models could in principle narrow the gap. Fifth, the pathway features used here are unstratified community-level abundances; taxon-stratified features were excluded due to redundancy and dimensionality but could in principle separate species-encoded from metagenome-wide signals. Sixth, the adenoma analyses are statistically underpowered (4 cohorts, n = 183) and should be interpreted as hypothesis-generating rather than definitive.</w:t>
      </w:r>
    </w:p>
    <w:p>
      <w:r>
        <w:t>The 10 cohorts in this meta-analysis are geographically concentrated in Europe, East Asia, and North America, with one Indian cohort (GuptaA_2019, n=60) and no cohorts from Africa, Latin America, or the Middle East. This reflects the current geographic distribution of public shotgun metagenomic CRC datasets rather than a methodological choice. Findings should not be assumed to generalize to populations whose gut microbiota, diet, and exposure profiles differ substantially from the cohorts represented here. Expansion to under-represented populations is a priority for future work.</w:t>
      </w:r>
    </w:p>
    <w:p>
      <w:pPr>
        <w:pStyle w:val="Heading2"/>
      </w:pPr>
      <w:r>
        <w:t>Position relative to current non-invasive screening</w:t>
      </w:r>
    </w:p>
    <w:p>
      <w:r>
        <w:t xml:space="preserve">The Fecal Immunochemical Test (FIT) remains the established non-invasive primary screening modality for colorectal cancer, with published per-test sensitivity of approximately 79% and specificity of approximately 94% (Imperiale et al. 2014). At population CRC prevalence of approximately 5%, FIT's positive predictive value is therefore considerably higher than a microbiome-based classifier operating at the AUC observed here (see </w:t>
      </w:r>
      <w:r>
        <w:rPr>
          <w:rFonts w:ascii="Courier New" w:hAnsi="Courier New"/>
        </w:rPr>
        <w:t>results/diagnostics/fit_vs_microbiome.csv</w:t>
      </w:r>
      <w:r>
        <w:t>). The clinical role most plausibly supported by our results is therefore not as a replacement for FIT, but as a stratifier — for example, of FIT-negative individuals at elevated baseline risk — or as a longitudinal monitoring substrate where serial sampling can offset the per-test discrimination gap. Direct head-to-head prospective comparison in screening-age populations remains essential before any deployment claim can be made.</w:t>
      </w:r>
    </w:p>
    <w:p>
      <w:pPr>
        <w:pStyle w:val="Heading2"/>
      </w:pPr>
      <w:r>
        <w:t>Conclusion</w:t>
      </w:r>
    </w:p>
    <w:p>
      <w:r>
        <w:t>A species-only Random Forest classifier, trained under country-aware LODO across 10 curatedMetagenomicData cohorts (n = 1,339), significantly outperforms joint species-plus-pathway Random Forest and XGBoost models for CRC detection. This advantage is robust to random-seed variation, pathway-filter thresholds, demographic adjustment, and ComBat batch correction. The adenoma analysis supports a stepwise model in which the diagnostic oral-pathobiont signature emerges at or near malignant transformation rather than at the adenoma stage. All code, processed data, per-sample predictions, and decision logs are publicly available to enable replication and extension.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