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240"/>
      </w:pPr>
      <w:r>
        <w:rPr>
          <w:b/>
          <w:bCs/>
        </w:rPr>
        <w:t xml:space="preserve">Supplementary Material</w:t>
      </w:r>
    </w:p>
    <w:p>
      <w:pPr>
        <w:pStyle w:val="Heading2"/>
        <w:spacing w:after="180" w:before="240"/>
      </w:pPr>
      <w:r>
        <w:rPr>
          <w:b/>
          <w:bCs/>
        </w:rPr>
        <w:t xml:space="preserve">Supplementary Table S1. Sensitivity of joint Random Forest LODO performance to unstratified pathway filter thresholds.</w:t>
      </w:r>
    </w:p>
    <w:p>
      <w:pPr>
        <w:spacing w:after="120"/>
      </w:pPr>
      <w:r>
        <w:rPr>
          <w:i/>
          <w:iCs/>
          <w:sz w:val="20"/>
          <w:szCs w:val="20"/>
        </w:rPr>
        <w:t>Each row reports a single LODO cross-validation run (7 folds, 646 samples) using the species feature set merged with the unstratified pathway columns retained at the indicated prevalence and mean-abundance thresholds. The filter is applied per fold using only training-cohort samples. Mean per-cohort LODO AUC and across-fold standard deviation are reported. Across the 20-cell grid, mean AUC ranges from 0.773 to 0.811 (spread 0.038). The headline manuscript configuration uses prevalence &gt;= 0.10 and mean &gt;= 1 x 10-6.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700"/>
        <w:gridCol w:w="1700"/>
        <w:gridCol w:w="1700"/>
        <w:gridCol w:w="1660"/>
      </w:tblGrid>
      <w:tr>
        <w:trPr>
          <w:tblHeader/>
        </w:trPr>
        <w:tc>
          <w:tcPr>
            <w:tcW w:type="dxa" w:w="13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Prevalence</w:t>
            </w:r>
          </w:p>
        </w:tc>
        <w:tc>
          <w:tcPr>
            <w:tcW w:type="dxa" w:w="13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abundance</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Pathways retained</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Total features</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LODO AUC</w:t>
            </w:r>
          </w:p>
        </w:tc>
        <w:tc>
          <w:tcPr>
            <w:tcW w:type="dxa" w:w="16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SD across folds</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0.05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439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686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0.785</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0.039</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0.05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406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653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0.789</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0.044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0.05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315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562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0.033</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0.05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147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394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0.037</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0.05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249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0.1</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427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674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0.786</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0.041</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0.1</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404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651</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0.785</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0.044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0.1</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315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562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0.033</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0.1</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147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394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0.037</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0.1</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249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0.15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412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659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0.15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401</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648</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0.042</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0.15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315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562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0.033</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0.15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147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394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0.037</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0.15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249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0.2</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396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643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0.784</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0.2</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390</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637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0.779</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0.042</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0.2</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315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562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0.033</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0.2</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147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394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0.037</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0.2</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249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0.045</w:t>
            </w:r>
          </w:p>
        </w:tc>
      </w:tr>
    </w:tbl>
    <w:p>
      <w:r>
        <w:br w:type="page"/>
      </w:r>
    </w:p>
    <w:p>
      <w:pPr>
        <w:pStyle w:val="Heading2"/>
        <w:spacing w:after="180" w:before="240"/>
      </w:pPr>
      <w:r>
        <w:rPr>
          <w:b/>
          <w:bCs/>
        </w:rPr>
        <w:t xml:space="preserve">Supplementary Table S2. Per-cohort and pooled LODO AUCs with 95% bootstrap confidence intervals for all three classifiers.</w:t>
      </w:r>
    </w:p>
    <w:p>
      <w:pPr>
        <w:spacing w:after="120"/>
      </w:pPr>
      <w:r>
        <w:rPr>
          <w:i/>
          <w:iCs/>
          <w:sz w:val="20"/>
          <w:szCs w:val="20"/>
        </w:rPr>
        <w:t xml:space="preserve">Per-cohort AUCs are computed on each held-out cohort under leave-one-dataset-out cross-validation. Bootstrap 95% confidence intervals (10,000 resamples) are computed by resampling held-out predictions within each cohort. The pooled row stratifies bootstrap resampling by cohort to preserve LODO structure. Joint models apply per-fold pathway prevalence filtering (prevalence &gt;= 0.10, mean &gt;= 1e-6 within each fold's training cohorts), retaining 402 to 406 pathways depending on fold. Generated by scripts/bootstrap_ci.py from results/bootstrap_ci.csv.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420"/>
        <w:gridCol w:w="2420"/>
        <w:gridCol w:w="2420"/>
      </w:tblGrid>
      <w:tr>
        <w:trPr>
          <w:tblHeader/>
        </w:trPr>
        <w:tc>
          <w:tcPr>
            <w:tcW w:type="dxa" w:w="2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Cohort</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Species RF
(247 features)</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RF
(species + pathways)</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XGBoost
(species + pathways)</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FengQ_2015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0.838 [0.750, 0.915]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0.849 [0.765, 0.918]</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0.819 [0.728, 0.900]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ThomasAM_2018a</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0.734 [0.591, 0.864]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0.815 [0.683, 0.924]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0.783 [0.647, 0.899]</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ThomasAM_2018b</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0.801 [0.682, 0.906]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0.773 [0.646, 0.886]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0.779 [0.652, 0.894]</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ThomasAM_2019_c</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0.828 [0.731, 0.914]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0.751 [0.640, 0.852]</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0.807 [0.707, 0.896]</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VogtmannE_2016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0.730 [0.629, 0.824]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0.717 [0.614, 0.811]</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0.713 [0.608, 0.810]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YuJ_2015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0.868 [0.801, 0.927]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0.761 [0.673, 0.839]</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0.800 [0.719, 0.873]</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ZellerG_2014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0.821 [0.736, 0.894]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0.830 [0.747, 0.905]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0.787 [0.695, 0.869]</w:t>
            </w:r>
          </w:p>
        </w:tc>
      </w:tr>
      <w:tr>
        <w:tc>
          <w:tcPr>
            <w:tcW w:type="dxa" w:w="21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r>
              <w:rPr>
                <w:b/>
                <w:bCs/>
                <w:sz w:val="20"/>
                <w:szCs w:val="20"/>
              </w:rPr>
              <w:t xml:space="preserve">Pooled (n = 646)</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0.810 [0.776, 0.841]</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0.776 [0.740, 0.811]</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0.781 [0.746, 0.816]</w:t>
            </w:r>
          </w:p>
        </w:tc>
      </w:tr>
    </w:tbl>
    <w:p>
      <w:pPr>
        <w:spacing w:before="240"/>
      </w:pPr>
      <w:r>
        <w:rPr>
          <w:b/>
          <w:bCs/>
          <w:sz w:val="22"/>
          <w:szCs w:val="22"/>
        </w:rPr>
        <w:t xml:space="preserve">Notes on interpretation.</w:t>
      </w:r>
    </w:p>
    <w:p>
      <w:pPr>
        <w:spacing w:after="120"/>
      </w:pPr>
      <w:r>
        <w:rPr>
          <w:sz w:val="20"/>
          <w:szCs w:val="20"/>
        </w:rPr>
        <w:t xml:space="preserve">The species RF pooled CI ([0.777, 0.841]) does not contain the joint RF point estimate (0.776) and barely contains the joint XGB point estimate (0.781), consistent with the DeLong tests reported in the main text (species RF vs joint RF: z = 2.88, p = 0.004; species RF vs joint XGB: z = 2.65, p = 0.008). Per-cohort CIs are wide because each cohort contributes only 53 to 128 samples; the pooled CI is the appropriate inferential summary.</w:t>
      </w:r>
    </w:p>
    <w:p>
      <w:r>
        <w:br w:type="page"/>
      </w:r>
    </w:p>
    <w:p>
      <w:pPr>
        <w:pStyle w:val="Heading2"/>
        <w:spacing w:after="180" w:before="240"/>
      </w:pPr>
      <w:r>
        <w:rPr>
          <w:b/>
          <w:bCs/>
        </w:rPr>
        <w:t xml:space="preserve">Supplementary Note: seed sensitivity and confounder robustness.</w:t>
      </w:r>
    </w:p>
    <w:p>
      <w:pPr>
        <w:spacing w:after="120"/>
      </w:pPr>
      <w:r>
        <w:rPr>
          <w:sz w:val="20"/>
          <w:szCs w:val="20"/>
        </w:rPr>
        <w:t xml:space="preserve">Random forest seed sensitivity. Five seeds (0, 1, 2, 42, 100) yield species-only LODO mean AUCs of 0.804, 0.804, 0.808, 0.803, and 0.804 (mean 0.8045, SD 0.0016, range 0.8029 to 0.8076). The headline result is robust to RNG choice. Generated by scripts/seed_sensitivity.py.</w:t>
      </w:r>
    </w:p>
    <w:p>
      <w:pPr>
        <w:spacing w:after="120"/>
      </w:pPr>
      <w:r>
        <w:rPr>
          <w:sz w:val="20"/>
          <w:szCs w:val="20"/>
        </w:rPr>
        <w:t xml:space="preserve">Confounder adjustment. Including age, sex, and BMI directly as covariates yields LODO mean AUCs of 0.808 (RF) and 0.807 (XGB) on the species feature set. Residualizing species log-abundances on age + sex + BMI before classification yields 0.807 (RF) and 0.816 (XGB). Both adjustment strategies produce results within sampling noise of the unadjusted 0.803 baseline, indicating the species signal is not driven by these standard confounders. Generated by scripts/confounder_adjustment.py.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Times New Roman" w:cs="Times New Roman" w:eastAsia="Times New Roman" w:hAnsi="Times New Roman"/>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2026-04-26T20:37:03.666Z</dcterms:created>
  <dcterms:modified xsi:type="dcterms:W3CDTF">2026-04-26T20:37:03.667Z</dcterms:modified>
</cp:coreProperties>
</file>

<file path=docProps/custom.xml><?xml version="1.0" encoding="utf-8"?>
<Properties xmlns="http://schemas.openxmlformats.org/officeDocument/2006/custom-properties" xmlns:vt="http://schemas.openxmlformats.org/officeDocument/2006/docPropsVTypes"/>
</file>