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w:t>
      </w:r>
      <w:r>
        <w:rPr>
          <w:rFonts w:ascii="Courier New" w:hAnsi="Courier New"/>
        </w:rPr>
        <w:t>results/delong_results.csv</w:t>
      </w:r>
      <w:r>
        <w:t>). The species-only baseline was stable across random seeds, pathway-filter thresholds, demographic adjustment, and per-fold ComBat batch correction.</w:t>
      </w:r>
    </w:p>
    <w:p>
      <w:pPr>
        <w:pStyle w:val="Heading2"/>
      </w:pPr>
      <w:r>
        <w:t>Negative result on pathways is consistent with over-parameterization</w:t>
      </w:r>
    </w:p>
    <w:p>
      <w:r>
        <w:t xml:space="preserve">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w:t>
      </w:r>
      <w:r>
        <w:rPr>
          <w:rFonts w:ascii="Courier New" w:hAnsi="Courier New"/>
        </w:rPr>
        <w:t>results/delong_results.csv</w:t>
      </w:r>
      <w:r>
        <w:t>).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9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no top-20 species survives a multiple-testing-corrected threshold for depth-rank correlation. The oral-pathobiont signature is therefore not an artifact of TreeSHAP's bias toward high-cardinality features nor of cohort-level read depth.</w:t>
      </w:r>
    </w:p>
    <w:p>
      <w:r>
        <w:t xml:space="preserve">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nine CRC-relevant functional groups — butyrate / short-chain fatty acid production, fermentation, lipopolysaccharide and inflammation pathways, polyamine synthesis, tryptophan metabolism, folate and one-carbon metabolism, sulfur and methionine metabolism, glycan / mucin degradation, and bile-acid metabolism (BSH-mediated deconjugation and 7alpha-dehydroxylation / bai operon)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t>
      </w:r>
      <w:r>
        <w:rPr>
          <w:rFonts w:ascii="Courier New" w:hAnsi="Courier New"/>
        </w:rPr>
        <w:t>results/adenoma_lodo_results.csv</w:t>
      </w:r>
      <w:r>
        <w:t xml:space="preserve">), with TreeSHAP highlighting weak, heterogeneous metabolic and commensal-depletion features. </w:t>
      </w:r>
      <w:r>
        <w:rPr>
          <w:b/>
        </w:rPr>
        <w:t>Adenoma vs CRC</w:t>
      </w:r>
      <w:r>
        <w:t xml:space="preserve"> classification was moderate (RF 0.671, XGBoost 0.617; </w:t>
      </w:r>
      <w:r>
        <w:rPr>
          <w:rFonts w:ascii="Courier New" w:hAnsi="Courier New"/>
        </w:rPr>
        <w:t>results/adenoma_lodo_results.csv</w:t>
      </w:r>
      <w:r>
        <w:t>),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et al. 2014).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