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References</w:t>
      </w:r>
    </w:p>
    <w:p>
      <w:pPr>
        <w:pStyle w:val="ListNumber"/>
      </w:pPr>
      <w:r>
        <w:t xml:space="preserve">Bellman, R. </w:t>
      </w:r>
      <w:r>
        <w:rPr>
          <w:i/>
        </w:rPr>
        <w:t>Adaptive Control Processes: A Guided Tour</w:t>
      </w:r>
      <w:r>
        <w:t>. Princeton University Press (1961).</w:t>
      </w:r>
    </w:p>
    <w:p>
      <w:pPr>
        <w:pStyle w:val="ListNumber"/>
      </w:pPr>
      <w:r>
        <w:t xml:space="preserve">Chen, T. &amp; Guestrin, C. XGBoost: a scalable tree boosting system. In </w:t>
      </w:r>
      <w:r>
        <w:rPr>
          <w:i/>
        </w:rPr>
        <w:t>Proc. 22nd ACM SIGKDD International Conference on Knowledge Discovery and Data Mining</w:t>
      </w:r>
      <w:r>
        <w:t xml:space="preserve"> 785–794 (ACM, 2016). https://doi.org/10.1145/2939672.2939785</w:t>
      </w:r>
    </w:p>
    <w:p>
      <w:pPr>
        <w:pStyle w:val="ListNumber"/>
      </w:pPr>
      <w:r>
        <w:t xml:space="preserve">DeLong, E.R., DeLong, D.M. &amp; Clarke-Pearson, D.L. Comparing the areas under two or more correlated receiver operating characteristic curves: a nonparametric approach. </w:t>
      </w:r>
      <w:r>
        <w:rPr>
          <w:i/>
        </w:rPr>
        <w:t>Biometrics</w:t>
      </w:r>
      <w:r>
        <w:t xml:space="preserve"> </w:t>
      </w:r>
      <w:r>
        <w:rPr>
          <w:b/>
        </w:rPr>
        <w:t>44</w:t>
      </w:r>
      <w:r>
        <w:t>, 837–845 (1988). https://doi.org/10.2307/2531595</w:t>
      </w:r>
    </w:p>
    <w:p>
      <w:pPr>
        <w:pStyle w:val="ListNumber"/>
      </w:pPr>
      <w:r>
        <w:t xml:space="preserve">Franzosa, E.A., McIver, L.J., Rahnavard, G. et al. Species-level functional profiling of metagenomes and metatranscriptomes. </w:t>
      </w:r>
      <w:r>
        <w:rPr>
          <w:i/>
        </w:rPr>
        <w:t>Nat. Methods</w:t>
      </w:r>
      <w:r>
        <w:t xml:space="preserve"> </w:t>
      </w:r>
      <w:r>
        <w:rPr>
          <w:b/>
        </w:rPr>
        <w:t>15</w:t>
      </w:r>
      <w:r>
        <w:t>, 962–968 (2018). https://doi.org/10.1038/s41592-018-0176-y</w:t>
      </w:r>
    </w:p>
    <w:p>
      <w:pPr>
        <w:pStyle w:val="ListNumber"/>
      </w:pPr>
      <w:r>
        <w:t xml:space="preserve">Imperiale, T.F., Ransohoff, D.F., Itzkowitz, S.H. et al. Multitarget stool DNA testing for colorectal-cancer screening. </w:t>
      </w:r>
      <w:r>
        <w:rPr>
          <w:i/>
        </w:rPr>
        <w:t>N. Engl. J. Med.</w:t>
      </w:r>
      <w:r>
        <w:t xml:space="preserve"> </w:t>
      </w:r>
      <w:r>
        <w:rPr>
          <w:b/>
        </w:rPr>
        <w:t>370</w:t>
      </w:r>
      <w:r>
        <w:t>, 1287–1297 (2014). https://doi.org/10.1056/NEJMoa1311194</w:t>
      </w:r>
    </w:p>
    <w:p>
      <w:pPr>
        <w:pStyle w:val="ListNumber"/>
      </w:pPr>
      <w:r>
        <w:t xml:space="preserve">Johnson, W.E., Li, C. &amp; Rabinovic, A. Adjusting batch effects in microarray expression data using empirical Bayes methods. </w:t>
      </w:r>
      <w:r>
        <w:rPr>
          <w:i/>
        </w:rPr>
        <w:t>Biostatistics</w:t>
      </w:r>
      <w:r>
        <w:t xml:space="preserve"> </w:t>
      </w:r>
      <w:r>
        <w:rPr>
          <w:b/>
        </w:rPr>
        <w:t>8</w:t>
      </w:r>
      <w:r>
        <w:t>, 118–127 (2007). https://doi.org/10.1093/biostatistics/kxj037</w:t>
      </w:r>
    </w:p>
    <w:p>
      <w:pPr>
        <w:pStyle w:val="ListNumber"/>
      </w:pPr>
      <w:r>
        <w:t xml:space="preserve">Lundberg, S.M. &amp; Lee, S.-I. A unified approach to interpreting model predictions. In </w:t>
      </w:r>
      <w:r>
        <w:rPr>
          <w:i/>
        </w:rPr>
        <w:t>Advances in Neural Information Processing Systems 30 (NeurIPS)</w:t>
      </w:r>
      <w:r>
        <w:t>, 4766–4777 (2017).</w:t>
      </w:r>
    </w:p>
    <w:p>
      <w:pPr>
        <w:pStyle w:val="ListNumber"/>
      </w:pPr>
      <w:r>
        <w:t xml:space="preserve">Pasolli, E., Schiffer, L., Manghi, P. et al. Accessible, curated metagenomic data through ExperimentHub. </w:t>
      </w:r>
      <w:r>
        <w:rPr>
          <w:i/>
        </w:rPr>
        <w:t>Nat. Methods</w:t>
      </w:r>
      <w:r>
        <w:t xml:space="preserve"> </w:t>
      </w:r>
      <w:r>
        <w:rPr>
          <w:b/>
        </w:rPr>
        <w:t>14</w:t>
      </w:r>
      <w:r>
        <w:t>, 1023–1024 (2017). https://doi.org/10.1038/nmeth.4468</w:t>
      </w:r>
    </w:p>
    <w:p>
      <w:pPr>
        <w:pStyle w:val="ListNumber"/>
      </w:pPr>
      <w:r>
        <w:t xml:space="preserve">Pedregosa, F. et al. Scikit-learn: machine learning in Python. </w:t>
      </w:r>
      <w:r>
        <w:rPr>
          <w:i/>
        </w:rPr>
        <w:t>J. Mach. Learn. Res.</w:t>
      </w:r>
      <w:r>
        <w:t xml:space="preserve"> </w:t>
      </w:r>
      <w:r>
        <w:rPr>
          <w:b/>
        </w:rPr>
        <w:t>12</w:t>
      </w:r>
      <w:r>
        <w:t>, 2825–2830 (2011).</w:t>
      </w:r>
    </w:p>
    <w:p>
      <w:pPr>
        <w:pStyle w:val="ListNumber"/>
      </w:pPr>
      <w:r>
        <w:t xml:space="preserve">Piccinno, G. et al. Pooled analysis of 3,741 stool metagenomes from 18 cohorts for cross-stage and strain-level reproducible microbial biomarkers of colorectal cancer. </w:t>
      </w:r>
      <w:r>
        <w:rPr>
          <w:i/>
        </w:rPr>
        <w:t>Nat. Med.</w:t>
      </w:r>
      <w:r>
        <w:t xml:space="preserve"> </w:t>
      </w:r>
      <w:r>
        <w:rPr>
          <w:b/>
        </w:rPr>
        <w:t>31</w:t>
      </w:r>
      <w:r>
        <w:t>, 2416–2429 (2025). https://doi.org/10.1038/s41591-025-03693-9</w:t>
      </w:r>
    </w:p>
    <w:p>
      <w:pPr>
        <w:pStyle w:val="ListNumber"/>
      </w:pPr>
      <w:r>
        <w:t xml:space="preserve">Sun, X. &amp; Xu, W. Fast implementation of DeLong's algorithm for comparing the areas under correlated receiver operating characteristic curves. </w:t>
      </w:r>
      <w:r>
        <w:rPr>
          <w:i/>
        </w:rPr>
        <w:t>IEEE Signal Process. Lett.</w:t>
      </w:r>
      <w:r>
        <w:t xml:space="preserve"> </w:t>
      </w:r>
      <w:r>
        <w:rPr>
          <w:b/>
        </w:rPr>
        <w:t>21</w:t>
      </w:r>
      <w:r>
        <w:t>, 1389–1393 (2014). https://doi.org/10.1109/LSP.2014.2337313</w:t>
      </w:r>
    </w:p>
    <w:p>
      <w:pPr>
        <w:pStyle w:val="ListNumber"/>
      </w:pPr>
      <w:r>
        <w:t xml:space="preserve">Sun, Y. et al. Optimizing metagenome analysis for early detection of colorectal cancer: benchmarking bioinformatics approaches and advancing cross-cohort prediction. </w:t>
      </w:r>
      <w:r>
        <w:rPr>
          <w:i/>
        </w:rPr>
        <w:t>bioRxiv</w:t>
      </w:r>
      <w:r>
        <w:t xml:space="preserve"> (2025). https://doi.org/10.1101/2025.02.22.639690</w:t>
      </w:r>
    </w:p>
    <w:p>
      <w:pPr>
        <w:pStyle w:val="ListNumber"/>
      </w:pPr>
      <w:r>
        <w:t xml:space="preserve">Sung, H. et al. Global cancer statistics 2020: GLOBOCAN estimates of incidence and mortality worldwide for 36 cancers in 185 countries. </w:t>
      </w:r>
      <w:r>
        <w:rPr>
          <w:i/>
        </w:rPr>
        <w:t>CA Cancer J. Clin.</w:t>
      </w:r>
      <w:r>
        <w:t xml:space="preserve"> </w:t>
      </w:r>
      <w:r>
        <w:rPr>
          <w:b/>
        </w:rPr>
        <w:t>71</w:t>
      </w:r>
      <w:r>
        <w:t>, 209–249 (2021). https://doi.org/10.3322/caac.21660</w:t>
      </w:r>
    </w:p>
    <w:p>
      <w:pPr>
        <w:pStyle w:val="ListNumber"/>
      </w:pPr>
      <w:r>
        <w:t xml:space="preserve">Thomas, A.M. et al. Metagenomic analysis of colorectal cancer datasets identifies cross-cohort microbial diagnostic signatures and a link with choline degradation. </w:t>
      </w:r>
      <w:r>
        <w:rPr>
          <w:i/>
        </w:rPr>
        <w:t>Nat. Med.</w:t>
      </w:r>
      <w:r>
        <w:t xml:space="preserve"> </w:t>
      </w:r>
      <w:r>
        <w:rPr>
          <w:b/>
        </w:rPr>
        <w:t>25</w:t>
      </w:r>
      <w:r>
        <w:t>, 667–678 (2019). https://doi.org/10.1038/s41591-019-0405-7</w:t>
      </w:r>
    </w:p>
    <w:p>
      <w:pPr>
        <w:pStyle w:val="ListNumber"/>
      </w:pPr>
      <w:r>
        <w:t xml:space="preserve">Trunk, G.V. A problem of dimensionality: a simple example. </w:t>
      </w:r>
      <w:r>
        <w:rPr>
          <w:i/>
        </w:rPr>
        <w:t>IEEE Trans. Pattern Anal. Mach. Intell.</w:t>
      </w:r>
      <w:r>
        <w:t xml:space="preserve"> </w:t>
      </w:r>
      <w:r>
        <w:rPr>
          <w:b/>
        </w:rPr>
        <w:t>PAMI-1</w:t>
      </w:r>
      <w:r>
        <w:t>, 306–307 (1979). https://doi.org/10.1109/TPAMI.1979.4766926</w:t>
      </w:r>
    </w:p>
    <w:p>
      <w:pPr>
        <w:pStyle w:val="ListNumber"/>
      </w:pPr>
      <w:r>
        <w:t xml:space="preserve">Truong, D.T., Franzosa, E.A., Tickle, T.L. et al. MetaPhlAn2 for enhanced metagenomic taxonomic profiling. </w:t>
      </w:r>
      <w:r>
        <w:rPr>
          <w:i/>
        </w:rPr>
        <w:t>Nat. Methods</w:t>
      </w:r>
      <w:r>
        <w:t xml:space="preserve"> </w:t>
      </w:r>
      <w:r>
        <w:rPr>
          <w:b/>
        </w:rPr>
        <w:t>12</w:t>
      </w:r>
      <w:r>
        <w:t>, 902–903 (2015). https://doi.org/10.1038/nmeth.3589</w:t>
      </w:r>
    </w:p>
    <w:p>
      <w:pPr>
        <w:pStyle w:val="ListNumber"/>
      </w:pPr>
      <w:r>
        <w:t xml:space="preserve">Wirbel, J. et al. Meta-analysis of fecal metagenomes reveals global microbial signatures that are specific for colorectal cancer. </w:t>
      </w:r>
      <w:r>
        <w:rPr>
          <w:i/>
        </w:rPr>
        <w:t>Nat. Med.</w:t>
      </w:r>
      <w:r>
        <w:t xml:space="preserve"> </w:t>
      </w:r>
      <w:r>
        <w:rPr>
          <w:b/>
        </w:rPr>
        <w:t>25</w:t>
      </w:r>
      <w:r>
        <w:t>, 679–689 (2019). https://doi.org/10.1038/s41591-019-0406-6</w:t>
      </w:r>
    </w:p>
    <w:p>
      <w:pPr>
        <w:pStyle w:val="ListNumber"/>
      </w:pPr>
      <w:r>
        <w:t xml:space="preserve">Xi, Y. &amp; Xu, P. Global colorectal cancer burden in 2020 and projections to 2040. </w:t>
      </w:r>
      <w:r>
        <w:rPr>
          <w:i/>
        </w:rPr>
        <w:t>Transl. Oncol.</w:t>
      </w:r>
      <w:r>
        <w:t xml:space="preserve"> </w:t>
      </w:r>
      <w:r>
        <w:rPr>
          <w:b/>
        </w:rPr>
        <w:t>14</w:t>
      </w:r>
      <w:r>
        <w:t>, 101174 (2021). https://doi.org/10.1016/j.tranon.2021.101174</w:t>
      </w:r>
    </w:p>
    <w:p>
      <w:pPr>
        <w:pStyle w:val="ListNumber"/>
      </w:pPr>
      <w:r>
        <w:t xml:space="preserve">Yachida, S. et al. Metagenomic and metabolomic analyses reveal distinct stage-specific phenotypes of the gut microbiota in colorectal cancer. </w:t>
      </w:r>
      <w:r>
        <w:rPr>
          <w:i/>
        </w:rPr>
        <w:t>Nat. Med.</w:t>
      </w:r>
      <w:r>
        <w:t xml:space="preserve"> </w:t>
      </w:r>
      <w:r>
        <w:rPr>
          <w:b/>
        </w:rPr>
        <w:t>25</w:t>
      </w:r>
      <w:r>
        <w:t>, 968–976 (2019). https://doi.org/10.1038/s41591-019-0458-7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