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480"/>
        <w:jc w:val="center"/>
      </w:pPr>
      <w:r>
        <w:rPr>
          <w:rFonts w:ascii="Times New Roman" w:cs="Times New Roman" w:eastAsia="Times New Roman" w:hAnsi="Times New Roman"/>
          <w:b/>
          <w:bCs/>
          <w:sz w:val="28"/>
          <w:szCs w:val="28"/>
        </w:rPr>
        <w:t xml:space="preserve">Methods</w:t>
      </w:r>
    </w:p>
    <w:p>
      <w:pPr>
        <w:pStyle w:val="Heading2"/>
        <w:spacing w:after="200" w:before="360" w:line="480"/>
      </w:pPr>
      <w:r>
        <w:rPr>
          <w:rFonts w:ascii="Times New Roman" w:cs="Times New Roman" w:eastAsia="Times New Roman" w:hAnsi="Times New Roman"/>
          <w:b/>
          <w:bCs/>
          <w:sz w:val="24"/>
          <w:szCs w:val="24"/>
        </w:rPr>
        <w:t xml:space="preserve">Study design and cohort selection</w:t>
      </w:r>
    </w:p>
    <w:p>
      <w:pPr>
        <w:spacing w:after="200" w:line="480"/>
        <w:jc w:val="both"/>
      </w:pPr>
      <w:r>
        <w:rPr>
          <w:rFonts w:ascii="Times New Roman" w:cs="Times New Roman" w:eastAsia="Times New Roman" w:hAnsi="Times New Roman"/>
          <w:sz w:val="24"/>
          <w:szCs w:val="24"/>
        </w:rPr>
        <w:t xml:space="preserve">We performed a multi-cohort classification study to evaluate the discriminative capacity of gut metagenomic features for colorectal cancer (CRC) detection, extending the analysis framework of Thomas et al. (2019). Shotgun metagenomic profiles were obtained from curatedMetagenomicData (Pasolli et al. 2017), a Bioconductor resource providing uniformly processed microbial abundance data. Data were accessed using the </w:t>
      </w:r>
      <w:r>
        <w:rPr>
          <w:rFonts w:ascii="Times New Roman" w:cs="Times New Roman" w:eastAsia="Times New Roman" w:hAnsi="Times New Roman"/>
          <w:i/>
          <w:iCs/>
          <w:sz w:val="24"/>
          <w:szCs w:val="24"/>
        </w:rPr>
        <w:t xml:space="preserve">returnSamples()</w:t>
      </w:r>
      <w:r>
        <w:rPr>
          <w:rFonts w:ascii="Times New Roman" w:cs="Times New Roman" w:eastAsia="Times New Roman" w:hAnsi="Times New Roman"/>
          <w:sz w:val="24"/>
          <w:szCs w:val="24"/>
        </w:rPr>
        <w:t xml:space="preserve"> function in R. We restricted the analysis to the same seven cohorts used by Thomas et al.: FengQ_2015, YuJ_2015, VogtmannE_2016, ZellerG_2014, ThomasAM_2018a, ThomasAM_2018b, and ThomasAM_2019_c, spanning six countries (Austria, China, France, Italy, Japan, and the United States). Exact R, Bioconductor, and curatedMetagenomicData versions are reported in the Software and Reproducibility section below.</w:t>
      </w:r>
    </w:p>
    <w:p>
      <w:pPr>
        <w:spacing w:after="200" w:line="480"/>
        <w:jc w:val="both"/>
      </w:pPr>
      <w:r>
        <w:rPr>
          <w:rFonts w:ascii="Times New Roman" w:cs="Times New Roman" w:eastAsia="Times New Roman" w:hAnsi="Times New Roman"/>
          <w:sz w:val="24"/>
          <w:szCs w:val="24"/>
        </w:rPr>
        <w:t xml:space="preserve">The combined dataset comprised 762 unique subjects (326 CRC, 116 adenoma, 320 healthy controls). Subject identity was audited to confirm that no individual appeared in more than one cohort. Demographic characteristics (age, sex, BMI) were extracted from sample metadata; cohort-level summaries are reported in Table 1.</w:t>
      </w:r>
    </w:p>
    <w:p>
      <w:pPr>
        <w:pStyle w:val="Heading2"/>
        <w:spacing w:after="200" w:before="360" w:line="480"/>
      </w:pPr>
      <w:r>
        <w:rPr>
          <w:rFonts w:ascii="Times New Roman" w:cs="Times New Roman" w:eastAsia="Times New Roman" w:hAnsi="Times New Roman"/>
          <w:b/>
          <w:bCs/>
          <w:sz w:val="24"/>
          <w:szCs w:val="24"/>
        </w:rPr>
        <w:t xml:space="preserve">Feature extraction and preprocessing</w:t>
      </w:r>
    </w:p>
    <w:p>
      <w:pPr>
        <w:spacing w:after="120" w:before="240" w:line="480"/>
      </w:pPr>
      <w:r>
        <w:rPr>
          <w:rFonts w:ascii="Times New Roman" w:cs="Times New Roman" w:eastAsia="Times New Roman" w:hAnsi="Times New Roman"/>
          <w:b/>
          <w:bCs/>
          <w:i/>
          <w:iCs/>
          <w:sz w:val="24"/>
          <w:szCs w:val="24"/>
        </w:rPr>
        <w:t xml:space="preserve">Species abundance</w:t>
      </w:r>
    </w:p>
    <w:p>
      <w:pPr>
        <w:spacing w:after="200" w:line="480"/>
        <w:jc w:val="both"/>
      </w:pPr>
      <w:r>
        <w:rPr>
          <w:rFonts w:ascii="Times New Roman" w:cs="Times New Roman" w:eastAsia="Times New Roman" w:hAnsi="Times New Roman"/>
          <w:sz w:val="24"/>
          <w:szCs w:val="24"/>
        </w:rPr>
        <w:t xml:space="preserve">Taxonomic profiles were derived from MetaPhlAn relative abundance tables. Species-level features were filtered to retain taxa present in at least 10% of samples with a mean relative abundance of at least 1 ×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yielding 247 species features. These thresholds were selected based on a sensitivity analysis demonstrating classification stability across a 20-combination grid of prevalence cutoffs (0.05 to 0.25) and mean-abundance cutoffs (10</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to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under full LODO cross-validation (Supplementary Table S1). Retained features were row-sum renormalized and log-transformed (log₁₀(x + 10</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prior to classification. These filters and transforms are applied globally as they constitute a structural definition of the candidate feature space, not a data-driven selection step.</w:t>
      </w:r>
    </w:p>
    <w:p>
      <w:pPr>
        <w:spacing w:after="120" w:before="240" w:line="480"/>
      </w:pPr>
      <w:r>
        <w:rPr>
          <w:rFonts w:ascii="Times New Roman" w:cs="Times New Roman" w:eastAsia="Times New Roman" w:hAnsi="Times New Roman"/>
          <w:b/>
          <w:bCs/>
          <w:i/>
          <w:iCs/>
          <w:sz w:val="24"/>
          <w:szCs w:val="24"/>
        </w:rPr>
        <w:t xml:space="preserve">Pathway abundance</w:t>
      </w:r>
    </w:p>
    <w:p>
      <w:pPr>
        <w:spacing w:after="200" w:line="480"/>
        <w:jc w:val="both"/>
      </w:pPr>
      <w:r>
        <w:rPr>
          <w:rFonts w:ascii="Times New Roman" w:cs="Times New Roman" w:eastAsia="Times New Roman" w:hAnsi="Times New Roman"/>
          <w:sz w:val="24"/>
          <w:szCs w:val="24"/>
        </w:rPr>
        <w:t xml:space="preserve">Functional profiles were obtained from HUMAnN pathway abundance tables. Per-cohort pathway files were concatenated into a single matrix (762 samples × 33,461 pathway features). Only unstratified pathway features (i.e., total community-level pathway abundance, excluding taxon-stratified columns) were retained as candidates for the joint model, yielding 540 candidate columns. A prevalence and mean-abundance filter (prevalence ≥ 10%, mean ≥ 1 × 10</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was applied inside each leave-one-dataset-out (LODO) cross-validation fold using only the training cohorts, retaining 402 to 406 pathway features per fold (median 651 total features including species). This per-fold filtering avoids information leakage from the held-out test cohort into feature selection. Pathway features were not log-transformed; Random Forest and XGBoost split decisions are scale-invariant per feature, so the asymmetric handling of species and pathway features does not affect the area under the receiver operating characteristic curve (AUC).</w:t>
      </w:r>
    </w:p>
    <w:p>
      <w:pPr>
        <w:pStyle w:val="Heading2"/>
        <w:spacing w:after="200" w:before="360" w:line="480"/>
      </w:pPr>
      <w:r>
        <w:rPr>
          <w:rFonts w:ascii="Times New Roman" w:cs="Times New Roman" w:eastAsia="Times New Roman" w:hAnsi="Times New Roman"/>
          <w:b/>
          <w:bCs/>
          <w:sz w:val="24"/>
          <w:szCs w:val="24"/>
        </w:rPr>
        <w:t xml:space="preserve">Classification</w:t>
      </w:r>
    </w:p>
    <w:p>
      <w:pPr>
        <w:spacing w:after="120" w:before="240" w:line="480"/>
      </w:pPr>
      <w:r>
        <w:rPr>
          <w:rFonts w:ascii="Times New Roman" w:cs="Times New Roman" w:eastAsia="Times New Roman" w:hAnsi="Times New Roman"/>
          <w:b/>
          <w:bCs/>
          <w:i/>
          <w:iCs/>
          <w:sz w:val="24"/>
          <w:szCs w:val="24"/>
        </w:rPr>
        <w:t xml:space="preserve">CRC versus healthy classification</w:t>
      </w:r>
    </w:p>
    <w:p>
      <w:pPr>
        <w:spacing w:after="200" w:line="480"/>
        <w:jc w:val="both"/>
      </w:pPr>
      <w:r>
        <w:rPr>
          <w:rFonts w:ascii="Times New Roman" w:cs="Times New Roman" w:eastAsia="Times New Roman" w:hAnsi="Times New Roman"/>
          <w:sz w:val="24"/>
          <w:szCs w:val="24"/>
        </w:rPr>
        <w:t xml:space="preserve">Binary classification of CRC (n = 326) versus healthy controls (n = 320) was performed using leave-one-dataset-out (LODO) cross-validation, in which each of the seven cohorts was held out in turn as the test set while the remaining six served as training data. This protocol directly evaluates cross-cohort generalization and mirrors the design of Thomas et al. (2019).</w:t>
      </w:r>
    </w:p>
    <w:p>
      <w:pPr>
        <w:spacing w:after="200" w:line="480"/>
        <w:jc w:val="both"/>
      </w:pPr>
      <w:r>
        <w:rPr>
          <w:rFonts w:ascii="Times New Roman" w:cs="Times New Roman" w:eastAsia="Times New Roman" w:hAnsi="Times New Roman"/>
          <w:sz w:val="24"/>
          <w:szCs w:val="24"/>
        </w:rPr>
        <w:t xml:space="preserve">Three models were compared: (1) a species-only Random Forest (RF) baseline, (2) a joint species-plus-pathway RF, and (3) a joint species-plus-pathway XGBoost classifier. Random Forest was configured with 500 trees, max_features = sqrt(p), min_samples_leaf = 5, and class_weight = ‘balanced’. XGBoost was configured with 500 trees, max_depth = 6, learning_rate = 0.1, subsample = 0.8, and colsample_bytree = 0.8. Hyperparameters were not tuned via nested cross-validation; this decision is justified by the observation that the joint model did not outperform the species-only baseline (see Results), making further optimization unlikely to alter qualitative conclusions. All models used random_state = 42 for reproducibility.</w:t>
      </w:r>
    </w:p>
    <w:p>
      <w:pPr>
        <w:spacing w:after="200" w:line="480"/>
        <w:jc w:val="both"/>
      </w:pPr>
      <w:r>
        <w:rPr>
          <w:rFonts w:ascii="Times New Roman" w:cs="Times New Roman" w:eastAsia="Times New Roman" w:hAnsi="Times New Roman"/>
          <w:sz w:val="24"/>
          <w:szCs w:val="24"/>
        </w:rPr>
        <w:t xml:space="preserve">Model discrimination was assessed by pooled AUC across all held-out LODO folds (n = 646 samples), with 95% nonparametric bootstrap confidence intervals (2,000 resamples). Per-cohort AUCs and bootstrap CIs are reported in Supplementary Table S2.</w:t>
      </w:r>
    </w:p>
    <w:p>
      <w:pPr>
        <w:spacing w:after="120" w:before="240" w:line="480"/>
      </w:pPr>
      <w:r>
        <w:rPr>
          <w:rFonts w:ascii="Times New Roman" w:cs="Times New Roman" w:eastAsia="Times New Roman" w:hAnsi="Times New Roman"/>
          <w:b/>
          <w:bCs/>
          <w:i/>
          <w:iCs/>
          <w:sz w:val="24"/>
          <w:szCs w:val="24"/>
        </w:rPr>
        <w:t xml:space="preserve">Adenoma classification</w:t>
      </w:r>
    </w:p>
    <w:p>
      <w:pPr>
        <w:spacing w:after="200" w:line="480"/>
        <w:jc w:val="both"/>
      </w:pPr>
      <w:r>
        <w:rPr>
          <w:rFonts w:ascii="Times New Roman" w:cs="Times New Roman" w:eastAsia="Times New Roman" w:hAnsi="Times New Roman"/>
          <w:sz w:val="24"/>
          <w:szCs w:val="24"/>
        </w:rPr>
        <w:t xml:space="preserve">Two binary adenoma tasks were evaluated: healthy versus adenoma (320 controls, 116 adenoma) and adenoma versus CRC (116 adenoma, 326 CRC). Because only three of the seven cohorts contained adenoma samples (FengQ_2015: n = 47; ZellerG_2014: n = 42; ThomasAM_2018a: n = 27; total adenoma n = 116), per-cohort sample sizes were insufficient for stable LODO estimates. These tasks were therefore evaluated using pooled five-fold stratified cross-validation on the joint species-plus-pathway feature set. XGBoost additionally used scale_pos_weight equal to the inverse class ratio, recomputed within each fold from the training labels, to handle class imbalance.</w:t>
      </w:r>
    </w:p>
    <w:p>
      <w:pPr>
        <w:spacing w:after="200" w:line="480"/>
        <w:jc w:val="both"/>
      </w:pPr>
      <w:r>
        <w:rPr>
          <w:rFonts w:ascii="Times New Roman" w:cs="Times New Roman" w:eastAsia="Times New Roman" w:hAnsi="Times New Roman"/>
          <w:sz w:val="24"/>
          <w:szCs w:val="24"/>
        </w:rPr>
        <w:t xml:space="preserve">We note that these adenoma analyses are exploratory and statistically underpowered. With only 116 adenoma samples distributed across three cohorts, effect size estimates carry substantial uncertainty, and the analyses should be interpreted as hypothesis-generating rather than definitive.</w:t>
      </w:r>
    </w:p>
    <w:p>
      <w:pPr>
        <w:spacing w:after="200" w:line="480"/>
        <w:jc w:val="both"/>
      </w:pPr>
      <w:r>
        <w:rPr>
          <w:rFonts w:ascii="Times New Roman" w:cs="Times New Roman" w:eastAsia="Times New Roman" w:hAnsi="Times New Roman"/>
          <w:sz w:val="24"/>
          <w:szCs w:val="24"/>
        </w:rPr>
        <w:t xml:space="preserve">To assess cross-cohort generalization of adenoma classification, a secondary leave-one-cohort-out analysis was conducted across the three adenoma-containing cohorts. This analysis is reported as a robustness check rather than a primary result, given the small per-cohort sample sizes and the known molecular heterogeneity of precancerous adenomas.</w:t>
      </w:r>
    </w:p>
    <w:p>
      <w:pPr>
        <w:pStyle w:val="Heading2"/>
        <w:spacing w:after="200" w:before="360" w:line="480"/>
      </w:pPr>
      <w:r>
        <w:rPr>
          <w:rFonts w:ascii="Times New Roman" w:cs="Times New Roman" w:eastAsia="Times New Roman" w:hAnsi="Times New Roman"/>
          <w:b/>
          <w:bCs/>
          <w:sz w:val="24"/>
          <w:szCs w:val="24"/>
        </w:rPr>
        <w:t xml:space="preserve">Statistical comparison of classifiers</w:t>
      </w:r>
    </w:p>
    <w:p>
      <w:pPr>
        <w:spacing w:after="200" w:line="480"/>
        <w:jc w:val="both"/>
      </w:pPr>
      <w:r>
        <w:rPr>
          <w:rFonts w:ascii="Times New Roman" w:cs="Times New Roman" w:eastAsia="Times New Roman" w:hAnsi="Times New Roman"/>
          <w:sz w:val="24"/>
          <w:szCs w:val="24"/>
        </w:rPr>
        <w:t xml:space="preserve">Model performance was compared using three complementary approaches. First, per-cohort AUC differences across the seven LODO folds were assessed by paired t-test (with degrees of freedom = 6) and Wilcoxon signed-rank test, with 95% bootstrap confidence intervals on the mean difference (10,000 resamples). These per-cohort paired tests have limited statistical power due to the small number of paired observations (n = 7 folds).</w:t>
      </w:r>
    </w:p>
    <w:p>
      <w:pPr>
        <w:spacing w:after="200" w:line="480"/>
        <w:jc w:val="both"/>
      </w:pPr>
      <w:r>
        <w:rPr>
          <w:rFonts w:ascii="Times New Roman" w:cs="Times New Roman" w:eastAsia="Times New Roman" w:hAnsi="Times New Roman"/>
          <w:sz w:val="24"/>
          <w:szCs w:val="24"/>
        </w:rPr>
        <w:t xml:space="preserve">Second, the DeLong test (DeLong et al. 1988; Sun and Xu 2014) was applied to pooled held-out predictions (n = 646 CRC and healthy samples), comparing the receiver operating characteristic (ROC) curves of each classifier pair on the same set of sample-level predictions. The DeLong test has substantially greater statistical power than per-cohort paired tests and directly evaluates whether overall sample-level discrimination differs between classifiers. All DeLong z-statistics and two-sided p-values are reported in the Results.</w:t>
      </w:r>
    </w:p>
    <w:p>
      <w:pPr>
        <w:spacing w:after="200" w:line="480"/>
        <w:jc w:val="both"/>
      </w:pPr>
      <w:r>
        <w:rPr>
          <w:rFonts w:ascii="Times New Roman" w:cs="Times New Roman" w:eastAsia="Times New Roman" w:hAnsi="Times New Roman"/>
          <w:sz w:val="24"/>
          <w:szCs w:val="24"/>
        </w:rPr>
        <w:t xml:space="preserve">Per-sample predictions from each LODO fold were saved in long format (sample_id, cohort, y_true, y_prob) to enable post hoc DeLong comparisons without re-running the classifiers.</w:t>
      </w:r>
    </w:p>
    <w:p>
      <w:pPr>
        <w:pStyle w:val="Heading2"/>
        <w:spacing w:after="200" w:before="360" w:line="480"/>
      </w:pPr>
      <w:r>
        <w:rPr>
          <w:rFonts w:ascii="Times New Roman" w:cs="Times New Roman" w:eastAsia="Times New Roman" w:hAnsi="Times New Roman"/>
          <w:b/>
          <w:bCs/>
          <w:sz w:val="24"/>
          <w:szCs w:val="24"/>
        </w:rPr>
        <w:t xml:space="preserve">Feature importance</w:t>
      </w:r>
    </w:p>
    <w:p>
      <w:pPr>
        <w:spacing w:after="200" w:line="480"/>
        <w:jc w:val="both"/>
      </w:pPr>
      <w:r>
        <w:rPr>
          <w:rFonts w:ascii="Times New Roman" w:cs="Times New Roman" w:eastAsia="Times New Roman" w:hAnsi="Times New Roman"/>
          <w:sz w:val="24"/>
          <w:szCs w:val="24"/>
        </w:rPr>
        <w:t xml:space="preserve">Feature contributions were quantified using SHAP (SHapley Additive exPlanations; Lundberg and Lee 2017) values, computed on the joint RF, joint XGBoost, and adenoma classifiers. SHAP values provide a unified measure of each feature’s contribution to individual predictions, accounting for feature interactions. The top 20 features by mean absolute SHAP value were compared across RF and XGBoost to assess concordance between model architectures.</w:t>
      </w:r>
    </w:p>
    <w:p>
      <w:pPr>
        <w:pStyle w:val="Heading2"/>
        <w:spacing w:after="200" w:before="360" w:line="480"/>
      </w:pPr>
      <w:r>
        <w:rPr>
          <w:rFonts w:ascii="Times New Roman" w:cs="Times New Roman" w:eastAsia="Times New Roman" w:hAnsi="Times New Roman"/>
          <w:b/>
          <w:bCs/>
          <w:sz w:val="24"/>
          <w:szCs w:val="24"/>
        </w:rPr>
        <w:t xml:space="preserve">Robustness and sensitivity analyses</w:t>
      </w:r>
    </w:p>
    <w:p>
      <w:pPr>
        <w:spacing w:after="120" w:before="240" w:line="480"/>
      </w:pPr>
      <w:r>
        <w:rPr>
          <w:rFonts w:ascii="Times New Roman" w:cs="Times New Roman" w:eastAsia="Times New Roman" w:hAnsi="Times New Roman"/>
          <w:b/>
          <w:bCs/>
          <w:i/>
          <w:iCs/>
          <w:sz w:val="24"/>
          <w:szCs w:val="24"/>
        </w:rPr>
        <w:t xml:space="preserve">Filter threshold sensitivity</w:t>
      </w:r>
    </w:p>
    <w:p>
      <w:pPr>
        <w:spacing w:after="200" w:line="480"/>
        <w:jc w:val="both"/>
      </w:pPr>
      <w:r>
        <w:rPr>
          <w:rFonts w:ascii="Times New Roman" w:cs="Times New Roman" w:eastAsia="Times New Roman" w:hAnsi="Times New Roman"/>
          <w:sz w:val="24"/>
          <w:szCs w:val="24"/>
        </w:rPr>
        <w:t xml:space="preserve">To assess the sensitivity of classification performance to pathway feature selection thresholds, we performed a grid search over prevalence cutoffs (0.05, 0.10, 0.15, 0.20, 0.25) and mean-abundance cutoffs (10</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10</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10</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 evaluating the species-plus-pathway RF under LODO cross-validation at each of the 20 threshold combinations. Results are reported in Supplementary Table S1.</w:t>
      </w:r>
    </w:p>
    <w:p>
      <w:pPr>
        <w:spacing w:after="120" w:before="240" w:line="480"/>
      </w:pPr>
      <w:r>
        <w:rPr>
          <w:rFonts w:ascii="Times New Roman" w:cs="Times New Roman" w:eastAsia="Times New Roman" w:hAnsi="Times New Roman"/>
          <w:b/>
          <w:bCs/>
          <w:i/>
          <w:iCs/>
          <w:sz w:val="24"/>
          <w:szCs w:val="24"/>
        </w:rPr>
        <w:t xml:space="preserve">Confounder assessment</w:t>
      </w:r>
    </w:p>
    <w:p>
      <w:pPr>
        <w:spacing w:after="200" w:line="480"/>
        <w:jc w:val="both"/>
      </w:pPr>
      <w:r>
        <w:rPr>
          <w:rFonts w:ascii="Times New Roman" w:cs="Times New Roman" w:eastAsia="Times New Roman" w:hAnsi="Times New Roman"/>
          <w:sz w:val="24"/>
          <w:szCs w:val="24"/>
        </w:rPr>
        <w:t xml:space="preserve">To evaluate whether age, sex, or BMI confounded the CRC classifier, two approaches were tested: (1) direct inclusion of covariates as additional features alongside species abundances, and (2) residualization, in which each species feature was regressed on the covariates via ordinary least squares, and the residuals were used for classification. In both approaches, missing covariate values were imputed per fold using training-set medians (age, BMI) or modes (sex) to prevent information leakage from test-fold samples.</w:t>
      </w:r>
    </w:p>
    <w:p>
      <w:pPr>
        <w:spacing w:after="120" w:before="240" w:line="480"/>
      </w:pPr>
      <w:r>
        <w:rPr>
          <w:rFonts w:ascii="Times New Roman" w:cs="Times New Roman" w:eastAsia="Times New Roman" w:hAnsi="Times New Roman"/>
          <w:b/>
          <w:bCs/>
          <w:i/>
          <w:iCs/>
          <w:sz w:val="24"/>
          <w:szCs w:val="24"/>
        </w:rPr>
        <w:t xml:space="preserve">Random seed stability</w:t>
      </w:r>
    </w:p>
    <w:p>
      <w:pPr>
        <w:spacing w:after="200" w:line="480"/>
        <w:jc w:val="both"/>
      </w:pPr>
      <w:r>
        <w:rPr>
          <w:rFonts w:ascii="Times New Roman" w:cs="Times New Roman" w:eastAsia="Times New Roman" w:hAnsi="Times New Roman"/>
          <w:sz w:val="24"/>
          <w:szCs w:val="24"/>
        </w:rPr>
        <w:t xml:space="preserve">The species-only RF LODO was repeated at five random seeds (0, 1, 2, 42, 100) to confirm that AUC estimates were not sensitive to the stochastic components of the Random Forest algorithm.</w:t>
      </w:r>
    </w:p>
    <w:p>
      <w:pPr>
        <w:spacing w:after="120" w:before="240" w:line="480"/>
      </w:pPr>
      <w:r>
        <w:rPr>
          <w:rFonts w:ascii="Times New Roman" w:cs="Times New Roman" w:eastAsia="Times New Roman" w:hAnsi="Times New Roman"/>
          <w:b/>
          <w:bCs/>
          <w:i/>
          <w:iCs/>
          <w:sz w:val="24"/>
          <w:szCs w:val="24"/>
        </w:rPr>
        <w:t xml:space="preserve">Bootstrap confidence intervals</w:t>
      </w:r>
    </w:p>
    <w:p>
      <w:pPr>
        <w:spacing w:after="200" w:line="480"/>
        <w:jc w:val="both"/>
      </w:pPr>
      <w:r>
        <w:rPr>
          <w:rFonts w:ascii="Times New Roman" w:cs="Times New Roman" w:eastAsia="Times New Roman" w:hAnsi="Times New Roman"/>
          <w:sz w:val="24"/>
          <w:szCs w:val="24"/>
        </w:rPr>
        <w:t xml:space="preserve">Nonparametric bootstrap 95% confidence intervals were computed on per-cohort and pooled AUCs for all three CRC classifiers (species RF, joint RF, joint XGBoost) using 2,000 bootstrap resamples per estimate (Supplementary Table S2).</w:t>
      </w:r>
    </w:p>
    <w:p>
      <w:pPr>
        <w:spacing w:after="120" w:before="240" w:line="480"/>
      </w:pPr>
      <w:r>
        <w:rPr>
          <w:rFonts w:ascii="Times New Roman" w:cs="Times New Roman" w:eastAsia="Times New Roman" w:hAnsi="Times New Roman"/>
          <w:b/>
          <w:bCs/>
          <w:i/>
          <w:iCs/>
          <w:sz w:val="24"/>
          <w:szCs w:val="24"/>
        </w:rPr>
        <w:t xml:space="preserve">Batch effect correction</w:t>
      </w:r>
    </w:p>
    <w:p>
      <w:pPr>
        <w:spacing w:after="200" w:line="480"/>
        <w:jc w:val="both"/>
      </w:pPr>
      <w:r>
        <w:rPr>
          <w:rFonts w:ascii="Times New Roman" w:cs="Times New Roman" w:eastAsia="Times New Roman" w:hAnsi="Times New Roman"/>
          <w:sz w:val="24"/>
          <w:szCs w:val="24"/>
        </w:rPr>
        <w:t>To assess the impact of study-level batch effects, per-fold ComBat correction (Johnson et al. 2007) was applied to species features within each LODO fold. ComBat is fit jointly on the train and test feature matrices using only batch labels (study_name); class labels (CRC vs control) are never seen by ComBat, so this preserves the LODO no-leakage guarantee while keeping train and test in the same corrected feature space, which is required for the trained classifier to make sensible predictions on the held-out cohort. This analysis uses the canonical Python ComBat implementation in the combat package (combat.pycombat.pycombat).</w:t>
      </w:r>
    </w:p>
    <w:p>
      <w:pPr>
        <w:pStyle w:val="Heading2"/>
        <w:spacing w:after="200" w:before="360" w:line="480"/>
      </w:pPr>
      <w:r>
        <w:rPr>
          <w:rFonts w:ascii="Times New Roman" w:cs="Times New Roman" w:eastAsia="Times New Roman" w:hAnsi="Times New Roman"/>
          <w:b/>
          <w:bCs/>
          <w:sz w:val="24"/>
          <w:szCs w:val="24"/>
        </w:rPr>
        <w:t xml:space="preserve">Software and reproducibility</w:t>
      </w:r>
    </w:p>
    <w:p>
      <w:pPr>
        <w:spacing w:after="200" w:line="480"/>
        <w:jc w:val="both"/>
      </w:pPr>
      <w:r>
        <w:rPr>
          <w:rFonts w:ascii="Times New Roman" w:cs="Times New Roman" w:eastAsia="Times New Roman" w:hAnsi="Times New Roman"/>
          <w:sz w:val="24"/>
          <w:szCs w:val="24"/>
        </w:rPr>
        <w:t xml:space="preserve">All classification and statistical analyses were implemented in Python (version recorded in the repository’s environment specification) using scikit-learn 1.4.2 (Pedregosa et al. 2011), XGBoost 2.0.3 (Chen and Guestrin 2016), SHAP 0.44.1 (Lundberg and Lee 2017), pandas 2.2.3, NumPy 1.26.4, SciPy 1.12.0, and matplotlib 3.8.5. Exact Python package versions are pinned in requirements.lock. Data extraction was performed in R using curatedMetagenomicData (Pasolli et al. 2017) via Bioconductor; the R version, Bioconductor version, and curatedMetagenomicData version used for data extraction are recorded in the repository’s session_info.txt file. All scripts use a fixed random seed (random_state = 42) and produce deterministic results. A verification script (verify_results.py) asserts that headline AUC values match expected values within a tolerance of 0.002.</w:t>
      </w:r>
    </w:p>
    <w:p>
      <w:pPr>
        <w:pStyle w:val="Heading2"/>
        <w:spacing w:after="200" w:before="360" w:line="480"/>
      </w:pPr>
      <w:r>
        <w:rPr>
          <w:rFonts w:ascii="Times New Roman" w:cs="Times New Roman" w:eastAsia="Times New Roman" w:hAnsi="Times New Roman"/>
          <w:b/>
          <w:bCs/>
          <w:sz w:val="24"/>
          <w:szCs w:val="24"/>
        </w:rPr>
        <w:t xml:space="preserve">Data availability</w:t>
      </w:r>
    </w:p>
    <w:p>
      <w:pPr>
        <w:spacing w:after="200" w:line="480"/>
        <w:jc w:val="both"/>
      </w:pPr>
      <w:r>
        <w:rPr>
          <w:rFonts w:ascii="Times New Roman" w:cs="Times New Roman" w:eastAsia="Times New Roman" w:hAnsi="Times New Roman"/>
          <w:sz w:val="24"/>
          <w:szCs w:val="24"/>
        </w:rPr>
        <w:t xml:space="preserve">All metagenomic data used in this study are publicly available through curatedMetagenomicData via Bioconductor. The seven cohort datasets were retrieved using the </w:t>
      </w:r>
      <w:r>
        <w:rPr>
          <w:rFonts w:ascii="Times New Roman" w:cs="Times New Roman" w:eastAsia="Times New Roman" w:hAnsi="Times New Roman"/>
          <w:i/>
          <w:iCs/>
          <w:sz w:val="24"/>
          <w:szCs w:val="24"/>
        </w:rPr>
        <w:t xml:space="preserve">returnSamples()</w:t>
      </w:r>
      <w:r>
        <w:rPr>
          <w:rFonts w:ascii="Times New Roman" w:cs="Times New Roman" w:eastAsia="Times New Roman" w:hAnsi="Times New Roman"/>
          <w:sz w:val="24"/>
          <w:szCs w:val="24"/>
        </w:rPr>
        <w:t xml:space="preserve"> function with study identifiers FengQ_2015, YuJ_2015, VogtmannE_2016, ZellerG_2014, ThomasAM_2018a, ThomasAM_2018b, and ThomasAM_2019_c, filtering for samples annotated as CRC, adenoma, or control. No novel sequencing data were generated.</w:t>
      </w:r>
    </w:p>
    <w:p>
      <w:pPr>
        <w:spacing w:after="200" w:line="480"/>
        <w:jc w:val="both"/>
      </w:pPr>
      <w:r>
        <w:rPr>
          <w:rFonts w:ascii="Times New Roman" w:cs="Times New Roman" w:eastAsia="Times New Roman" w:hAnsi="Times New Roman"/>
          <w:sz w:val="24"/>
          <w:szCs w:val="24"/>
        </w:rPr>
        <w:t xml:space="preserve">The complete analysis pipeline is deposited at https://github.com/alejandro-publius/crc-metagenomics. The repository contains: all classification and robustness analysis scripts; per-sample LODO predictions in long format; SHAP feature importance tables; processed feature matrices; the decision log documenting all analytical choices; pinned Python dependencies (requirements.lock); and R session information (session_info.txt). Trained model objects are not included; all results can be reproduced from the deposited scripts and publicly available input data within approximately 30 minutes on a standard workstation.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2026-04-26T17:25:06.910Z</dcterms:created>
  <dcterms:modified xsi:type="dcterms:W3CDTF">2026-04-26T17:25:06.910Z</dcterms:modified>
</cp:coreProperties>
</file>

<file path=docProps/custom.xml><?xml version="1.0" encoding="utf-8"?>
<Properties xmlns="http://schemas.openxmlformats.org/officeDocument/2006/custom-properties" xmlns:vt="http://schemas.openxmlformats.org/officeDocument/2006/docPropsVTypes"/>
</file>